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7B29" w14:textId="0D389C47" w:rsidR="009954C2" w:rsidRPr="00DC2CD2" w:rsidRDefault="009954C2">
      <w:pPr>
        <w:rPr>
          <w:rFonts w:ascii="Arial" w:hAnsi="Arial" w:cs="Arial"/>
        </w:rPr>
      </w:pPr>
    </w:p>
    <w:p w14:paraId="548B9865" w14:textId="62C430F2" w:rsidR="00D54A8D" w:rsidRPr="00DC2CD2" w:rsidRDefault="00D54A8D" w:rsidP="00C74796">
      <w:pPr>
        <w:jc w:val="center"/>
        <w:rPr>
          <w:rFonts w:ascii="Arial" w:hAnsi="Arial" w:cs="Arial"/>
          <w:b/>
          <w:bCs/>
        </w:rPr>
      </w:pPr>
      <w:r w:rsidRPr="00DC2CD2">
        <w:rPr>
          <w:rFonts w:ascii="Arial" w:hAnsi="Arial" w:cs="Arial"/>
          <w:b/>
          <w:bCs/>
        </w:rPr>
        <w:t>North of Tyne Combined Authority Carbon Footprint Report</w:t>
      </w:r>
      <w:r w:rsidR="00C74796" w:rsidRPr="00DC2CD2">
        <w:rPr>
          <w:rFonts w:ascii="Arial" w:hAnsi="Arial" w:cs="Arial"/>
          <w:b/>
          <w:bCs/>
        </w:rPr>
        <w:t xml:space="preserve"> - </w:t>
      </w:r>
      <w:r w:rsidR="0031528F">
        <w:rPr>
          <w:rFonts w:ascii="Arial" w:hAnsi="Arial" w:cs="Arial"/>
          <w:b/>
          <w:bCs/>
        </w:rPr>
        <w:t>November</w:t>
      </w:r>
      <w:r w:rsidR="0031528F" w:rsidRPr="00DC2CD2">
        <w:rPr>
          <w:rFonts w:ascii="Arial" w:hAnsi="Arial" w:cs="Arial"/>
          <w:b/>
          <w:bCs/>
        </w:rPr>
        <w:t xml:space="preserve"> </w:t>
      </w:r>
      <w:r w:rsidR="00C74796" w:rsidRPr="00DC2CD2">
        <w:rPr>
          <w:rFonts w:ascii="Arial" w:hAnsi="Arial" w:cs="Arial"/>
          <w:b/>
          <w:bCs/>
        </w:rPr>
        <w:t>202</w:t>
      </w:r>
      <w:r w:rsidR="0031528F">
        <w:rPr>
          <w:rFonts w:ascii="Arial" w:hAnsi="Arial" w:cs="Arial"/>
          <w:b/>
          <w:bCs/>
        </w:rPr>
        <w:t>2</w:t>
      </w:r>
    </w:p>
    <w:p w14:paraId="4FD0151A" w14:textId="56855649" w:rsidR="009954C2" w:rsidRPr="00DC2CD2" w:rsidRDefault="00EF482D">
      <w:pPr>
        <w:rPr>
          <w:rFonts w:ascii="Arial" w:hAnsi="Arial" w:cs="Arial"/>
          <w:b/>
          <w:bCs/>
        </w:rPr>
      </w:pPr>
      <w:r>
        <w:rPr>
          <w:rFonts w:ascii="Arial" w:hAnsi="Arial" w:cs="Arial"/>
          <w:b/>
          <w:bCs/>
        </w:rPr>
        <w:t>I</w:t>
      </w:r>
      <w:r w:rsidR="009954C2" w:rsidRPr="00DC2CD2">
        <w:rPr>
          <w:rFonts w:ascii="Arial" w:hAnsi="Arial" w:cs="Arial"/>
          <w:b/>
          <w:bCs/>
        </w:rPr>
        <w:t>ntroduction</w:t>
      </w:r>
    </w:p>
    <w:p w14:paraId="4909DAE2" w14:textId="40F15DBC" w:rsidR="003A3903" w:rsidRPr="00DC2CD2" w:rsidRDefault="003A3903" w:rsidP="003A3903">
      <w:pPr>
        <w:pStyle w:val="ListParagraph"/>
        <w:rPr>
          <w:rFonts w:ascii="Arial" w:hAnsi="Arial" w:cs="Arial"/>
          <w:b/>
          <w:bCs/>
        </w:rPr>
      </w:pPr>
      <w:r w:rsidRPr="00DC2CD2">
        <w:rPr>
          <w:rFonts w:ascii="Arial" w:hAnsi="Arial" w:cs="Arial"/>
          <w:b/>
          <w:bCs/>
        </w:rPr>
        <w:t>Company information</w:t>
      </w:r>
    </w:p>
    <w:p w14:paraId="06A5BD62" w14:textId="12EB4643" w:rsidR="003A3903" w:rsidRPr="00DC2CD2" w:rsidRDefault="003A3903" w:rsidP="003A3903">
      <w:pPr>
        <w:rPr>
          <w:rFonts w:ascii="Arial" w:hAnsi="Arial" w:cs="Arial"/>
        </w:rPr>
      </w:pPr>
      <w:r w:rsidRPr="00DC2CD2">
        <w:rPr>
          <w:rFonts w:ascii="Arial" w:hAnsi="Arial" w:cs="Arial"/>
        </w:rPr>
        <w:t xml:space="preserve">North of Tyne Combined Authority (NTCA), </w:t>
      </w:r>
      <w:r w:rsidR="00C32336" w:rsidRPr="00DC2CD2">
        <w:rPr>
          <w:rFonts w:ascii="Arial" w:hAnsi="Arial" w:cs="Arial"/>
        </w:rPr>
        <w:t>The Lumen, St James Boulevard, Newcastle Helix, Newcastle upon Tyne, NE4 5BZ</w:t>
      </w:r>
      <w:r w:rsidR="0076668A" w:rsidRPr="00DC2CD2">
        <w:rPr>
          <w:rFonts w:ascii="Arial" w:hAnsi="Arial" w:cs="Arial"/>
        </w:rPr>
        <w:t>.</w:t>
      </w:r>
    </w:p>
    <w:p w14:paraId="651878CB" w14:textId="0B015AB6" w:rsidR="00062866" w:rsidRPr="00DC2CD2" w:rsidRDefault="00C92EA4" w:rsidP="003A3903">
      <w:pPr>
        <w:rPr>
          <w:rFonts w:ascii="Arial" w:hAnsi="Arial" w:cs="Arial"/>
        </w:rPr>
      </w:pPr>
      <w:r>
        <w:rPr>
          <w:rFonts w:ascii="Arial" w:hAnsi="Arial" w:cs="Arial"/>
        </w:rPr>
        <w:t>This carbon footprint report includes a proportion of emissions from</w:t>
      </w:r>
      <w:r w:rsidR="007E2814">
        <w:rPr>
          <w:rFonts w:ascii="Arial" w:hAnsi="Arial" w:cs="Arial"/>
        </w:rPr>
        <w:t xml:space="preserve"> our previous office at Quadrant West, as NTCA relocated to The Lumen in August 2021</w:t>
      </w:r>
      <w:r>
        <w:rPr>
          <w:rFonts w:ascii="Arial" w:hAnsi="Arial" w:cs="Arial"/>
        </w:rPr>
        <w:t>.</w:t>
      </w:r>
    </w:p>
    <w:p w14:paraId="6180B16E" w14:textId="48EA16F6" w:rsidR="009954C2" w:rsidRPr="00DC2CD2" w:rsidRDefault="009954C2" w:rsidP="00711582">
      <w:pPr>
        <w:pStyle w:val="ListParagraph"/>
        <w:rPr>
          <w:rFonts w:ascii="Arial" w:hAnsi="Arial" w:cs="Arial"/>
          <w:b/>
          <w:bCs/>
        </w:rPr>
      </w:pPr>
      <w:r w:rsidRPr="00DC2CD2">
        <w:rPr>
          <w:rFonts w:ascii="Arial" w:hAnsi="Arial" w:cs="Arial"/>
          <w:b/>
          <w:bCs/>
        </w:rPr>
        <w:t xml:space="preserve">Reporting Period </w:t>
      </w:r>
    </w:p>
    <w:p w14:paraId="577FB834" w14:textId="7AC5EB67" w:rsidR="003A3903" w:rsidRPr="00DC2CD2" w:rsidRDefault="00711582" w:rsidP="003A3903">
      <w:pPr>
        <w:rPr>
          <w:rFonts w:ascii="Arial" w:hAnsi="Arial" w:cs="Arial"/>
        </w:rPr>
      </w:pPr>
      <w:r w:rsidRPr="00DC2CD2">
        <w:rPr>
          <w:rFonts w:ascii="Arial" w:hAnsi="Arial" w:cs="Arial"/>
        </w:rPr>
        <w:t>1</w:t>
      </w:r>
      <w:r w:rsidRPr="00DC2CD2">
        <w:rPr>
          <w:rFonts w:ascii="Arial" w:hAnsi="Arial" w:cs="Arial"/>
          <w:vertAlign w:val="superscript"/>
        </w:rPr>
        <w:t>st</w:t>
      </w:r>
      <w:r w:rsidRPr="00DC2CD2">
        <w:rPr>
          <w:rFonts w:ascii="Arial" w:hAnsi="Arial" w:cs="Arial"/>
        </w:rPr>
        <w:t xml:space="preserve"> April 20</w:t>
      </w:r>
      <w:r w:rsidR="007E2814">
        <w:rPr>
          <w:rFonts w:ascii="Arial" w:hAnsi="Arial" w:cs="Arial"/>
        </w:rPr>
        <w:t>21</w:t>
      </w:r>
      <w:r w:rsidRPr="00DC2CD2">
        <w:rPr>
          <w:rFonts w:ascii="Arial" w:hAnsi="Arial" w:cs="Arial"/>
        </w:rPr>
        <w:t xml:space="preserve"> to 31</w:t>
      </w:r>
      <w:r w:rsidRPr="00DC2CD2">
        <w:rPr>
          <w:rFonts w:ascii="Arial" w:hAnsi="Arial" w:cs="Arial"/>
          <w:vertAlign w:val="superscript"/>
        </w:rPr>
        <w:t>st</w:t>
      </w:r>
      <w:r w:rsidRPr="00DC2CD2">
        <w:rPr>
          <w:rFonts w:ascii="Arial" w:hAnsi="Arial" w:cs="Arial"/>
        </w:rPr>
        <w:t xml:space="preserve"> March 202</w:t>
      </w:r>
      <w:r w:rsidR="007E2814">
        <w:rPr>
          <w:rFonts w:ascii="Arial" w:hAnsi="Arial" w:cs="Arial"/>
        </w:rPr>
        <w:t>2</w:t>
      </w:r>
    </w:p>
    <w:p w14:paraId="0DA3E4AC" w14:textId="79EA3561" w:rsidR="00711582" w:rsidRPr="00DC2CD2" w:rsidRDefault="00711582" w:rsidP="00711582">
      <w:pPr>
        <w:pStyle w:val="ListParagraph"/>
        <w:rPr>
          <w:rFonts w:ascii="Arial" w:hAnsi="Arial" w:cs="Arial"/>
          <w:b/>
          <w:bCs/>
        </w:rPr>
      </w:pPr>
      <w:r w:rsidRPr="00DC2CD2">
        <w:rPr>
          <w:rFonts w:ascii="Arial" w:hAnsi="Arial" w:cs="Arial"/>
          <w:b/>
          <w:bCs/>
        </w:rPr>
        <w:t>Background</w:t>
      </w:r>
    </w:p>
    <w:p w14:paraId="00337435" w14:textId="3133989C" w:rsidR="00711582" w:rsidRPr="00DC2CD2" w:rsidRDefault="00711582" w:rsidP="003A3903">
      <w:pPr>
        <w:rPr>
          <w:rFonts w:ascii="Arial" w:hAnsi="Arial" w:cs="Arial"/>
        </w:rPr>
      </w:pPr>
      <w:r w:rsidRPr="00DC2CD2">
        <w:rPr>
          <w:rFonts w:ascii="Arial" w:hAnsi="Arial" w:cs="Arial"/>
        </w:rPr>
        <w:t xml:space="preserve">The North of Tyne Combined Authority (NTCA) was legally established in November 2018 with permanent staff recruited from </w:t>
      </w:r>
      <w:r w:rsidR="005D544C" w:rsidRPr="00DC2CD2">
        <w:rPr>
          <w:rFonts w:ascii="Arial" w:hAnsi="Arial" w:cs="Arial"/>
        </w:rPr>
        <w:t>this date.  T</w:t>
      </w:r>
      <w:r w:rsidRPr="00DC2CD2">
        <w:rPr>
          <w:rFonts w:ascii="Arial" w:hAnsi="Arial" w:cs="Arial"/>
        </w:rPr>
        <w:t>he area has a population of 83</w:t>
      </w:r>
      <w:r w:rsidR="007E2814">
        <w:rPr>
          <w:rFonts w:ascii="Arial" w:hAnsi="Arial" w:cs="Arial"/>
        </w:rPr>
        <w:t>9</w:t>
      </w:r>
      <w:r w:rsidRPr="00DC2CD2">
        <w:rPr>
          <w:rFonts w:ascii="Arial" w:hAnsi="Arial" w:cs="Arial"/>
        </w:rPr>
        <w:t>,</w:t>
      </w:r>
      <w:r w:rsidR="007E2814">
        <w:rPr>
          <w:rFonts w:ascii="Arial" w:hAnsi="Arial" w:cs="Arial"/>
        </w:rPr>
        <w:t>5</w:t>
      </w:r>
      <w:r w:rsidRPr="00DC2CD2">
        <w:rPr>
          <w:rFonts w:ascii="Arial" w:hAnsi="Arial" w:cs="Arial"/>
        </w:rPr>
        <w:t xml:space="preserve">00 and covers an area of 5209.3km, spanning the administrative boundaries of the three constituent Local Authority areas of Newcastle City Council, North Tyneside Council, Northumberland County Council.   </w:t>
      </w:r>
    </w:p>
    <w:p w14:paraId="038B9099" w14:textId="2DD24BE4" w:rsidR="00CE1E7A" w:rsidRPr="00DC2CD2" w:rsidRDefault="00F7508F" w:rsidP="00CE1E7A">
      <w:pPr>
        <w:rPr>
          <w:rFonts w:ascii="Arial" w:hAnsi="Arial" w:cs="Arial"/>
        </w:rPr>
      </w:pPr>
      <w:r w:rsidRPr="00DC2CD2">
        <w:rPr>
          <w:rFonts w:ascii="Arial" w:hAnsi="Arial" w:cs="Arial"/>
        </w:rPr>
        <w:t xml:space="preserve">All three constituent Local Authorities declared a climate emergency in 2019 and North of Tyne </w:t>
      </w:r>
      <w:r w:rsidR="00711582" w:rsidRPr="00DC2CD2">
        <w:rPr>
          <w:rFonts w:ascii="Arial" w:hAnsi="Arial" w:cs="Arial"/>
        </w:rPr>
        <w:t xml:space="preserve">Mayor Driscoll declared a climate emergency </w:t>
      </w:r>
      <w:r w:rsidR="00CE1E7A" w:rsidRPr="00DC2CD2">
        <w:rPr>
          <w:rFonts w:ascii="Arial" w:hAnsi="Arial" w:cs="Arial"/>
        </w:rPr>
        <w:t xml:space="preserve">during his first day in office </w:t>
      </w:r>
      <w:r w:rsidR="00711582" w:rsidRPr="00DC2CD2">
        <w:rPr>
          <w:rFonts w:ascii="Arial" w:hAnsi="Arial" w:cs="Arial"/>
        </w:rPr>
        <w:t>on 7</w:t>
      </w:r>
      <w:r w:rsidR="00711582" w:rsidRPr="00DC2CD2">
        <w:rPr>
          <w:rFonts w:ascii="Arial" w:hAnsi="Arial" w:cs="Arial"/>
          <w:vertAlign w:val="superscript"/>
        </w:rPr>
        <w:t>th</w:t>
      </w:r>
      <w:r w:rsidR="0016533C" w:rsidRPr="00DC2CD2">
        <w:rPr>
          <w:rFonts w:ascii="Arial" w:hAnsi="Arial" w:cs="Arial"/>
        </w:rPr>
        <w:t xml:space="preserve"> May </w:t>
      </w:r>
      <w:r w:rsidR="00711582" w:rsidRPr="00DC2CD2">
        <w:rPr>
          <w:rFonts w:ascii="Arial" w:hAnsi="Arial" w:cs="Arial"/>
        </w:rPr>
        <w:t xml:space="preserve">2019.  </w:t>
      </w:r>
      <w:r w:rsidR="00CE1E7A" w:rsidRPr="00DC2CD2">
        <w:rPr>
          <w:rFonts w:ascii="Arial" w:hAnsi="Arial" w:cs="Arial"/>
        </w:rPr>
        <w:t xml:space="preserve">NTCA adds value to local authority efforts to address climate change by functioning as an investor, partner, convening authority and a means of collaborating more effectively to add value and secure the additional investment and powers that the region needs.  </w:t>
      </w:r>
      <w:r w:rsidR="00C92EA4">
        <w:rPr>
          <w:rFonts w:ascii="Arial" w:hAnsi="Arial" w:cs="Arial"/>
        </w:rPr>
        <w:t xml:space="preserve">Our </w:t>
      </w:r>
      <w:hyperlink r:id="rId8" w:history="1">
        <w:r w:rsidR="00C92EA4" w:rsidRPr="00C92EA4">
          <w:rPr>
            <w:rStyle w:val="Hyperlink"/>
            <w:rFonts w:ascii="Arial" w:hAnsi="Arial" w:cs="Arial"/>
          </w:rPr>
          <w:t>Zero Carbon</w:t>
        </w:r>
        <w:r w:rsidR="00C92EA4">
          <w:rPr>
            <w:rStyle w:val="Hyperlink"/>
            <w:rFonts w:ascii="Arial" w:hAnsi="Arial" w:cs="Arial"/>
          </w:rPr>
          <w:t>,</w:t>
        </w:r>
        <w:r w:rsidR="00C92EA4" w:rsidRPr="00C92EA4">
          <w:rPr>
            <w:rStyle w:val="Hyperlink"/>
            <w:rFonts w:ascii="Arial" w:hAnsi="Arial" w:cs="Arial"/>
          </w:rPr>
          <w:t xml:space="preserve"> Zero Poverty</w:t>
        </w:r>
        <w:r w:rsidR="00C92EA4">
          <w:rPr>
            <w:rStyle w:val="Hyperlink"/>
            <w:rFonts w:ascii="Arial" w:hAnsi="Arial" w:cs="Arial"/>
          </w:rPr>
          <w:t>:</w:t>
        </w:r>
        <w:r w:rsidR="00C92EA4" w:rsidRPr="00C92EA4">
          <w:rPr>
            <w:rStyle w:val="Hyperlink"/>
            <w:rFonts w:ascii="Arial" w:hAnsi="Arial" w:cs="Arial"/>
          </w:rPr>
          <w:t xml:space="preserve"> 5 Point Plan</w:t>
        </w:r>
      </w:hyperlink>
      <w:r w:rsidR="00C92EA4">
        <w:rPr>
          <w:rFonts w:ascii="Arial" w:hAnsi="Arial" w:cs="Arial"/>
        </w:rPr>
        <w:t xml:space="preserve"> summarises our approach to tackling the climate emergency.</w:t>
      </w:r>
    </w:p>
    <w:p w14:paraId="32615F00" w14:textId="11842112" w:rsidR="009954C2" w:rsidRPr="00DC2CD2" w:rsidRDefault="003A3903">
      <w:pPr>
        <w:rPr>
          <w:rFonts w:ascii="Arial" w:hAnsi="Arial" w:cs="Arial"/>
          <w:b/>
          <w:bCs/>
        </w:rPr>
      </w:pPr>
      <w:r w:rsidRPr="00DC2CD2">
        <w:rPr>
          <w:rFonts w:ascii="Arial" w:hAnsi="Arial" w:cs="Arial"/>
          <w:b/>
          <w:bCs/>
        </w:rPr>
        <w:t>NTCA Carbon Footprint</w:t>
      </w:r>
    </w:p>
    <w:p w14:paraId="1804970D" w14:textId="52B79AC3" w:rsidR="00F7508F" w:rsidRPr="00DC2CD2" w:rsidRDefault="00711582">
      <w:pPr>
        <w:rPr>
          <w:rFonts w:ascii="Arial" w:hAnsi="Arial" w:cs="Arial"/>
        </w:rPr>
      </w:pPr>
      <w:r w:rsidRPr="00DC2CD2">
        <w:rPr>
          <w:rFonts w:ascii="Arial" w:hAnsi="Arial" w:cs="Arial"/>
        </w:rPr>
        <w:t xml:space="preserve">This is the North of Tyne Combined Authority’s </w:t>
      </w:r>
      <w:r w:rsidR="00006B8A">
        <w:rPr>
          <w:rFonts w:ascii="Arial" w:hAnsi="Arial" w:cs="Arial"/>
        </w:rPr>
        <w:t>second</w:t>
      </w:r>
      <w:r w:rsidRPr="00DC2CD2">
        <w:rPr>
          <w:rFonts w:ascii="Arial" w:hAnsi="Arial" w:cs="Arial"/>
        </w:rPr>
        <w:t xml:space="preserve"> </w:t>
      </w:r>
      <w:r w:rsidR="008618B9" w:rsidRPr="00DC2CD2">
        <w:rPr>
          <w:rFonts w:ascii="Arial" w:hAnsi="Arial" w:cs="Arial"/>
        </w:rPr>
        <w:t xml:space="preserve">organisational </w:t>
      </w:r>
      <w:r w:rsidRPr="00DC2CD2">
        <w:rPr>
          <w:rFonts w:ascii="Arial" w:hAnsi="Arial" w:cs="Arial"/>
        </w:rPr>
        <w:t xml:space="preserve">greenhouse gas report. Our baseline year is </w:t>
      </w:r>
      <w:r w:rsidR="003E78E1">
        <w:rPr>
          <w:rFonts w:ascii="Arial" w:hAnsi="Arial" w:cs="Arial"/>
        </w:rPr>
        <w:t>our first financial year of operation (</w:t>
      </w:r>
      <w:r w:rsidRPr="00DC2CD2">
        <w:rPr>
          <w:rFonts w:ascii="Arial" w:hAnsi="Arial" w:cs="Arial"/>
        </w:rPr>
        <w:t>20</w:t>
      </w:r>
      <w:r w:rsidR="004D5E8C">
        <w:rPr>
          <w:rFonts w:ascii="Arial" w:hAnsi="Arial" w:cs="Arial"/>
        </w:rPr>
        <w:t>19</w:t>
      </w:r>
      <w:r w:rsidR="007E2814">
        <w:rPr>
          <w:rFonts w:ascii="Arial" w:hAnsi="Arial" w:cs="Arial"/>
        </w:rPr>
        <w:t>-202</w:t>
      </w:r>
      <w:r w:rsidR="004D5E8C">
        <w:rPr>
          <w:rFonts w:ascii="Arial" w:hAnsi="Arial" w:cs="Arial"/>
        </w:rPr>
        <w:t>0</w:t>
      </w:r>
      <w:proofErr w:type="gramStart"/>
      <w:r w:rsidR="003E78E1">
        <w:rPr>
          <w:rFonts w:ascii="Arial" w:hAnsi="Arial" w:cs="Arial"/>
        </w:rPr>
        <w:t>)</w:t>
      </w:r>
      <w:proofErr w:type="gramEnd"/>
      <w:r w:rsidR="006129BA" w:rsidRPr="00DC2CD2">
        <w:rPr>
          <w:rFonts w:ascii="Arial" w:hAnsi="Arial" w:cs="Arial"/>
        </w:rPr>
        <w:t xml:space="preserve"> and this report covers our </w:t>
      </w:r>
      <w:r w:rsidR="007E2814">
        <w:rPr>
          <w:rFonts w:ascii="Arial" w:hAnsi="Arial" w:cs="Arial"/>
        </w:rPr>
        <w:t>third year</w:t>
      </w:r>
      <w:r w:rsidR="006129BA" w:rsidRPr="00DC2CD2">
        <w:rPr>
          <w:rFonts w:ascii="Arial" w:hAnsi="Arial" w:cs="Arial"/>
        </w:rPr>
        <w:t xml:space="preserve"> of operation between the period 20</w:t>
      </w:r>
      <w:r w:rsidR="007E2814">
        <w:rPr>
          <w:rFonts w:ascii="Arial" w:hAnsi="Arial" w:cs="Arial"/>
        </w:rPr>
        <w:t>21-2022</w:t>
      </w:r>
      <w:r w:rsidRPr="00DC2CD2">
        <w:rPr>
          <w:rFonts w:ascii="Arial" w:hAnsi="Arial" w:cs="Arial"/>
        </w:rPr>
        <w:t xml:space="preserve">. </w:t>
      </w:r>
      <w:r w:rsidR="006B3FC6" w:rsidRPr="00DC2CD2">
        <w:rPr>
          <w:rFonts w:ascii="Arial" w:hAnsi="Arial" w:cs="Arial"/>
        </w:rPr>
        <w:t xml:space="preserve"> </w:t>
      </w:r>
    </w:p>
    <w:p w14:paraId="125F88DE" w14:textId="59E324E0" w:rsidR="00AA7687" w:rsidRPr="00DC2CD2" w:rsidRDefault="00F7508F" w:rsidP="00AA7687">
      <w:pPr>
        <w:pStyle w:val="ListParagraph"/>
        <w:rPr>
          <w:rFonts w:ascii="Arial" w:hAnsi="Arial" w:cs="Arial"/>
          <w:b/>
          <w:bCs/>
        </w:rPr>
      </w:pPr>
      <w:r w:rsidRPr="00DC2CD2">
        <w:rPr>
          <w:rFonts w:ascii="Arial" w:hAnsi="Arial" w:cs="Arial"/>
          <w:b/>
          <w:bCs/>
        </w:rPr>
        <w:t>Approach</w:t>
      </w:r>
    </w:p>
    <w:p w14:paraId="65E5642F" w14:textId="4CE9CE5C" w:rsidR="00AA7687" w:rsidRPr="00DC2CD2" w:rsidRDefault="00AA7687" w:rsidP="00AA7687">
      <w:pPr>
        <w:spacing w:after="0"/>
        <w:rPr>
          <w:rFonts w:ascii="Arial" w:hAnsi="Arial" w:cs="Arial"/>
        </w:rPr>
      </w:pPr>
      <w:r w:rsidRPr="00DC2CD2">
        <w:rPr>
          <w:rFonts w:ascii="Arial" w:hAnsi="Arial" w:cs="Arial"/>
        </w:rPr>
        <w:t xml:space="preserve">We have followed the guidance issued by </w:t>
      </w:r>
      <w:hyperlink r:id="rId9" w:history="1">
        <w:r w:rsidRPr="00DC2CD2">
          <w:rPr>
            <w:rStyle w:val="Hyperlink"/>
            <w:rFonts w:ascii="Arial" w:hAnsi="Arial" w:cs="Arial"/>
            <w:color w:val="auto"/>
          </w:rPr>
          <w:t>DEFRA</w:t>
        </w:r>
      </w:hyperlink>
      <w:r w:rsidRPr="00DC2CD2">
        <w:rPr>
          <w:rFonts w:ascii="Arial" w:hAnsi="Arial" w:cs="Arial"/>
        </w:rPr>
        <w:t xml:space="preserve"> on how to measure and report</w:t>
      </w:r>
    </w:p>
    <w:p w14:paraId="7A0A7AF1" w14:textId="1D058F7D" w:rsidR="00AA7687" w:rsidRPr="00DC2CD2" w:rsidRDefault="00AA7687" w:rsidP="00AA7687">
      <w:pPr>
        <w:spacing w:after="0"/>
        <w:rPr>
          <w:rFonts w:ascii="Arial" w:hAnsi="Arial" w:cs="Arial"/>
        </w:rPr>
      </w:pPr>
      <w:r w:rsidRPr="00DC2CD2">
        <w:rPr>
          <w:rFonts w:ascii="Arial" w:hAnsi="Arial" w:cs="Arial"/>
        </w:rPr>
        <w:t xml:space="preserve">greenhouse gas emissions. We have used the </w:t>
      </w:r>
      <w:hyperlink r:id="rId10" w:history="1">
        <w:r w:rsidRPr="00DC2CD2">
          <w:rPr>
            <w:rStyle w:val="Hyperlink"/>
            <w:rFonts w:ascii="Arial" w:hAnsi="Arial" w:cs="Arial"/>
            <w:color w:val="auto"/>
          </w:rPr>
          <w:t>20</w:t>
        </w:r>
        <w:r w:rsidR="00006B8A">
          <w:rPr>
            <w:rStyle w:val="Hyperlink"/>
            <w:rFonts w:ascii="Arial" w:hAnsi="Arial" w:cs="Arial"/>
            <w:color w:val="auto"/>
          </w:rPr>
          <w:t>22</w:t>
        </w:r>
        <w:r w:rsidRPr="00DC2CD2">
          <w:rPr>
            <w:rStyle w:val="Hyperlink"/>
            <w:rFonts w:ascii="Arial" w:hAnsi="Arial" w:cs="Arial"/>
            <w:color w:val="auto"/>
          </w:rPr>
          <w:t xml:space="preserve"> Greenhouse Gas Reporting conversion factors</w:t>
        </w:r>
      </w:hyperlink>
      <w:r w:rsidRPr="00DC2CD2">
        <w:rPr>
          <w:rFonts w:ascii="Arial" w:hAnsi="Arial" w:cs="Arial"/>
        </w:rPr>
        <w:t xml:space="preserve"> published annually by the Department for Business Energy and Industrial Strategy </w:t>
      </w:r>
      <w:r w:rsidR="00006B8A">
        <w:rPr>
          <w:rFonts w:ascii="Arial" w:hAnsi="Arial" w:cs="Arial"/>
        </w:rPr>
        <w:t xml:space="preserve">(BEIS) </w:t>
      </w:r>
      <w:r w:rsidRPr="00DC2CD2">
        <w:rPr>
          <w:rFonts w:ascii="Arial" w:hAnsi="Arial" w:cs="Arial"/>
        </w:rPr>
        <w:t>to calculate organisational emissions</w:t>
      </w:r>
      <w:r w:rsidR="00C92EA4">
        <w:rPr>
          <w:rFonts w:ascii="Arial" w:hAnsi="Arial" w:cs="Arial"/>
        </w:rPr>
        <w:t xml:space="preserve">.  </w:t>
      </w:r>
    </w:p>
    <w:p w14:paraId="52E81C3D" w14:textId="77777777" w:rsidR="00AA7687" w:rsidRPr="00DC2CD2" w:rsidRDefault="00AA7687" w:rsidP="00AA7687">
      <w:pPr>
        <w:pStyle w:val="ListParagraph"/>
        <w:rPr>
          <w:rFonts w:ascii="Arial" w:hAnsi="Arial" w:cs="Arial"/>
        </w:rPr>
      </w:pPr>
    </w:p>
    <w:p w14:paraId="550B15D8" w14:textId="52B3AA48" w:rsidR="00F7508F" w:rsidRPr="00DC2CD2" w:rsidRDefault="00F7508F" w:rsidP="00AA7687">
      <w:pPr>
        <w:pStyle w:val="ListParagraph"/>
        <w:rPr>
          <w:rFonts w:ascii="Arial" w:hAnsi="Arial" w:cs="Arial"/>
          <w:b/>
          <w:bCs/>
        </w:rPr>
      </w:pPr>
      <w:r w:rsidRPr="00DC2CD2">
        <w:rPr>
          <w:rFonts w:ascii="Arial" w:hAnsi="Arial" w:cs="Arial"/>
          <w:b/>
          <w:bCs/>
        </w:rPr>
        <w:t>Organisational boundary</w:t>
      </w:r>
    </w:p>
    <w:p w14:paraId="3ED8C31A" w14:textId="2B06737C" w:rsidR="00CC7989" w:rsidRPr="00DC2CD2" w:rsidRDefault="002F47B1" w:rsidP="008F28C1">
      <w:pPr>
        <w:rPr>
          <w:rFonts w:ascii="Arial" w:hAnsi="Arial" w:cs="Arial"/>
        </w:rPr>
      </w:pPr>
      <w:r w:rsidRPr="00DC2CD2">
        <w:rPr>
          <w:rFonts w:ascii="Arial" w:hAnsi="Arial" w:cs="Arial"/>
        </w:rPr>
        <w:t xml:space="preserve">NTCA reports </w:t>
      </w:r>
      <w:r w:rsidR="001418BF" w:rsidRPr="00DC2CD2">
        <w:rPr>
          <w:rFonts w:ascii="Arial" w:hAnsi="Arial" w:cs="Arial"/>
        </w:rPr>
        <w:t xml:space="preserve">on operational </w:t>
      </w:r>
      <w:r w:rsidRPr="00DC2CD2">
        <w:rPr>
          <w:rFonts w:ascii="Arial" w:hAnsi="Arial" w:cs="Arial"/>
        </w:rPr>
        <w:t>emissions that it can directly influence and reduce. NTCA</w:t>
      </w:r>
      <w:r w:rsidR="00CC7989" w:rsidRPr="00DC2CD2">
        <w:rPr>
          <w:rFonts w:ascii="Arial" w:hAnsi="Arial" w:cs="Arial"/>
        </w:rPr>
        <w:t xml:space="preserve"> </w:t>
      </w:r>
      <w:r w:rsidR="003E4DAD">
        <w:rPr>
          <w:rFonts w:ascii="Arial" w:hAnsi="Arial" w:cs="Arial"/>
        </w:rPr>
        <w:t>employed 68</w:t>
      </w:r>
      <w:r w:rsidR="00DC2CD2" w:rsidRPr="00DC2CD2">
        <w:rPr>
          <w:rFonts w:ascii="Arial" w:hAnsi="Arial" w:cs="Arial"/>
        </w:rPr>
        <w:t xml:space="preserve"> </w:t>
      </w:r>
      <w:r w:rsidR="00CC7989" w:rsidRPr="00DC2CD2">
        <w:rPr>
          <w:rFonts w:ascii="Arial" w:hAnsi="Arial" w:cs="Arial"/>
        </w:rPr>
        <w:t>members of staff</w:t>
      </w:r>
      <w:r w:rsidR="003E4DAD">
        <w:rPr>
          <w:rFonts w:ascii="Arial" w:hAnsi="Arial" w:cs="Arial"/>
        </w:rPr>
        <w:t xml:space="preserve"> between April </w:t>
      </w:r>
      <w:proofErr w:type="gramStart"/>
      <w:r w:rsidR="003E4DAD">
        <w:rPr>
          <w:rFonts w:ascii="Arial" w:hAnsi="Arial" w:cs="Arial"/>
        </w:rPr>
        <w:t>1</w:t>
      </w:r>
      <w:r w:rsidR="003E4DAD" w:rsidRPr="00260E9F">
        <w:rPr>
          <w:rFonts w:ascii="Arial" w:hAnsi="Arial" w:cs="Arial"/>
          <w:vertAlign w:val="superscript"/>
        </w:rPr>
        <w:t>st</w:t>
      </w:r>
      <w:proofErr w:type="gramEnd"/>
      <w:r w:rsidR="003E4DAD">
        <w:rPr>
          <w:rFonts w:ascii="Arial" w:hAnsi="Arial" w:cs="Arial"/>
        </w:rPr>
        <w:t xml:space="preserve"> 2021 and March 31</w:t>
      </w:r>
      <w:r w:rsidR="003E4DAD" w:rsidRPr="00260E9F">
        <w:rPr>
          <w:rFonts w:ascii="Arial" w:hAnsi="Arial" w:cs="Arial"/>
          <w:vertAlign w:val="superscript"/>
        </w:rPr>
        <w:t>st</w:t>
      </w:r>
      <w:r w:rsidR="003E4DAD">
        <w:rPr>
          <w:rFonts w:ascii="Arial" w:hAnsi="Arial" w:cs="Arial"/>
        </w:rPr>
        <w:t xml:space="preserve"> 2022 </w:t>
      </w:r>
      <w:r w:rsidR="00CC7989" w:rsidRPr="00DC2CD2">
        <w:rPr>
          <w:rFonts w:ascii="Arial" w:hAnsi="Arial" w:cs="Arial"/>
        </w:rPr>
        <w:t xml:space="preserve"> and occupies office space</w:t>
      </w:r>
      <w:r w:rsidR="00357E92" w:rsidRPr="00DC2CD2">
        <w:rPr>
          <w:rFonts w:ascii="Arial" w:hAnsi="Arial" w:cs="Arial"/>
        </w:rPr>
        <w:t xml:space="preserve"> as a tenant</w:t>
      </w:r>
      <w:r w:rsidR="00CC7989" w:rsidRPr="00DC2CD2">
        <w:rPr>
          <w:rFonts w:ascii="Arial" w:hAnsi="Arial" w:cs="Arial"/>
        </w:rPr>
        <w:t xml:space="preserve">, with </w:t>
      </w:r>
      <w:r w:rsidR="003E4DAD">
        <w:rPr>
          <w:rFonts w:ascii="Arial" w:hAnsi="Arial" w:cs="Arial"/>
        </w:rPr>
        <w:t>access to pool cars via Newcastle City Council</w:t>
      </w:r>
      <w:r w:rsidR="00CC7989" w:rsidRPr="00DC2CD2">
        <w:rPr>
          <w:rFonts w:ascii="Arial" w:hAnsi="Arial" w:cs="Arial"/>
        </w:rPr>
        <w:t xml:space="preserve">.  Although NTCA </w:t>
      </w:r>
      <w:r w:rsidRPr="00DC2CD2">
        <w:rPr>
          <w:rFonts w:ascii="Arial" w:hAnsi="Arial" w:cs="Arial"/>
        </w:rPr>
        <w:t xml:space="preserve">is not obliged to report on operational emissions, </w:t>
      </w:r>
      <w:r w:rsidR="00CC7989" w:rsidRPr="00DC2CD2">
        <w:rPr>
          <w:rFonts w:ascii="Arial" w:hAnsi="Arial" w:cs="Arial"/>
        </w:rPr>
        <w:t>NTCA accepts a responsibility</w:t>
      </w:r>
      <w:r w:rsidRPr="00DC2CD2">
        <w:rPr>
          <w:rFonts w:ascii="Arial" w:hAnsi="Arial" w:cs="Arial"/>
        </w:rPr>
        <w:t xml:space="preserve"> to demonstrate leadership as well as the ability to influence and reduce staff energy and business-related transport emissions.  We will seek to continually improve our performance</w:t>
      </w:r>
      <w:r w:rsidR="00FD72C6" w:rsidRPr="00DC2CD2">
        <w:rPr>
          <w:rFonts w:ascii="Arial" w:hAnsi="Arial" w:cs="Arial"/>
        </w:rPr>
        <w:t>,</w:t>
      </w:r>
      <w:r w:rsidRPr="00DC2CD2">
        <w:rPr>
          <w:rFonts w:ascii="Arial" w:hAnsi="Arial" w:cs="Arial"/>
        </w:rPr>
        <w:t xml:space="preserve"> </w:t>
      </w:r>
      <w:r w:rsidR="00CC7989" w:rsidRPr="00DC2CD2">
        <w:rPr>
          <w:rFonts w:ascii="Arial" w:hAnsi="Arial" w:cs="Arial"/>
        </w:rPr>
        <w:t xml:space="preserve">working in partnership with our staff, neighbours, constituent Local Authorities, and wider stakeholders.  </w:t>
      </w:r>
    </w:p>
    <w:p w14:paraId="2551D41A" w14:textId="32073B07" w:rsidR="00F7508F" w:rsidRPr="00DC2CD2" w:rsidRDefault="00F7508F" w:rsidP="00AA7687">
      <w:pPr>
        <w:pStyle w:val="ListParagraph"/>
        <w:rPr>
          <w:rFonts w:ascii="Arial" w:hAnsi="Arial" w:cs="Arial"/>
          <w:b/>
          <w:bCs/>
        </w:rPr>
      </w:pPr>
      <w:r w:rsidRPr="00DC2CD2">
        <w:rPr>
          <w:rFonts w:ascii="Arial" w:hAnsi="Arial" w:cs="Arial"/>
          <w:b/>
          <w:bCs/>
        </w:rPr>
        <w:t>Geographical breakdown</w:t>
      </w:r>
      <w:r w:rsidR="003E78E1">
        <w:rPr>
          <w:rFonts w:ascii="Arial" w:hAnsi="Arial" w:cs="Arial"/>
          <w:b/>
          <w:bCs/>
        </w:rPr>
        <w:t xml:space="preserve"> </w:t>
      </w:r>
    </w:p>
    <w:p w14:paraId="3C505F68" w14:textId="544C1AF1" w:rsidR="00AA7687" w:rsidRDefault="00AA7687" w:rsidP="00AA7687">
      <w:pPr>
        <w:rPr>
          <w:rFonts w:ascii="Arial" w:hAnsi="Arial" w:cs="Arial"/>
        </w:rPr>
      </w:pPr>
      <w:r w:rsidRPr="00DC2CD2">
        <w:rPr>
          <w:rFonts w:ascii="Arial" w:hAnsi="Arial" w:cs="Arial"/>
        </w:rPr>
        <w:t xml:space="preserve">All emissions </w:t>
      </w:r>
      <w:r w:rsidR="00E30F43" w:rsidRPr="00DC2CD2">
        <w:rPr>
          <w:rFonts w:ascii="Arial" w:hAnsi="Arial" w:cs="Arial"/>
        </w:rPr>
        <w:t>within the direct influence of</w:t>
      </w:r>
      <w:r w:rsidRPr="00DC2CD2">
        <w:rPr>
          <w:rFonts w:ascii="Arial" w:hAnsi="Arial" w:cs="Arial"/>
        </w:rPr>
        <w:t xml:space="preserve"> NTCA are within the UK. </w:t>
      </w:r>
    </w:p>
    <w:p w14:paraId="06B26306" w14:textId="77777777" w:rsidR="00EF482D" w:rsidRPr="00DC2CD2" w:rsidRDefault="00EF482D" w:rsidP="00AA7687">
      <w:pPr>
        <w:rPr>
          <w:rFonts w:ascii="Arial" w:hAnsi="Arial" w:cs="Arial"/>
        </w:rPr>
      </w:pPr>
    </w:p>
    <w:p w14:paraId="4F42B652" w14:textId="31535471" w:rsidR="00F7508F" w:rsidRPr="00DC2CD2" w:rsidRDefault="00F7508F" w:rsidP="00E30F43">
      <w:pPr>
        <w:pStyle w:val="ListParagraph"/>
        <w:rPr>
          <w:rFonts w:ascii="Arial" w:hAnsi="Arial" w:cs="Arial"/>
          <w:b/>
          <w:bCs/>
        </w:rPr>
      </w:pPr>
      <w:r w:rsidRPr="00DC2CD2">
        <w:rPr>
          <w:rFonts w:ascii="Arial" w:hAnsi="Arial" w:cs="Arial"/>
          <w:b/>
          <w:bCs/>
        </w:rPr>
        <w:lastRenderedPageBreak/>
        <w:t>Base year</w:t>
      </w:r>
    </w:p>
    <w:p w14:paraId="21246F42" w14:textId="13884846" w:rsidR="00E30F43" w:rsidRPr="00DC2CD2" w:rsidRDefault="00E30F43" w:rsidP="00E30F43">
      <w:pPr>
        <w:rPr>
          <w:rFonts w:ascii="Arial" w:hAnsi="Arial" w:cs="Arial"/>
        </w:rPr>
      </w:pPr>
      <w:r w:rsidRPr="00DC2CD2">
        <w:rPr>
          <w:rFonts w:ascii="Arial" w:hAnsi="Arial" w:cs="Arial"/>
        </w:rPr>
        <w:t>The baseline year for emissions reporting is 1</w:t>
      </w:r>
      <w:r w:rsidRPr="00DC2CD2">
        <w:rPr>
          <w:rFonts w:ascii="Arial" w:hAnsi="Arial" w:cs="Arial"/>
          <w:vertAlign w:val="superscript"/>
        </w:rPr>
        <w:t>st</w:t>
      </w:r>
      <w:r w:rsidRPr="00DC2CD2">
        <w:rPr>
          <w:rFonts w:ascii="Arial" w:hAnsi="Arial" w:cs="Arial"/>
        </w:rPr>
        <w:t xml:space="preserve"> April </w:t>
      </w:r>
      <w:r w:rsidR="004D5E8C">
        <w:rPr>
          <w:rFonts w:ascii="Arial" w:hAnsi="Arial" w:cs="Arial"/>
        </w:rPr>
        <w:t>2019</w:t>
      </w:r>
      <w:r w:rsidRPr="00DC2CD2">
        <w:rPr>
          <w:rFonts w:ascii="Arial" w:hAnsi="Arial" w:cs="Arial"/>
        </w:rPr>
        <w:t xml:space="preserve"> to 31</w:t>
      </w:r>
      <w:r w:rsidRPr="00DC2CD2">
        <w:rPr>
          <w:rFonts w:ascii="Arial" w:hAnsi="Arial" w:cs="Arial"/>
          <w:vertAlign w:val="superscript"/>
        </w:rPr>
        <w:t>st</w:t>
      </w:r>
      <w:r w:rsidRPr="00DC2CD2">
        <w:rPr>
          <w:rFonts w:ascii="Arial" w:hAnsi="Arial" w:cs="Arial"/>
        </w:rPr>
        <w:t xml:space="preserve"> March 20</w:t>
      </w:r>
      <w:r w:rsidR="004D5E8C">
        <w:rPr>
          <w:rFonts w:ascii="Arial" w:hAnsi="Arial" w:cs="Arial"/>
        </w:rPr>
        <w:t>20</w:t>
      </w:r>
    </w:p>
    <w:p w14:paraId="2274432E" w14:textId="77777777" w:rsidR="003E78E1" w:rsidRDefault="003E78E1" w:rsidP="00E30F43">
      <w:pPr>
        <w:pStyle w:val="ListParagraph"/>
        <w:rPr>
          <w:rFonts w:ascii="Arial" w:hAnsi="Arial" w:cs="Arial"/>
          <w:b/>
          <w:bCs/>
        </w:rPr>
      </w:pPr>
    </w:p>
    <w:p w14:paraId="4D594F90" w14:textId="5A7054DB" w:rsidR="00F7508F" w:rsidRPr="00DC2CD2" w:rsidRDefault="00F7508F" w:rsidP="00E30F43">
      <w:pPr>
        <w:pStyle w:val="ListParagraph"/>
        <w:rPr>
          <w:rFonts w:ascii="Arial" w:hAnsi="Arial" w:cs="Arial"/>
          <w:b/>
          <w:bCs/>
        </w:rPr>
      </w:pPr>
      <w:r w:rsidRPr="00DC2CD2">
        <w:rPr>
          <w:rFonts w:ascii="Arial" w:hAnsi="Arial" w:cs="Arial"/>
          <w:b/>
          <w:bCs/>
        </w:rPr>
        <w:t>Operational scope</w:t>
      </w:r>
    </w:p>
    <w:p w14:paraId="09F37777" w14:textId="51537AE7" w:rsidR="00624C92" w:rsidRPr="00DC2CD2" w:rsidRDefault="00E30F43" w:rsidP="00624C92">
      <w:pPr>
        <w:autoSpaceDE w:val="0"/>
        <w:autoSpaceDN w:val="0"/>
        <w:adjustRightInd w:val="0"/>
        <w:spacing w:after="0" w:line="240" w:lineRule="auto"/>
        <w:rPr>
          <w:rFonts w:ascii="Arial" w:hAnsi="Arial" w:cs="Arial"/>
        </w:rPr>
      </w:pPr>
      <w:r w:rsidRPr="00DC2CD2">
        <w:rPr>
          <w:rFonts w:ascii="Arial" w:hAnsi="Arial" w:cs="Arial"/>
        </w:rPr>
        <w:t xml:space="preserve">NTCA’s Environment Policy </w:t>
      </w:r>
      <w:r w:rsidR="00F83841" w:rsidRPr="00DC2CD2">
        <w:rPr>
          <w:rFonts w:ascii="Arial" w:hAnsi="Arial" w:cs="Arial"/>
        </w:rPr>
        <w:t>s</w:t>
      </w:r>
      <w:r w:rsidRPr="00DC2CD2">
        <w:rPr>
          <w:rFonts w:ascii="Arial" w:hAnsi="Arial" w:cs="Arial"/>
        </w:rPr>
        <w:t xml:space="preserve">ets out how NTCA intends to work towards becoming a net zero carbon organisation.  </w:t>
      </w:r>
      <w:r w:rsidR="00624C92" w:rsidRPr="00DC2CD2">
        <w:rPr>
          <w:rFonts w:ascii="Arial" w:hAnsi="Arial" w:cs="Arial"/>
        </w:rPr>
        <w:t>It</w:t>
      </w:r>
      <w:r w:rsidRPr="00DC2CD2">
        <w:rPr>
          <w:rFonts w:ascii="Arial" w:hAnsi="Arial" w:cs="Arial"/>
        </w:rPr>
        <w:t xml:space="preserve"> commits NTCA to publicly report the ‘auditable’ carbon footprint of our organisation on an annual basis – this will include emissions that we can directly account for via our energy bills and business travel</w:t>
      </w:r>
      <w:r w:rsidR="00E7291D" w:rsidRPr="00DC2CD2">
        <w:rPr>
          <w:rFonts w:ascii="Arial" w:hAnsi="Arial" w:cs="Arial"/>
        </w:rPr>
        <w:t>.</w:t>
      </w:r>
      <w:r w:rsidRPr="00DC2CD2">
        <w:rPr>
          <w:rFonts w:ascii="Arial" w:hAnsi="Arial" w:cs="Arial"/>
        </w:rPr>
        <w:t xml:space="preserve"> </w:t>
      </w:r>
    </w:p>
    <w:p w14:paraId="6703BFAF" w14:textId="15DD8E2B" w:rsidR="00E7291D" w:rsidRPr="00DC2CD2" w:rsidRDefault="00E7291D" w:rsidP="00624C92">
      <w:pPr>
        <w:autoSpaceDE w:val="0"/>
        <w:autoSpaceDN w:val="0"/>
        <w:adjustRightInd w:val="0"/>
        <w:spacing w:after="0" w:line="240" w:lineRule="auto"/>
        <w:rPr>
          <w:rFonts w:ascii="Arial" w:hAnsi="Arial" w:cs="Arial"/>
        </w:rPr>
      </w:pPr>
    </w:p>
    <w:p w14:paraId="7E35D663" w14:textId="77777777" w:rsidR="00E7291D" w:rsidRPr="00DC2CD2" w:rsidRDefault="00E7291D" w:rsidP="00E7291D">
      <w:pPr>
        <w:autoSpaceDE w:val="0"/>
        <w:autoSpaceDN w:val="0"/>
        <w:adjustRightInd w:val="0"/>
        <w:spacing w:after="0" w:line="240" w:lineRule="auto"/>
        <w:rPr>
          <w:rFonts w:ascii="Arial" w:hAnsi="Arial" w:cs="Arial"/>
        </w:rPr>
      </w:pPr>
      <w:r w:rsidRPr="00DC2CD2">
        <w:rPr>
          <w:rFonts w:ascii="Arial" w:hAnsi="Arial" w:cs="Arial"/>
        </w:rPr>
        <w:t xml:space="preserve">Scope 1 greenhouse gas emissions are </w:t>
      </w:r>
      <w:r w:rsidRPr="00DC2CD2">
        <w:rPr>
          <w:rFonts w:ascii="Arial" w:hAnsi="Arial" w:cs="Arial"/>
          <w:b/>
          <w:bCs/>
        </w:rPr>
        <w:t>direct emissions</w:t>
      </w:r>
      <w:r w:rsidRPr="00DC2CD2">
        <w:rPr>
          <w:rFonts w:ascii="Arial" w:hAnsi="Arial" w:cs="Arial"/>
        </w:rPr>
        <w:t xml:space="preserve"> from activities owned or controlled by your organisation that release emissions straight into the atmosphere. Examples include emissions from combustion in owned or controlled boilers, and vehicles. </w:t>
      </w:r>
    </w:p>
    <w:p w14:paraId="726EA15A" w14:textId="77777777" w:rsidR="00E7291D" w:rsidRPr="00DC2CD2" w:rsidRDefault="00E7291D" w:rsidP="00E7291D">
      <w:pPr>
        <w:autoSpaceDE w:val="0"/>
        <w:autoSpaceDN w:val="0"/>
        <w:adjustRightInd w:val="0"/>
        <w:spacing w:after="0" w:line="240" w:lineRule="auto"/>
        <w:rPr>
          <w:rFonts w:ascii="Arial" w:hAnsi="Arial" w:cs="Arial"/>
        </w:rPr>
      </w:pPr>
    </w:p>
    <w:p w14:paraId="1930F09C" w14:textId="77777777" w:rsidR="00E7291D" w:rsidRPr="00DC2CD2" w:rsidRDefault="00E7291D" w:rsidP="00E7291D">
      <w:pPr>
        <w:autoSpaceDE w:val="0"/>
        <w:autoSpaceDN w:val="0"/>
        <w:adjustRightInd w:val="0"/>
        <w:spacing w:after="0" w:line="240" w:lineRule="auto"/>
        <w:rPr>
          <w:rFonts w:ascii="Arial" w:hAnsi="Arial" w:cs="Arial"/>
        </w:rPr>
      </w:pPr>
      <w:r w:rsidRPr="00DC2CD2">
        <w:rPr>
          <w:rFonts w:ascii="Arial" w:hAnsi="Arial" w:cs="Arial"/>
        </w:rPr>
        <w:t xml:space="preserve">Scope 2 greenhouse gas emissions are </w:t>
      </w:r>
      <w:r w:rsidRPr="00DC2CD2">
        <w:rPr>
          <w:rFonts w:ascii="Arial" w:hAnsi="Arial" w:cs="Arial"/>
          <w:b/>
          <w:bCs/>
        </w:rPr>
        <w:t>indirect emissions</w:t>
      </w:r>
      <w:r w:rsidRPr="00DC2CD2">
        <w:rPr>
          <w:rFonts w:ascii="Arial" w:hAnsi="Arial" w:cs="Arial"/>
        </w:rPr>
        <w:t xml:space="preserve"> released into the atmosphere associated with the consumption of purchased electricity, heat, </w:t>
      </w:r>
      <w:proofErr w:type="gramStart"/>
      <w:r w:rsidRPr="00DC2CD2">
        <w:rPr>
          <w:rFonts w:ascii="Arial" w:hAnsi="Arial" w:cs="Arial"/>
        </w:rPr>
        <w:t>steam</w:t>
      </w:r>
      <w:proofErr w:type="gramEnd"/>
      <w:r w:rsidRPr="00DC2CD2">
        <w:rPr>
          <w:rFonts w:ascii="Arial" w:hAnsi="Arial" w:cs="Arial"/>
        </w:rPr>
        <w:t xml:space="preserve"> and cooling. </w:t>
      </w:r>
    </w:p>
    <w:p w14:paraId="058B4E57" w14:textId="77777777" w:rsidR="00E7291D" w:rsidRPr="00DC2CD2" w:rsidRDefault="00E7291D" w:rsidP="00E7291D">
      <w:pPr>
        <w:autoSpaceDE w:val="0"/>
        <w:autoSpaceDN w:val="0"/>
        <w:adjustRightInd w:val="0"/>
        <w:spacing w:after="0" w:line="240" w:lineRule="auto"/>
        <w:rPr>
          <w:rFonts w:ascii="Arial" w:hAnsi="Arial" w:cs="Arial"/>
        </w:rPr>
      </w:pPr>
    </w:p>
    <w:p w14:paraId="0E04A7DA" w14:textId="22CDAFB7" w:rsidR="00624C92" w:rsidRPr="00DC2CD2" w:rsidRDefault="00624C92" w:rsidP="00624C92">
      <w:pPr>
        <w:spacing w:after="0" w:line="240" w:lineRule="auto"/>
        <w:rPr>
          <w:rFonts w:ascii="Arial" w:hAnsi="Arial" w:cs="Arial"/>
        </w:rPr>
      </w:pPr>
      <w:r w:rsidRPr="00DC2CD2">
        <w:rPr>
          <w:rFonts w:ascii="Arial" w:hAnsi="Arial" w:cs="Arial"/>
        </w:rPr>
        <w:t>The NTCA Environment Policy commits NTCA to offset organisational Scope 1 and 2 emissions where we are unable to further reduce our organisational energy use and business mileage</w:t>
      </w:r>
      <w:r w:rsidR="0013447C" w:rsidRPr="00DC2CD2">
        <w:rPr>
          <w:rFonts w:ascii="Arial" w:hAnsi="Arial" w:cs="Arial"/>
        </w:rPr>
        <w:t>,</w:t>
      </w:r>
      <w:r w:rsidRPr="00DC2CD2">
        <w:rPr>
          <w:rFonts w:ascii="Arial" w:hAnsi="Arial" w:cs="Arial"/>
        </w:rPr>
        <w:t xml:space="preserve"> using an accredited provider that only invests in verifiable offset projects in the UK. As far as possible</w:t>
      </w:r>
      <w:r w:rsidR="0013447C" w:rsidRPr="00DC2CD2">
        <w:rPr>
          <w:rFonts w:ascii="Arial" w:hAnsi="Arial" w:cs="Arial"/>
        </w:rPr>
        <w:t>,</w:t>
      </w:r>
      <w:r w:rsidRPr="00DC2CD2">
        <w:rPr>
          <w:rFonts w:ascii="Arial" w:hAnsi="Arial" w:cs="Arial"/>
        </w:rPr>
        <w:t xml:space="preserve"> these will be geographically located in the North of Tyne.</w:t>
      </w:r>
    </w:p>
    <w:p w14:paraId="539B5DA2" w14:textId="77777777" w:rsidR="00624C92" w:rsidRPr="00DC2CD2" w:rsidRDefault="00624C92" w:rsidP="00E30F43">
      <w:pPr>
        <w:spacing w:after="0" w:line="240" w:lineRule="auto"/>
        <w:rPr>
          <w:rFonts w:ascii="Arial" w:hAnsi="Arial" w:cs="Arial"/>
        </w:rPr>
      </w:pPr>
    </w:p>
    <w:p w14:paraId="271F8321" w14:textId="77777777" w:rsidR="00E7291D" w:rsidRPr="00DC2CD2" w:rsidRDefault="00E7291D" w:rsidP="00E7291D">
      <w:pPr>
        <w:autoSpaceDE w:val="0"/>
        <w:autoSpaceDN w:val="0"/>
        <w:adjustRightInd w:val="0"/>
        <w:spacing w:after="0" w:line="240" w:lineRule="auto"/>
        <w:rPr>
          <w:rFonts w:ascii="Arial" w:hAnsi="Arial" w:cs="Arial"/>
        </w:rPr>
      </w:pPr>
      <w:r w:rsidRPr="00DC2CD2">
        <w:rPr>
          <w:rFonts w:ascii="Arial" w:hAnsi="Arial" w:cs="Arial"/>
        </w:rPr>
        <w:t xml:space="preserve">Scope 3 greenhouse gas emissions are </w:t>
      </w:r>
      <w:r w:rsidRPr="00DC2CD2">
        <w:rPr>
          <w:rFonts w:ascii="Arial" w:hAnsi="Arial" w:cs="Arial"/>
          <w:b/>
          <w:bCs/>
        </w:rPr>
        <w:t xml:space="preserve">other indirect emissions </w:t>
      </w:r>
      <w:r w:rsidRPr="00DC2CD2">
        <w:rPr>
          <w:rFonts w:ascii="Arial" w:hAnsi="Arial" w:cs="Arial"/>
        </w:rPr>
        <w:t>that are a consequence of your actions, which occur at sources which you do not own or control and which are not classed as scope 2 emissions.  Examples include business travel by means not owned or controlled by your organisation, waste disposal, or purchased materials or fuels.</w:t>
      </w:r>
    </w:p>
    <w:p w14:paraId="4E2B797A" w14:textId="07C0608F" w:rsidR="00C92EA4" w:rsidRDefault="00E30F43" w:rsidP="00260E9F">
      <w:pPr>
        <w:spacing w:after="0" w:line="240" w:lineRule="auto"/>
        <w:rPr>
          <w:rFonts w:ascii="Arial" w:hAnsi="Arial" w:cs="Arial"/>
        </w:rPr>
      </w:pPr>
      <w:r w:rsidRPr="00DC2CD2">
        <w:rPr>
          <w:rFonts w:ascii="Arial" w:hAnsi="Arial" w:cs="Arial"/>
        </w:rPr>
        <w:t>NTCA Environment Policy commits us to regularly review options to monitor, report and reduce the embedded and indirect</w:t>
      </w:r>
      <w:r w:rsidR="00E7291D" w:rsidRPr="00DC2CD2">
        <w:rPr>
          <w:rFonts w:ascii="Arial" w:hAnsi="Arial" w:cs="Arial"/>
        </w:rPr>
        <w:t xml:space="preserve"> </w:t>
      </w:r>
      <w:r w:rsidRPr="00DC2CD2">
        <w:rPr>
          <w:rFonts w:ascii="Arial" w:hAnsi="Arial" w:cs="Arial"/>
        </w:rPr>
        <w:t>carbon emissions that arise from organisational activities</w:t>
      </w:r>
      <w:r w:rsidR="00C92EA4">
        <w:rPr>
          <w:rFonts w:ascii="Arial" w:hAnsi="Arial" w:cs="Arial"/>
        </w:rPr>
        <w:t xml:space="preserve"> but does not commit the organisation to offset Scope 3 emissions</w:t>
      </w:r>
      <w:r w:rsidR="00260E9F">
        <w:rPr>
          <w:rFonts w:ascii="Arial" w:hAnsi="Arial" w:cs="Arial"/>
        </w:rPr>
        <w:t xml:space="preserve">.  </w:t>
      </w:r>
    </w:p>
    <w:p w14:paraId="52F6BC4D" w14:textId="77777777" w:rsidR="00C92EA4" w:rsidRDefault="00C92EA4" w:rsidP="00260E9F">
      <w:pPr>
        <w:spacing w:after="0" w:line="240" w:lineRule="auto"/>
        <w:rPr>
          <w:rFonts w:ascii="Arial" w:hAnsi="Arial" w:cs="Arial"/>
        </w:rPr>
      </w:pPr>
    </w:p>
    <w:p w14:paraId="7AE1F20C" w14:textId="74E010F0" w:rsidR="006526EA" w:rsidRDefault="006526EA" w:rsidP="00260E9F">
      <w:pPr>
        <w:spacing w:after="0" w:line="240" w:lineRule="auto"/>
        <w:rPr>
          <w:rFonts w:ascii="Arial" w:hAnsi="Arial" w:cs="Arial"/>
        </w:rPr>
      </w:pPr>
      <w:r w:rsidRPr="00DC2CD2">
        <w:rPr>
          <w:rFonts w:ascii="Arial" w:hAnsi="Arial" w:cs="Arial"/>
        </w:rPr>
        <w:t>Issues relevant to note in relation to our baseline and annual</w:t>
      </w:r>
      <w:r w:rsidR="00260E9F">
        <w:rPr>
          <w:rFonts w:ascii="Arial" w:hAnsi="Arial" w:cs="Arial"/>
        </w:rPr>
        <w:t xml:space="preserve"> carbon footprint</w:t>
      </w:r>
      <w:r w:rsidRPr="00DC2CD2">
        <w:rPr>
          <w:rFonts w:ascii="Arial" w:hAnsi="Arial" w:cs="Arial"/>
        </w:rPr>
        <w:t xml:space="preserve"> reporting include: </w:t>
      </w:r>
    </w:p>
    <w:p w14:paraId="79480656" w14:textId="77777777" w:rsidR="00260E9F" w:rsidRPr="00DC2CD2" w:rsidRDefault="00260E9F" w:rsidP="00260E9F">
      <w:pPr>
        <w:spacing w:after="0" w:line="240" w:lineRule="auto"/>
        <w:rPr>
          <w:rFonts w:ascii="Arial" w:hAnsi="Arial" w:cs="Arial"/>
        </w:rPr>
      </w:pPr>
    </w:p>
    <w:p w14:paraId="490F9FB5" w14:textId="77777777" w:rsidR="006526EA" w:rsidRPr="00DC2CD2" w:rsidRDefault="006526EA" w:rsidP="00865D26">
      <w:pPr>
        <w:pStyle w:val="ListParagraph"/>
        <w:numPr>
          <w:ilvl w:val="0"/>
          <w:numId w:val="6"/>
        </w:numPr>
        <w:ind w:left="340" w:hanging="340"/>
        <w:rPr>
          <w:rFonts w:ascii="Arial" w:hAnsi="Arial" w:cs="Arial"/>
        </w:rPr>
      </w:pPr>
      <w:r w:rsidRPr="00DC2CD2">
        <w:rPr>
          <w:rFonts w:ascii="Arial" w:hAnsi="Arial" w:cs="Arial"/>
        </w:rPr>
        <w:t>NTCA was established by an act of Parliament in November 2018 so the first full financial year of operation and the baseline year for reporting is April 2019 to March 2020.</w:t>
      </w:r>
    </w:p>
    <w:p w14:paraId="776ECB93" w14:textId="6A7F87E1" w:rsidR="006526EA" w:rsidRPr="00DC2CD2" w:rsidRDefault="006526EA" w:rsidP="00865D26">
      <w:pPr>
        <w:pStyle w:val="ListParagraph"/>
        <w:numPr>
          <w:ilvl w:val="0"/>
          <w:numId w:val="6"/>
        </w:numPr>
        <w:ind w:left="340" w:hanging="340"/>
        <w:rPr>
          <w:rFonts w:ascii="Arial" w:hAnsi="Arial" w:cs="Arial"/>
        </w:rPr>
      </w:pPr>
      <w:r w:rsidRPr="00DC2CD2">
        <w:rPr>
          <w:rFonts w:ascii="Arial" w:hAnsi="Arial" w:cs="Arial"/>
        </w:rPr>
        <w:t>NTCA is a relatively small office and does not own building assets or fleet vehicles – in contra</w:t>
      </w:r>
      <w:r w:rsidR="007C5169" w:rsidRPr="00DC2CD2">
        <w:rPr>
          <w:rFonts w:ascii="Arial" w:hAnsi="Arial" w:cs="Arial"/>
        </w:rPr>
        <w:t>s</w:t>
      </w:r>
      <w:r w:rsidRPr="00DC2CD2">
        <w:rPr>
          <w:rFonts w:ascii="Arial" w:hAnsi="Arial" w:cs="Arial"/>
        </w:rPr>
        <w:t xml:space="preserve">t to Local Authorities who are large employers that own </w:t>
      </w:r>
      <w:r w:rsidR="000B6193">
        <w:rPr>
          <w:rFonts w:ascii="Arial" w:hAnsi="Arial" w:cs="Arial"/>
        </w:rPr>
        <w:t xml:space="preserve">significant </w:t>
      </w:r>
      <w:r w:rsidRPr="00DC2CD2">
        <w:rPr>
          <w:rFonts w:ascii="Arial" w:hAnsi="Arial" w:cs="Arial"/>
        </w:rPr>
        <w:t xml:space="preserve">assets and operate and commission a wide range of services across their local areas. </w:t>
      </w:r>
    </w:p>
    <w:p w14:paraId="4A107FF2" w14:textId="2AE5E653" w:rsidR="00260E9F" w:rsidRPr="00260E9F" w:rsidRDefault="006526EA" w:rsidP="00260E9F">
      <w:pPr>
        <w:pStyle w:val="ListParagraph"/>
        <w:numPr>
          <w:ilvl w:val="0"/>
          <w:numId w:val="6"/>
        </w:numPr>
        <w:ind w:left="340" w:hanging="340"/>
        <w:rPr>
          <w:rFonts w:ascii="Arial" w:hAnsi="Arial" w:cs="Arial"/>
        </w:rPr>
      </w:pPr>
      <w:r w:rsidRPr="00DC2CD2">
        <w:rPr>
          <w:rFonts w:ascii="Arial" w:hAnsi="Arial" w:cs="Arial"/>
        </w:rPr>
        <w:t xml:space="preserve">There </w:t>
      </w:r>
      <w:r w:rsidR="006B0027" w:rsidRPr="00DC2CD2">
        <w:rPr>
          <w:rFonts w:ascii="Arial" w:hAnsi="Arial" w:cs="Arial"/>
        </w:rPr>
        <w:t>were</w:t>
      </w:r>
      <w:r w:rsidRPr="00DC2CD2">
        <w:rPr>
          <w:rFonts w:ascii="Arial" w:hAnsi="Arial" w:cs="Arial"/>
        </w:rPr>
        <w:t xml:space="preserve"> no sub-meters for energy or water consumption in </w:t>
      </w:r>
      <w:r w:rsidR="006B0027" w:rsidRPr="00DC2CD2">
        <w:rPr>
          <w:rFonts w:ascii="Arial" w:hAnsi="Arial" w:cs="Arial"/>
        </w:rPr>
        <w:t xml:space="preserve">our offices at </w:t>
      </w:r>
      <w:r w:rsidRPr="00DC2CD2">
        <w:rPr>
          <w:rFonts w:ascii="Arial" w:hAnsi="Arial" w:cs="Arial"/>
        </w:rPr>
        <w:t xml:space="preserve">Quadrant West, so emissions have been calculated by sub-dividing the building scale energy consumption to a proportion based on NTCA occupancy of one floor of the building </w:t>
      </w:r>
      <w:r w:rsidR="003E4DAD">
        <w:rPr>
          <w:rFonts w:ascii="Arial" w:hAnsi="Arial" w:cs="Arial"/>
        </w:rPr>
        <w:t xml:space="preserve">between April </w:t>
      </w:r>
      <w:r w:rsidRPr="00DC2CD2">
        <w:rPr>
          <w:rFonts w:ascii="Arial" w:hAnsi="Arial" w:cs="Arial"/>
        </w:rPr>
        <w:t>20</w:t>
      </w:r>
      <w:r w:rsidR="003E4DAD">
        <w:rPr>
          <w:rFonts w:ascii="Arial" w:hAnsi="Arial" w:cs="Arial"/>
        </w:rPr>
        <w:t>21 to July 2022 as NTCA relocated to the Lumen in August 2021</w:t>
      </w:r>
      <w:r w:rsidRPr="00DC2CD2">
        <w:rPr>
          <w:rFonts w:ascii="Arial" w:hAnsi="Arial" w:cs="Arial"/>
        </w:rPr>
        <w:t xml:space="preserve">. </w:t>
      </w:r>
      <w:r w:rsidR="00BB7999">
        <w:rPr>
          <w:rFonts w:ascii="Arial" w:hAnsi="Arial" w:cs="Arial"/>
        </w:rPr>
        <w:t xml:space="preserve">  </w:t>
      </w:r>
      <w:r w:rsidR="00260E9F">
        <w:rPr>
          <w:rFonts w:ascii="Arial" w:hAnsi="Arial" w:cs="Arial"/>
        </w:rPr>
        <w:t xml:space="preserve">You can read The Lumen’s sustainability information </w:t>
      </w:r>
      <w:hyperlink r:id="rId11" w:history="1">
        <w:r w:rsidR="00260E9F" w:rsidRPr="00260E9F">
          <w:rPr>
            <w:rStyle w:val="Hyperlink"/>
            <w:rFonts w:ascii="Arial" w:hAnsi="Arial" w:cs="Arial"/>
          </w:rPr>
          <w:t>here</w:t>
        </w:r>
      </w:hyperlink>
      <w:r w:rsidR="00260E9F">
        <w:rPr>
          <w:rFonts w:ascii="Arial" w:hAnsi="Arial" w:cs="Arial"/>
        </w:rPr>
        <w:t xml:space="preserve">. </w:t>
      </w:r>
    </w:p>
    <w:p w14:paraId="37837A44" w14:textId="25CC587F" w:rsidR="007E2814" w:rsidRDefault="006526EA" w:rsidP="00865D26">
      <w:pPr>
        <w:pStyle w:val="ListParagraph"/>
        <w:numPr>
          <w:ilvl w:val="0"/>
          <w:numId w:val="6"/>
        </w:numPr>
        <w:ind w:left="340" w:hanging="340"/>
        <w:rPr>
          <w:rFonts w:ascii="Arial" w:hAnsi="Arial" w:cs="Arial"/>
        </w:rPr>
      </w:pPr>
      <w:r w:rsidRPr="00DC2CD2">
        <w:rPr>
          <w:rFonts w:ascii="Arial" w:hAnsi="Arial" w:cs="Arial"/>
        </w:rPr>
        <w:t>From 24</w:t>
      </w:r>
      <w:r w:rsidRPr="00DC2CD2">
        <w:rPr>
          <w:rFonts w:ascii="Arial" w:hAnsi="Arial" w:cs="Arial"/>
          <w:vertAlign w:val="superscript"/>
        </w:rPr>
        <w:t>th</w:t>
      </w:r>
      <w:r w:rsidRPr="00DC2CD2">
        <w:rPr>
          <w:rFonts w:ascii="Arial" w:hAnsi="Arial" w:cs="Arial"/>
        </w:rPr>
        <w:t xml:space="preserve"> March 2020, NTCA staff worked from home as per government guidance so no business travel is included in the greenhouse gas emissions reporting for April 2020-March 2021 and </w:t>
      </w:r>
      <w:r w:rsidR="006129BA" w:rsidRPr="00DC2CD2">
        <w:rPr>
          <w:rFonts w:ascii="Arial" w:hAnsi="Arial" w:cs="Arial"/>
        </w:rPr>
        <w:t xml:space="preserve">our </w:t>
      </w:r>
      <w:r w:rsidRPr="00DC2CD2">
        <w:rPr>
          <w:rFonts w:ascii="Arial" w:hAnsi="Arial" w:cs="Arial"/>
        </w:rPr>
        <w:t>energy consumption</w:t>
      </w:r>
      <w:r w:rsidR="006129BA" w:rsidRPr="00DC2CD2">
        <w:rPr>
          <w:rFonts w:ascii="Arial" w:hAnsi="Arial" w:cs="Arial"/>
        </w:rPr>
        <w:t xml:space="preserve"> while we were working from home</w:t>
      </w:r>
      <w:r w:rsidRPr="00DC2CD2">
        <w:rPr>
          <w:rFonts w:ascii="Arial" w:hAnsi="Arial" w:cs="Arial"/>
        </w:rPr>
        <w:t xml:space="preserve"> has been estimated based on </w:t>
      </w:r>
      <w:hyperlink r:id="rId12" w:history="1">
        <w:r w:rsidRPr="00DC2CD2">
          <w:rPr>
            <w:rStyle w:val="Hyperlink"/>
            <w:rFonts w:ascii="Arial" w:hAnsi="Arial" w:cs="Arial"/>
            <w:color w:val="auto"/>
          </w:rPr>
          <w:t>average domestic energy consumption in 2018</w:t>
        </w:r>
      </w:hyperlink>
      <w:r w:rsidRPr="00DC2CD2">
        <w:rPr>
          <w:rFonts w:ascii="Arial" w:hAnsi="Arial" w:cs="Arial"/>
        </w:rPr>
        <w:t xml:space="preserve"> for North of Tyne</w:t>
      </w:r>
      <w:r w:rsidR="00260E9F">
        <w:rPr>
          <w:rFonts w:ascii="Arial" w:hAnsi="Arial" w:cs="Arial"/>
        </w:rPr>
        <w:t xml:space="preserve"> which was the latest available data at the time</w:t>
      </w:r>
      <w:r w:rsidRPr="00DC2CD2">
        <w:rPr>
          <w:rFonts w:ascii="Arial" w:hAnsi="Arial" w:cs="Arial"/>
        </w:rPr>
        <w:t xml:space="preserve">. </w:t>
      </w:r>
    </w:p>
    <w:p w14:paraId="48A1A0E1" w14:textId="6032D5AA" w:rsidR="00E1074D" w:rsidRPr="00260E9F" w:rsidRDefault="007E2814" w:rsidP="008B3494">
      <w:pPr>
        <w:pStyle w:val="ListParagraph"/>
        <w:numPr>
          <w:ilvl w:val="0"/>
          <w:numId w:val="6"/>
        </w:numPr>
        <w:ind w:left="340" w:hanging="340"/>
        <w:rPr>
          <w:rFonts w:ascii="Arial" w:hAnsi="Arial" w:cs="Arial"/>
        </w:rPr>
      </w:pPr>
      <w:r>
        <w:rPr>
          <w:rFonts w:ascii="Arial" w:hAnsi="Arial" w:cs="Arial"/>
        </w:rPr>
        <w:t>NTCA</w:t>
      </w:r>
      <w:r w:rsidR="008B3494">
        <w:rPr>
          <w:rFonts w:ascii="Arial" w:hAnsi="Arial" w:cs="Arial"/>
        </w:rPr>
        <w:t xml:space="preserve"> relocated </w:t>
      </w:r>
      <w:r>
        <w:rPr>
          <w:rFonts w:ascii="Arial" w:hAnsi="Arial" w:cs="Arial"/>
        </w:rPr>
        <w:t>to The Lumen</w:t>
      </w:r>
      <w:r w:rsidR="008B3494">
        <w:rPr>
          <w:rFonts w:ascii="Arial" w:hAnsi="Arial" w:cs="Arial"/>
        </w:rPr>
        <w:t>, in central Newcastle upon Tyne</w:t>
      </w:r>
      <w:r>
        <w:rPr>
          <w:rFonts w:ascii="Arial" w:hAnsi="Arial" w:cs="Arial"/>
        </w:rPr>
        <w:t xml:space="preserve"> in August 2021</w:t>
      </w:r>
      <w:r w:rsidR="008B3494">
        <w:rPr>
          <w:rFonts w:ascii="Arial" w:hAnsi="Arial" w:cs="Arial"/>
        </w:rPr>
        <w:t xml:space="preserve"> and since then has operated on a hybrid working model where staff have the option both to work from the office and/or continue to work from home. </w:t>
      </w:r>
      <w:r w:rsidR="00260E9F">
        <w:rPr>
          <w:rFonts w:ascii="Arial" w:hAnsi="Arial" w:cs="Arial"/>
        </w:rPr>
        <w:t xml:space="preserve">The </w:t>
      </w:r>
      <w:hyperlink r:id="rId13" w:history="1">
        <w:r w:rsidR="00260E9F" w:rsidRPr="00260E9F">
          <w:rPr>
            <w:rStyle w:val="Hyperlink"/>
            <w:rFonts w:ascii="Arial" w:hAnsi="Arial" w:cs="Arial"/>
          </w:rPr>
          <w:t>2022 BEIS Greenhouse Gas Reporting Conversion Factors</w:t>
        </w:r>
      </w:hyperlink>
      <w:r w:rsidR="00260E9F">
        <w:rPr>
          <w:rFonts w:ascii="Arial" w:hAnsi="Arial" w:cs="Arial"/>
        </w:rPr>
        <w:t xml:space="preserve"> now include calculations for homeworking, so we have updated our approach to ensure coherent reporting. </w:t>
      </w:r>
    </w:p>
    <w:p w14:paraId="316D9280" w14:textId="3421D486" w:rsidR="006526EA" w:rsidRDefault="006526EA" w:rsidP="00C92EA4">
      <w:pPr>
        <w:rPr>
          <w:rFonts w:ascii="Arial" w:hAnsi="Arial" w:cs="Arial"/>
        </w:rPr>
      </w:pPr>
      <w:r w:rsidRPr="00DC2CD2">
        <w:rPr>
          <w:rFonts w:ascii="Arial" w:hAnsi="Arial" w:cs="Arial"/>
          <w:b/>
          <w:bCs/>
        </w:rPr>
        <w:lastRenderedPageBreak/>
        <w:t xml:space="preserve">This means </w:t>
      </w:r>
      <w:r w:rsidR="007E2814">
        <w:rPr>
          <w:rFonts w:ascii="Arial" w:hAnsi="Arial" w:cs="Arial"/>
          <w:b/>
          <w:bCs/>
        </w:rPr>
        <w:t xml:space="preserve">that </w:t>
      </w:r>
      <w:r w:rsidR="00260E9F">
        <w:rPr>
          <w:rFonts w:ascii="Arial" w:hAnsi="Arial" w:cs="Arial"/>
          <w:b/>
          <w:bCs/>
        </w:rPr>
        <w:t>NTCA</w:t>
      </w:r>
      <w:r w:rsidRPr="00DC2CD2">
        <w:rPr>
          <w:rFonts w:ascii="Arial" w:hAnsi="Arial" w:cs="Arial"/>
          <w:b/>
          <w:bCs/>
        </w:rPr>
        <w:t xml:space="preserve"> data reported </w:t>
      </w:r>
      <w:r w:rsidR="00406A74" w:rsidRPr="00DC2CD2">
        <w:rPr>
          <w:rFonts w:ascii="Arial" w:hAnsi="Arial" w:cs="Arial"/>
          <w:b/>
          <w:bCs/>
        </w:rPr>
        <w:t xml:space="preserve">below </w:t>
      </w:r>
      <w:r w:rsidRPr="00DC2CD2">
        <w:rPr>
          <w:rFonts w:ascii="Arial" w:hAnsi="Arial" w:cs="Arial"/>
          <w:b/>
          <w:bCs/>
        </w:rPr>
        <w:t>is not directly comparable to the baseline year of April 2020-March 2021</w:t>
      </w:r>
      <w:r w:rsidR="00406A74" w:rsidRPr="00DC2CD2">
        <w:rPr>
          <w:rFonts w:ascii="Arial" w:hAnsi="Arial" w:cs="Arial"/>
          <w:b/>
          <w:bCs/>
        </w:rPr>
        <w:t xml:space="preserve"> as it is not a ‘like for like’ comparison</w:t>
      </w:r>
      <w:r w:rsidRPr="00DC2CD2">
        <w:rPr>
          <w:rFonts w:ascii="Arial" w:hAnsi="Arial" w:cs="Arial"/>
        </w:rPr>
        <w:t xml:space="preserve">.  </w:t>
      </w:r>
      <w:r w:rsidR="00C92EA4" w:rsidRPr="002E7A02">
        <w:rPr>
          <w:rFonts w:ascii="Arial" w:hAnsi="Arial" w:cs="Arial"/>
          <w:b/>
          <w:bCs/>
        </w:rPr>
        <w:t>It is</w:t>
      </w:r>
      <w:r w:rsidR="00C92EA4">
        <w:rPr>
          <w:rFonts w:ascii="Arial" w:hAnsi="Arial" w:cs="Arial"/>
          <w:b/>
          <w:bCs/>
        </w:rPr>
        <w:t xml:space="preserve"> also</w:t>
      </w:r>
      <w:r w:rsidR="00C92EA4" w:rsidRPr="002E7A02">
        <w:rPr>
          <w:rFonts w:ascii="Arial" w:hAnsi="Arial" w:cs="Arial"/>
          <w:b/>
          <w:bCs/>
        </w:rPr>
        <w:t xml:space="preserve"> plausible that emissions have been overestimated in previous years</w:t>
      </w:r>
      <w:r w:rsidR="00C92EA4">
        <w:rPr>
          <w:rFonts w:ascii="Arial" w:hAnsi="Arial" w:cs="Arial"/>
          <w:b/>
          <w:bCs/>
        </w:rPr>
        <w:t>.</w:t>
      </w:r>
    </w:p>
    <w:p w14:paraId="0EC578F5" w14:textId="7287D2B3" w:rsidR="00E1074D" w:rsidRPr="008B3494" w:rsidRDefault="003E4DAD" w:rsidP="00260E9F">
      <w:pPr>
        <w:pStyle w:val="ListParagraph"/>
        <w:numPr>
          <w:ilvl w:val="0"/>
          <w:numId w:val="6"/>
        </w:numPr>
        <w:ind w:left="340" w:hanging="340"/>
        <w:rPr>
          <w:rFonts w:ascii="Arial" w:hAnsi="Arial" w:cs="Arial"/>
        </w:rPr>
      </w:pPr>
      <w:r>
        <w:rPr>
          <w:rFonts w:ascii="Arial" w:hAnsi="Arial" w:cs="Arial"/>
        </w:rPr>
        <w:t>From next</w:t>
      </w:r>
      <w:r w:rsidR="007E2814" w:rsidRPr="00E1074D">
        <w:rPr>
          <w:rFonts w:ascii="Arial" w:hAnsi="Arial" w:cs="Arial"/>
        </w:rPr>
        <w:t xml:space="preserve"> financial year</w:t>
      </w:r>
      <w:r w:rsidR="006526EA" w:rsidRPr="00E1074D">
        <w:rPr>
          <w:rFonts w:ascii="Arial" w:hAnsi="Arial" w:cs="Arial"/>
        </w:rPr>
        <w:t>, it will be possible to</w:t>
      </w:r>
      <w:r>
        <w:rPr>
          <w:rFonts w:ascii="Arial" w:hAnsi="Arial" w:cs="Arial"/>
        </w:rPr>
        <w:t xml:space="preserve"> </w:t>
      </w:r>
      <w:r w:rsidR="00006B8A">
        <w:rPr>
          <w:rFonts w:ascii="Arial" w:hAnsi="Arial" w:cs="Arial"/>
        </w:rPr>
        <w:t xml:space="preserve">begin </w:t>
      </w:r>
      <w:r>
        <w:rPr>
          <w:rFonts w:ascii="Arial" w:hAnsi="Arial" w:cs="Arial"/>
        </w:rPr>
        <w:t>consistently report</w:t>
      </w:r>
      <w:r w:rsidR="00006B8A">
        <w:rPr>
          <w:rFonts w:ascii="Arial" w:hAnsi="Arial" w:cs="Arial"/>
        </w:rPr>
        <w:t xml:space="preserve">ing </w:t>
      </w:r>
      <w:r>
        <w:rPr>
          <w:rFonts w:ascii="Arial" w:hAnsi="Arial" w:cs="Arial"/>
        </w:rPr>
        <w:t>organisational</w:t>
      </w:r>
      <w:r w:rsidR="006526EA" w:rsidRPr="00E1074D">
        <w:rPr>
          <w:rFonts w:ascii="Arial" w:hAnsi="Arial" w:cs="Arial"/>
        </w:rPr>
        <w:t xml:space="preserve"> emissions as The Lumen </w:t>
      </w:r>
      <w:r w:rsidR="00E1074D">
        <w:rPr>
          <w:rFonts w:ascii="Arial" w:hAnsi="Arial" w:cs="Arial"/>
        </w:rPr>
        <w:t>has</w:t>
      </w:r>
      <w:r w:rsidR="006526EA" w:rsidRPr="00E1074D">
        <w:rPr>
          <w:rFonts w:ascii="Arial" w:hAnsi="Arial" w:cs="Arial"/>
        </w:rPr>
        <w:t xml:space="preserve"> sub-metered data </w:t>
      </w:r>
      <w:r w:rsidR="00E1074D">
        <w:rPr>
          <w:rFonts w:ascii="Arial" w:hAnsi="Arial" w:cs="Arial"/>
        </w:rPr>
        <w:t>so we can accurately monitor</w:t>
      </w:r>
      <w:r w:rsidR="006526EA" w:rsidRPr="00E1074D">
        <w:rPr>
          <w:rFonts w:ascii="Arial" w:hAnsi="Arial" w:cs="Arial"/>
        </w:rPr>
        <w:t xml:space="preserve"> the actual CO</w:t>
      </w:r>
      <w:r w:rsidR="006526EA" w:rsidRPr="00E1074D">
        <w:rPr>
          <w:rFonts w:ascii="Arial" w:hAnsi="Arial" w:cs="Arial"/>
          <w:vertAlign w:val="subscript"/>
        </w:rPr>
        <w:t>2</w:t>
      </w:r>
      <w:r w:rsidR="006526EA" w:rsidRPr="00E1074D">
        <w:rPr>
          <w:rFonts w:ascii="Arial" w:hAnsi="Arial" w:cs="Arial"/>
        </w:rPr>
        <w:t xml:space="preserve"> emissions associated with </w:t>
      </w:r>
      <w:r w:rsidR="00260E9F">
        <w:rPr>
          <w:rFonts w:ascii="Arial" w:hAnsi="Arial" w:cs="Arial"/>
        </w:rPr>
        <w:t>organisational</w:t>
      </w:r>
      <w:r w:rsidR="006526EA" w:rsidRPr="00E1074D">
        <w:rPr>
          <w:rFonts w:ascii="Arial" w:hAnsi="Arial" w:cs="Arial"/>
        </w:rPr>
        <w:t xml:space="preserve"> energy consumpti</w:t>
      </w:r>
      <w:r w:rsidR="00B57AF5" w:rsidRPr="00E1074D">
        <w:rPr>
          <w:rFonts w:ascii="Arial" w:hAnsi="Arial" w:cs="Arial"/>
        </w:rPr>
        <w:t>on.</w:t>
      </w:r>
      <w:r>
        <w:rPr>
          <w:rFonts w:ascii="Arial" w:hAnsi="Arial" w:cs="Arial"/>
        </w:rPr>
        <w:t xml:space="preserve">  </w:t>
      </w:r>
    </w:p>
    <w:p w14:paraId="736AE44C" w14:textId="4BCE8445" w:rsidR="00B67960" w:rsidRPr="00DC2CD2" w:rsidRDefault="00B67960" w:rsidP="00865D26">
      <w:pPr>
        <w:pStyle w:val="ListParagraph"/>
        <w:numPr>
          <w:ilvl w:val="0"/>
          <w:numId w:val="6"/>
        </w:numPr>
        <w:shd w:val="clear" w:color="auto" w:fill="FFFFFF"/>
        <w:spacing w:before="180" w:after="180"/>
        <w:ind w:left="340" w:hanging="340"/>
        <w:rPr>
          <w:rFonts w:ascii="Arial" w:hAnsi="Arial" w:cs="Arial"/>
        </w:rPr>
      </w:pPr>
      <w:r w:rsidRPr="00DC2CD2">
        <w:rPr>
          <w:rFonts w:ascii="Arial" w:hAnsi="Arial" w:cs="Arial"/>
        </w:rPr>
        <w:t>NTCA invested in woodland creation verified under the Woodland Carbon Code</w:t>
      </w:r>
      <w:r w:rsidR="00006B8A">
        <w:rPr>
          <w:rFonts w:ascii="Arial" w:hAnsi="Arial" w:cs="Arial"/>
        </w:rPr>
        <w:t xml:space="preserve"> in 2021</w:t>
      </w:r>
      <w:r w:rsidRPr="00DC2CD2">
        <w:rPr>
          <w:rFonts w:ascii="Arial" w:hAnsi="Arial" w:cs="Arial"/>
        </w:rPr>
        <w:t xml:space="preserve"> as part of our strategy to reduce our corporate emissions. The Woodland Carbon Code is the voluntary standard for UK woodland creation projects where claims are made about the carbon dioxide they sequester. Independent validation and verification to this standard provides assurance and clarity about the carbon savings of these sustainably managed woodlands.  </w:t>
      </w:r>
    </w:p>
    <w:p w14:paraId="0D09406A" w14:textId="77777777" w:rsidR="00B67960" w:rsidRPr="00DC2CD2" w:rsidRDefault="00B67960" w:rsidP="00865D26">
      <w:pPr>
        <w:pStyle w:val="ListParagraph"/>
        <w:numPr>
          <w:ilvl w:val="1"/>
          <w:numId w:val="6"/>
        </w:numPr>
        <w:shd w:val="clear" w:color="auto" w:fill="FFFFFF"/>
        <w:spacing w:before="180" w:after="180"/>
        <w:ind w:left="1060"/>
        <w:rPr>
          <w:rFonts w:ascii="Arial" w:hAnsi="Arial" w:cs="Arial"/>
        </w:rPr>
      </w:pPr>
      <w:r w:rsidRPr="00DC2CD2">
        <w:rPr>
          <w:rFonts w:ascii="Arial" w:hAnsi="Arial" w:cs="Arial"/>
        </w:rPr>
        <w:t>A </w:t>
      </w:r>
      <w:r w:rsidRPr="00DC2CD2">
        <w:rPr>
          <w:rStyle w:val="Strong"/>
          <w:rFonts w:ascii="Arial" w:hAnsi="Arial" w:cs="Arial"/>
        </w:rPr>
        <w:t>Woodland Carbon Unit (WCU)</w:t>
      </w:r>
      <w:r w:rsidRPr="00DC2CD2">
        <w:rPr>
          <w:rFonts w:ascii="Arial" w:hAnsi="Arial" w:cs="Arial"/>
        </w:rPr>
        <w:t> is a tonne of CO</w:t>
      </w:r>
      <w:r w:rsidRPr="00DC2CD2">
        <w:rPr>
          <w:rFonts w:ascii="Arial" w:hAnsi="Arial" w:cs="Arial"/>
          <w:vertAlign w:val="subscript"/>
        </w:rPr>
        <w:t>2</w:t>
      </w:r>
      <w:r w:rsidRPr="00DC2CD2">
        <w:rPr>
          <w:rFonts w:ascii="Arial" w:hAnsi="Arial" w:cs="Arial"/>
        </w:rPr>
        <w:t>e which has been sequestered in a WCC-verified woodland. It has been independently verified, is guaranteed to be there, and can be used by companies to report against UK-based emissions or to use in claims of carbon neutrality or Net Zero emissions.</w:t>
      </w:r>
    </w:p>
    <w:p w14:paraId="539A12F0" w14:textId="24901AD7" w:rsidR="006526EA" w:rsidRDefault="00B67960" w:rsidP="00865D26">
      <w:pPr>
        <w:pStyle w:val="ListParagraph"/>
        <w:numPr>
          <w:ilvl w:val="1"/>
          <w:numId w:val="6"/>
        </w:numPr>
        <w:shd w:val="clear" w:color="auto" w:fill="FFFFFF"/>
        <w:spacing w:before="180" w:after="180"/>
        <w:ind w:left="1060"/>
        <w:rPr>
          <w:rFonts w:ascii="Arial" w:hAnsi="Arial" w:cs="Arial"/>
        </w:rPr>
      </w:pPr>
      <w:r w:rsidRPr="00DC2CD2">
        <w:rPr>
          <w:rFonts w:ascii="Arial" w:hAnsi="Arial" w:cs="Arial"/>
        </w:rPr>
        <w:t>A </w:t>
      </w:r>
      <w:r w:rsidRPr="00DC2CD2">
        <w:rPr>
          <w:rStyle w:val="Strong"/>
          <w:rFonts w:ascii="Arial" w:hAnsi="Arial" w:cs="Arial"/>
        </w:rPr>
        <w:t>Pending Issuance Unit (PIU)</w:t>
      </w:r>
      <w:r w:rsidRPr="00DC2CD2">
        <w:rPr>
          <w:rFonts w:ascii="Arial" w:hAnsi="Arial" w:cs="Arial"/>
        </w:rPr>
        <w:t xml:space="preserve"> is effectively a ‘promise to deliver’ a Woodland Carbon Unit in future, based on predicted sequestration. It is not ‘guaranteed’ therefore cannot be used to report against UK-based emissions until verified. However, it allows </w:t>
      </w:r>
      <w:r w:rsidR="00AA144E" w:rsidRPr="00DC2CD2">
        <w:rPr>
          <w:rFonts w:ascii="Arial" w:hAnsi="Arial" w:cs="Arial"/>
        </w:rPr>
        <w:t xml:space="preserve">organisations </w:t>
      </w:r>
      <w:r w:rsidRPr="00DC2CD2">
        <w:rPr>
          <w:rFonts w:ascii="Arial" w:hAnsi="Arial" w:cs="Arial"/>
        </w:rPr>
        <w:t>to plan to compensate for future UK-based emissions and make credible statements in support of woodland creation</w:t>
      </w:r>
      <w:r w:rsidR="00AA144E" w:rsidRPr="00DC2CD2">
        <w:rPr>
          <w:rFonts w:ascii="Arial" w:hAnsi="Arial" w:cs="Arial"/>
        </w:rPr>
        <w:t xml:space="preserve"> and Corporate Social Responsibility</w:t>
      </w:r>
      <w:r w:rsidRPr="00DC2CD2">
        <w:rPr>
          <w:rFonts w:ascii="Arial" w:hAnsi="Arial" w:cs="Arial"/>
        </w:rPr>
        <w:t>.</w:t>
      </w:r>
      <w:r w:rsidR="000743F3">
        <w:rPr>
          <w:rFonts w:ascii="Arial" w:hAnsi="Arial" w:cs="Arial"/>
        </w:rPr>
        <w:t xml:space="preserve"> When a </w:t>
      </w:r>
      <w:r w:rsidR="00361C27">
        <w:rPr>
          <w:rFonts w:ascii="Arial" w:hAnsi="Arial" w:cs="Arial"/>
        </w:rPr>
        <w:t>project</w:t>
      </w:r>
      <w:r w:rsidR="000743F3">
        <w:rPr>
          <w:rFonts w:ascii="Arial" w:hAnsi="Arial" w:cs="Arial"/>
        </w:rPr>
        <w:t xml:space="preserve"> is verified, PIUs which have been confirmed as sequestered will be converted to WCU</w:t>
      </w:r>
      <w:r w:rsidR="00361C27">
        <w:rPr>
          <w:rFonts w:ascii="Arial" w:hAnsi="Arial" w:cs="Arial"/>
        </w:rPr>
        <w:t xml:space="preserve">s and can be considered as full carbon ‘credits’, and as such be used/retired/reported. </w:t>
      </w:r>
    </w:p>
    <w:p w14:paraId="47625E2E" w14:textId="77777777" w:rsidR="005E5BB6" w:rsidRPr="00DC2CD2" w:rsidRDefault="005E5BB6" w:rsidP="005E5BB6">
      <w:pPr>
        <w:pStyle w:val="ListParagraph"/>
        <w:shd w:val="clear" w:color="auto" w:fill="FFFFFF"/>
        <w:spacing w:before="180" w:after="180"/>
        <w:ind w:left="1060"/>
        <w:rPr>
          <w:rFonts w:ascii="Arial" w:hAnsi="Arial" w:cs="Arial"/>
        </w:rPr>
      </w:pPr>
    </w:p>
    <w:p w14:paraId="167B96CA" w14:textId="22583785" w:rsidR="002E7A02" w:rsidRDefault="002E7A02" w:rsidP="00E1074D">
      <w:pPr>
        <w:pStyle w:val="ListParagraph"/>
        <w:numPr>
          <w:ilvl w:val="0"/>
          <w:numId w:val="6"/>
        </w:numPr>
        <w:shd w:val="clear" w:color="auto" w:fill="FFFFFF"/>
        <w:spacing w:before="180" w:after="180"/>
        <w:ind w:left="340" w:hanging="340"/>
        <w:rPr>
          <w:rFonts w:ascii="Arial" w:hAnsi="Arial" w:cs="Arial"/>
        </w:rPr>
      </w:pPr>
      <w:r w:rsidRPr="004C32D6">
        <w:rPr>
          <w:rFonts w:ascii="Arial" w:hAnsi="Arial" w:cs="Arial"/>
        </w:rPr>
        <w:t>NTCA purchased 1146 Pending Issuance Units from Forest Carbon for</w:t>
      </w:r>
      <w:r>
        <w:rPr>
          <w:rFonts w:ascii="Arial" w:hAnsi="Arial" w:cs="Arial"/>
        </w:rPr>
        <w:t xml:space="preserve"> woodland planted in</w:t>
      </w:r>
      <w:r w:rsidRPr="004C32D6">
        <w:rPr>
          <w:rFonts w:ascii="Arial" w:hAnsi="Arial" w:cs="Arial"/>
        </w:rPr>
        <w:t xml:space="preserve"> Doddington North is new mixed woodland located in </w:t>
      </w:r>
      <w:proofErr w:type="spellStart"/>
      <w:r w:rsidRPr="004C32D6">
        <w:rPr>
          <w:rFonts w:ascii="Arial" w:hAnsi="Arial" w:cs="Arial"/>
        </w:rPr>
        <w:t>Wooler</w:t>
      </w:r>
      <w:proofErr w:type="spellEnd"/>
      <w:r w:rsidRPr="004C32D6">
        <w:rPr>
          <w:rFonts w:ascii="Arial" w:hAnsi="Arial" w:cs="Arial"/>
        </w:rPr>
        <w:t xml:space="preserve">, Northumberland. </w:t>
      </w:r>
      <w:r w:rsidRPr="004C32D6">
        <w:rPr>
          <w:rStyle w:val="gmaildefault"/>
          <w:rFonts w:ascii="Arial" w:hAnsi="Arial" w:cs="Arial"/>
        </w:rPr>
        <w:t>Planting only concluded at this site in 2020 and so these units represent carbon capture that will occur in the future, as the woodland grows. There are no Woodland Carbon Code certified woodlands in the region mature enough yet to have delivered measurable carbon savings, which would be represented by </w:t>
      </w:r>
      <w:r w:rsidRPr="004C32D6">
        <w:rPr>
          <w:rFonts w:ascii="Arial" w:hAnsi="Arial" w:cs="Arial"/>
        </w:rPr>
        <w:t>verified Woodland Carbon Units. Forest Carbon develops woodland creation and peatland restoration projects for carbon capture and ecosystem services in the UK. The woodland schemes are certified by the Woodland Carbon Code and planting the ‘right tree in the right place’ is required through adherence to the Forestry Commission standards.</w:t>
      </w:r>
    </w:p>
    <w:p w14:paraId="2D569E5E" w14:textId="77777777" w:rsidR="00C92EA4" w:rsidRDefault="00C92EA4" w:rsidP="00C92EA4">
      <w:pPr>
        <w:pStyle w:val="ListParagraph"/>
        <w:shd w:val="clear" w:color="auto" w:fill="FFFFFF"/>
        <w:spacing w:before="180" w:after="180"/>
        <w:ind w:left="340"/>
        <w:rPr>
          <w:rFonts w:ascii="Arial" w:hAnsi="Arial" w:cs="Arial"/>
        </w:rPr>
      </w:pPr>
    </w:p>
    <w:p w14:paraId="09FC9A4C" w14:textId="525858EC" w:rsidR="00E1074D" w:rsidRDefault="00E1074D" w:rsidP="00E1074D">
      <w:pPr>
        <w:pStyle w:val="ListParagraph"/>
        <w:numPr>
          <w:ilvl w:val="0"/>
          <w:numId w:val="6"/>
        </w:numPr>
        <w:shd w:val="clear" w:color="auto" w:fill="FFFFFF"/>
        <w:spacing w:before="180" w:after="180"/>
        <w:ind w:left="340" w:hanging="340"/>
        <w:rPr>
          <w:rFonts w:ascii="Arial" w:hAnsi="Arial" w:cs="Arial"/>
        </w:rPr>
      </w:pPr>
      <w:r w:rsidRPr="00DC2CD2">
        <w:rPr>
          <w:rFonts w:ascii="Arial" w:hAnsi="Arial" w:cs="Arial"/>
        </w:rPr>
        <w:t>NTCA understands that offsetting carbon emissions is not a replacement for changing organisational behaviour to reduce the emissions associated with our day</w:t>
      </w:r>
      <w:r w:rsidR="00C92EA4">
        <w:rPr>
          <w:rFonts w:ascii="Arial" w:hAnsi="Arial" w:cs="Arial"/>
        </w:rPr>
        <w:t>-</w:t>
      </w:r>
      <w:r w:rsidRPr="00DC2CD2">
        <w:rPr>
          <w:rFonts w:ascii="Arial" w:hAnsi="Arial" w:cs="Arial"/>
        </w:rPr>
        <w:t>to</w:t>
      </w:r>
      <w:r w:rsidR="00C92EA4">
        <w:rPr>
          <w:rFonts w:ascii="Arial" w:hAnsi="Arial" w:cs="Arial"/>
        </w:rPr>
        <w:t>-</w:t>
      </w:r>
      <w:r w:rsidRPr="00DC2CD2">
        <w:rPr>
          <w:rFonts w:ascii="Arial" w:hAnsi="Arial" w:cs="Arial"/>
        </w:rPr>
        <w:t xml:space="preserve">day business. </w:t>
      </w:r>
      <w:r>
        <w:rPr>
          <w:rFonts w:ascii="Arial" w:hAnsi="Arial" w:cs="Arial"/>
        </w:rPr>
        <w:t xml:space="preserve">NTCA has </w:t>
      </w:r>
      <w:r w:rsidR="000B6193">
        <w:rPr>
          <w:rFonts w:ascii="Arial" w:hAnsi="Arial" w:cs="Arial"/>
        </w:rPr>
        <w:t>undertaken</w:t>
      </w:r>
      <w:r>
        <w:rPr>
          <w:rFonts w:ascii="Arial" w:hAnsi="Arial" w:cs="Arial"/>
        </w:rPr>
        <w:t xml:space="preserve"> the following activities to help staff reduce their organisational energy consumption: </w:t>
      </w:r>
    </w:p>
    <w:p w14:paraId="58AF1C69" w14:textId="2FCABFB2" w:rsidR="00E20772" w:rsidRDefault="00E20772" w:rsidP="000B6193">
      <w:pPr>
        <w:pStyle w:val="ListParagraph"/>
        <w:numPr>
          <w:ilvl w:val="1"/>
          <w:numId w:val="6"/>
        </w:numPr>
        <w:shd w:val="clear" w:color="auto" w:fill="FFFFFF"/>
        <w:spacing w:before="180" w:after="180"/>
        <w:rPr>
          <w:rFonts w:ascii="Arial" w:hAnsi="Arial" w:cs="Arial"/>
        </w:rPr>
      </w:pPr>
      <w:r>
        <w:rPr>
          <w:rFonts w:ascii="Arial" w:hAnsi="Arial" w:cs="Arial"/>
        </w:rPr>
        <w:t>Pre-loved sofas were purchased for the staff common area</w:t>
      </w:r>
    </w:p>
    <w:p w14:paraId="6FE9886A" w14:textId="15EA3BA8" w:rsidR="000B6193" w:rsidRDefault="0027026A" w:rsidP="000B6193">
      <w:pPr>
        <w:pStyle w:val="ListParagraph"/>
        <w:numPr>
          <w:ilvl w:val="1"/>
          <w:numId w:val="6"/>
        </w:numPr>
        <w:shd w:val="clear" w:color="auto" w:fill="FFFFFF"/>
        <w:spacing w:before="180" w:after="180"/>
        <w:rPr>
          <w:rFonts w:ascii="Arial" w:hAnsi="Arial" w:cs="Arial"/>
        </w:rPr>
      </w:pPr>
      <w:r>
        <w:rPr>
          <w:rFonts w:ascii="Arial" w:hAnsi="Arial" w:cs="Arial"/>
        </w:rPr>
        <w:t>In early 2021 s</w:t>
      </w:r>
      <w:r w:rsidR="00F06798">
        <w:rPr>
          <w:rFonts w:ascii="Arial" w:hAnsi="Arial" w:cs="Arial"/>
        </w:rPr>
        <w:t xml:space="preserve">taff were </w:t>
      </w:r>
      <w:r w:rsidR="00260E9F">
        <w:rPr>
          <w:rFonts w:ascii="Arial" w:hAnsi="Arial" w:cs="Arial"/>
        </w:rPr>
        <w:t>provided with verbal and written information on domestic renewable energy tariffs.</w:t>
      </w:r>
      <w:r w:rsidR="00F06798">
        <w:rPr>
          <w:rFonts w:ascii="Arial" w:hAnsi="Arial" w:cs="Arial"/>
        </w:rPr>
        <w:t xml:space="preserve"> </w:t>
      </w:r>
    </w:p>
    <w:p w14:paraId="55FF4983" w14:textId="249DB9F7" w:rsidR="00E6564C" w:rsidRDefault="00E6564C" w:rsidP="000B6193">
      <w:pPr>
        <w:pStyle w:val="ListParagraph"/>
        <w:numPr>
          <w:ilvl w:val="1"/>
          <w:numId w:val="6"/>
        </w:numPr>
        <w:shd w:val="clear" w:color="auto" w:fill="FFFFFF"/>
        <w:spacing w:before="180" w:after="180"/>
        <w:rPr>
          <w:rFonts w:ascii="Arial" w:hAnsi="Arial" w:cs="Arial"/>
        </w:rPr>
      </w:pPr>
      <w:r>
        <w:rPr>
          <w:rFonts w:ascii="Arial" w:hAnsi="Arial" w:cs="Arial"/>
        </w:rPr>
        <w:t>In 2022 videos and transcripts on energy saving at home and at the office were shared with staff</w:t>
      </w:r>
    </w:p>
    <w:p w14:paraId="400D4F7F" w14:textId="0BC65D62" w:rsidR="00F06798" w:rsidRDefault="00F06798" w:rsidP="000B6193">
      <w:pPr>
        <w:pStyle w:val="ListParagraph"/>
        <w:numPr>
          <w:ilvl w:val="1"/>
          <w:numId w:val="6"/>
        </w:numPr>
        <w:shd w:val="clear" w:color="auto" w:fill="FFFFFF"/>
        <w:spacing w:before="180" w:after="180"/>
        <w:rPr>
          <w:rFonts w:ascii="Arial" w:hAnsi="Arial" w:cs="Arial"/>
        </w:rPr>
      </w:pPr>
      <w:r>
        <w:rPr>
          <w:rFonts w:ascii="Arial" w:hAnsi="Arial" w:cs="Arial"/>
        </w:rPr>
        <w:t xml:space="preserve">The timings of the Building Management System (BMS) are under regular review and are adjusted seasonally, </w:t>
      </w:r>
      <w:proofErr w:type="gramStart"/>
      <w:r>
        <w:rPr>
          <w:rFonts w:ascii="Arial" w:hAnsi="Arial" w:cs="Arial"/>
        </w:rPr>
        <w:t>and also</w:t>
      </w:r>
      <w:proofErr w:type="gramEnd"/>
      <w:r>
        <w:rPr>
          <w:rFonts w:ascii="Arial" w:hAnsi="Arial" w:cs="Arial"/>
        </w:rPr>
        <w:t xml:space="preserve"> to reduce emissions where possible</w:t>
      </w:r>
      <w:r w:rsidR="00292DA1">
        <w:rPr>
          <w:rFonts w:ascii="Arial" w:hAnsi="Arial" w:cs="Arial"/>
        </w:rPr>
        <w:t xml:space="preserve">.  For </w:t>
      </w:r>
      <w:r>
        <w:rPr>
          <w:rFonts w:ascii="Arial" w:hAnsi="Arial" w:cs="Arial"/>
        </w:rPr>
        <w:t xml:space="preserve"> example</w:t>
      </w:r>
      <w:r w:rsidR="00292DA1">
        <w:rPr>
          <w:rFonts w:ascii="Arial" w:hAnsi="Arial" w:cs="Arial"/>
        </w:rPr>
        <w:t>,</w:t>
      </w:r>
      <w:r>
        <w:rPr>
          <w:rFonts w:ascii="Arial" w:hAnsi="Arial" w:cs="Arial"/>
        </w:rPr>
        <w:t xml:space="preserve"> turning off heating at 5pm on the basis most staff do not work later than </w:t>
      </w:r>
      <w:r w:rsidR="00292DA1">
        <w:rPr>
          <w:rFonts w:ascii="Arial" w:hAnsi="Arial" w:cs="Arial"/>
        </w:rPr>
        <w:t>6</w:t>
      </w:r>
      <w:r>
        <w:rPr>
          <w:rFonts w:ascii="Arial" w:hAnsi="Arial" w:cs="Arial"/>
        </w:rPr>
        <w:t xml:space="preserve">pm and there are individual temperature controls in the meeting rooms so the temperature could be turned up in one individual room rather than keeping the </w:t>
      </w:r>
      <w:r w:rsidR="00292DA1">
        <w:rPr>
          <w:rFonts w:ascii="Arial" w:hAnsi="Arial" w:cs="Arial"/>
        </w:rPr>
        <w:t xml:space="preserve">heating on for the </w:t>
      </w:r>
      <w:r>
        <w:rPr>
          <w:rFonts w:ascii="Arial" w:hAnsi="Arial" w:cs="Arial"/>
        </w:rPr>
        <w:t xml:space="preserve">whole floor </w:t>
      </w:r>
      <w:r w:rsidR="00292DA1">
        <w:rPr>
          <w:rFonts w:ascii="Arial" w:hAnsi="Arial" w:cs="Arial"/>
        </w:rPr>
        <w:t>w</w:t>
      </w:r>
      <w:r>
        <w:rPr>
          <w:rFonts w:ascii="Arial" w:hAnsi="Arial" w:cs="Arial"/>
        </w:rPr>
        <w:t>hen most staff have left</w:t>
      </w:r>
      <w:r w:rsidR="00292DA1">
        <w:rPr>
          <w:rFonts w:ascii="Arial" w:hAnsi="Arial" w:cs="Arial"/>
        </w:rPr>
        <w:t xml:space="preserve"> the office</w:t>
      </w:r>
    </w:p>
    <w:p w14:paraId="0870CEE7" w14:textId="53D9B3D5" w:rsidR="00F06798" w:rsidRDefault="00F06798" w:rsidP="000B6193">
      <w:pPr>
        <w:pStyle w:val="ListParagraph"/>
        <w:numPr>
          <w:ilvl w:val="1"/>
          <w:numId w:val="6"/>
        </w:numPr>
        <w:shd w:val="clear" w:color="auto" w:fill="FFFFFF"/>
        <w:spacing w:before="180" w:after="180"/>
        <w:rPr>
          <w:rFonts w:ascii="Arial" w:hAnsi="Arial" w:cs="Arial"/>
        </w:rPr>
      </w:pPr>
      <w:r>
        <w:rPr>
          <w:rFonts w:ascii="Arial" w:hAnsi="Arial" w:cs="Arial"/>
        </w:rPr>
        <w:t xml:space="preserve">NTCA have piloted Carbon Literacy training, with 5 staff gaining Carbon Literacy accreditation. </w:t>
      </w:r>
      <w:r w:rsidR="00E6564C">
        <w:rPr>
          <w:rFonts w:ascii="Arial" w:hAnsi="Arial" w:cs="Arial"/>
        </w:rPr>
        <w:t>P</w:t>
      </w:r>
      <w:r>
        <w:rPr>
          <w:rFonts w:ascii="Arial" w:hAnsi="Arial" w:cs="Arial"/>
        </w:rPr>
        <w:t xml:space="preserve">ledges were focused on reducing organisational emissions, including </w:t>
      </w:r>
      <w:r w:rsidR="0027026A">
        <w:rPr>
          <w:rFonts w:ascii="Arial" w:hAnsi="Arial" w:cs="Arial"/>
        </w:rPr>
        <w:t xml:space="preserve">some </w:t>
      </w:r>
      <w:r>
        <w:rPr>
          <w:rFonts w:ascii="Arial" w:hAnsi="Arial" w:cs="Arial"/>
        </w:rPr>
        <w:t xml:space="preserve">that are not monitored </w:t>
      </w:r>
      <w:r w:rsidR="0027026A">
        <w:rPr>
          <w:rFonts w:ascii="Arial" w:hAnsi="Arial" w:cs="Arial"/>
        </w:rPr>
        <w:t>under our Corporate Environment Policy</w:t>
      </w:r>
      <w:r>
        <w:rPr>
          <w:rFonts w:ascii="Arial" w:hAnsi="Arial" w:cs="Arial"/>
        </w:rPr>
        <w:t>, for exampl</w:t>
      </w:r>
      <w:r w:rsidR="0027026A">
        <w:rPr>
          <w:rFonts w:ascii="Arial" w:hAnsi="Arial" w:cs="Arial"/>
        </w:rPr>
        <w:t xml:space="preserve">e: </w:t>
      </w:r>
    </w:p>
    <w:p w14:paraId="5F67E2CF" w14:textId="25F79D88" w:rsidR="0027026A" w:rsidRDefault="0027026A" w:rsidP="00006B8A">
      <w:pPr>
        <w:pStyle w:val="ListParagraph"/>
        <w:numPr>
          <w:ilvl w:val="2"/>
          <w:numId w:val="6"/>
        </w:numPr>
        <w:shd w:val="clear" w:color="auto" w:fill="FFFFFF"/>
        <w:spacing w:before="180" w:after="180"/>
        <w:rPr>
          <w:rFonts w:ascii="Arial" w:hAnsi="Arial" w:cs="Arial"/>
        </w:rPr>
      </w:pPr>
      <w:r>
        <w:rPr>
          <w:rFonts w:ascii="Arial" w:hAnsi="Arial" w:cs="Arial"/>
        </w:rPr>
        <w:lastRenderedPageBreak/>
        <w:t>P</w:t>
      </w:r>
      <w:r w:rsidRPr="0027026A">
        <w:rPr>
          <w:rFonts w:ascii="Arial" w:hAnsi="Arial" w:cs="Arial"/>
        </w:rPr>
        <w:t>rovid</w:t>
      </w:r>
      <w:r>
        <w:rPr>
          <w:rFonts w:ascii="Arial" w:hAnsi="Arial" w:cs="Arial"/>
        </w:rPr>
        <w:t>ing</w:t>
      </w:r>
      <w:r w:rsidRPr="0027026A">
        <w:rPr>
          <w:rFonts w:ascii="Arial" w:hAnsi="Arial" w:cs="Arial"/>
        </w:rPr>
        <w:t xml:space="preserve"> and promot</w:t>
      </w:r>
      <w:r>
        <w:rPr>
          <w:rFonts w:ascii="Arial" w:hAnsi="Arial" w:cs="Arial"/>
        </w:rPr>
        <w:t>ing</w:t>
      </w:r>
      <w:r w:rsidRPr="0027026A">
        <w:rPr>
          <w:rFonts w:ascii="Arial" w:hAnsi="Arial" w:cs="Arial"/>
        </w:rPr>
        <w:t xml:space="preserve"> resources and expertise to help businesses reduce their carbon footprint</w:t>
      </w:r>
    </w:p>
    <w:p w14:paraId="5125F57F" w14:textId="2449CD10" w:rsidR="0027026A" w:rsidRDefault="0027026A" w:rsidP="00006B8A">
      <w:pPr>
        <w:pStyle w:val="ListParagraph"/>
        <w:numPr>
          <w:ilvl w:val="2"/>
          <w:numId w:val="6"/>
        </w:numPr>
        <w:shd w:val="clear" w:color="auto" w:fill="FFFFFF"/>
        <w:spacing w:before="180" w:after="180"/>
        <w:rPr>
          <w:rFonts w:ascii="Arial" w:hAnsi="Arial" w:cs="Arial"/>
        </w:rPr>
      </w:pPr>
      <w:r>
        <w:rPr>
          <w:rFonts w:ascii="Arial" w:hAnsi="Arial" w:cs="Arial"/>
        </w:rPr>
        <w:t xml:space="preserve">Encouraging businesses applying for grants to consider their climate impact and how this can be reduced </w:t>
      </w:r>
    </w:p>
    <w:p w14:paraId="3F0BB0E2" w14:textId="3FBB57FD" w:rsidR="0027026A" w:rsidRDefault="0027026A" w:rsidP="00006B8A">
      <w:pPr>
        <w:pStyle w:val="ListParagraph"/>
        <w:numPr>
          <w:ilvl w:val="2"/>
          <w:numId w:val="6"/>
        </w:numPr>
        <w:shd w:val="clear" w:color="auto" w:fill="FFFFFF"/>
        <w:spacing w:before="180" w:after="180"/>
        <w:rPr>
          <w:rFonts w:ascii="Arial" w:hAnsi="Arial" w:cs="Arial"/>
        </w:rPr>
      </w:pPr>
      <w:r>
        <w:rPr>
          <w:rFonts w:ascii="Arial" w:hAnsi="Arial" w:cs="Arial"/>
        </w:rPr>
        <w:t xml:space="preserve">Proposing that NTCA </w:t>
      </w:r>
      <w:r w:rsidRPr="0027026A">
        <w:rPr>
          <w:rFonts w:ascii="Arial" w:hAnsi="Arial" w:cs="Arial"/>
        </w:rPr>
        <w:t>lease or buy one or more electric bike</w:t>
      </w:r>
      <w:r>
        <w:rPr>
          <w:rFonts w:ascii="Arial" w:hAnsi="Arial" w:cs="Arial"/>
        </w:rPr>
        <w:t xml:space="preserve">s to </w:t>
      </w:r>
      <w:r w:rsidRPr="0027026A">
        <w:rPr>
          <w:rFonts w:ascii="Arial" w:hAnsi="Arial" w:cs="Arial"/>
        </w:rPr>
        <w:t xml:space="preserve">enable staff to undertake short to medium length journeys for work and enable staff to transport materials. </w:t>
      </w:r>
    </w:p>
    <w:p w14:paraId="112B61E6" w14:textId="65ACE419" w:rsidR="0027026A" w:rsidRDefault="0027026A" w:rsidP="00006B8A">
      <w:pPr>
        <w:pStyle w:val="ListParagraph"/>
        <w:numPr>
          <w:ilvl w:val="2"/>
          <w:numId w:val="6"/>
        </w:numPr>
        <w:shd w:val="clear" w:color="auto" w:fill="FFFFFF"/>
        <w:spacing w:before="180" w:after="180"/>
        <w:rPr>
          <w:rFonts w:ascii="Arial" w:hAnsi="Arial" w:cs="Arial"/>
        </w:rPr>
      </w:pPr>
      <w:r w:rsidRPr="0027026A">
        <w:rPr>
          <w:rFonts w:ascii="Arial" w:hAnsi="Arial" w:cs="Arial"/>
        </w:rPr>
        <w:t>Providing hybrid meetings to allow colleagues and</w:t>
      </w:r>
      <w:r>
        <w:rPr>
          <w:rFonts w:ascii="Arial" w:hAnsi="Arial" w:cs="Arial"/>
        </w:rPr>
        <w:t xml:space="preserve"> stakeholders</w:t>
      </w:r>
      <w:r w:rsidRPr="0027026A">
        <w:rPr>
          <w:rFonts w:ascii="Arial" w:hAnsi="Arial" w:cs="Arial"/>
        </w:rPr>
        <w:t xml:space="preserve"> to work from home rather than travel to meetings</w:t>
      </w:r>
      <w:r>
        <w:rPr>
          <w:rFonts w:ascii="Arial" w:hAnsi="Arial" w:cs="Arial"/>
        </w:rPr>
        <w:t xml:space="preserve"> – including narrative that the meetings are </w:t>
      </w:r>
      <w:r w:rsidRPr="0027026A">
        <w:rPr>
          <w:rFonts w:ascii="Arial" w:hAnsi="Arial" w:cs="Arial"/>
        </w:rPr>
        <w:t>optional hybrid to reduce carbon emissions which will raise awareness of the issue.</w:t>
      </w:r>
    </w:p>
    <w:p w14:paraId="34B781C1" w14:textId="43701E32" w:rsidR="0027026A" w:rsidRDefault="0027026A" w:rsidP="00006B8A">
      <w:pPr>
        <w:pStyle w:val="ListParagraph"/>
        <w:numPr>
          <w:ilvl w:val="2"/>
          <w:numId w:val="6"/>
        </w:numPr>
        <w:shd w:val="clear" w:color="auto" w:fill="FFFFFF"/>
        <w:spacing w:before="180" w:after="180"/>
        <w:rPr>
          <w:rFonts w:ascii="Arial" w:hAnsi="Arial" w:cs="Arial"/>
        </w:rPr>
      </w:pPr>
      <w:r>
        <w:rPr>
          <w:rFonts w:ascii="Arial" w:hAnsi="Arial" w:cs="Arial"/>
        </w:rPr>
        <w:t>Suggesting NTCA introduce a policy that for our events or events we co-host where we provide catering, we only serve low carbon food</w:t>
      </w:r>
    </w:p>
    <w:p w14:paraId="3654683A" w14:textId="16DF7723" w:rsidR="005E5BB6" w:rsidRDefault="005E5BB6" w:rsidP="00AE02DF">
      <w:pPr>
        <w:pStyle w:val="ListParagraph"/>
        <w:numPr>
          <w:ilvl w:val="0"/>
          <w:numId w:val="6"/>
        </w:numPr>
        <w:shd w:val="clear" w:color="auto" w:fill="FFFFFF"/>
        <w:spacing w:before="180" w:after="180"/>
        <w:ind w:left="340" w:hanging="340"/>
        <w:rPr>
          <w:rFonts w:ascii="Arial" w:hAnsi="Arial" w:cs="Arial"/>
        </w:rPr>
      </w:pPr>
      <w:r w:rsidRPr="005E5BB6">
        <w:rPr>
          <w:rFonts w:ascii="Arial" w:hAnsi="Arial" w:cs="Arial"/>
        </w:rPr>
        <w:t>NTCA have set up a “Green Teams” channel for staff</w:t>
      </w:r>
      <w:r>
        <w:rPr>
          <w:rFonts w:ascii="Arial" w:hAnsi="Arial" w:cs="Arial"/>
        </w:rPr>
        <w:t xml:space="preserve"> </w:t>
      </w:r>
      <w:r w:rsidRPr="005E5BB6">
        <w:rPr>
          <w:rFonts w:ascii="Arial" w:hAnsi="Arial" w:cs="Arial"/>
        </w:rPr>
        <w:t>to share ideas, inspire and support each other to reduce our carbon footprint and live more sustainably</w:t>
      </w:r>
    </w:p>
    <w:p w14:paraId="43C4C9E9" w14:textId="02B2E5A9" w:rsidR="00BB7999" w:rsidRPr="005E5BB6" w:rsidRDefault="00BB7999" w:rsidP="00AE02DF">
      <w:pPr>
        <w:pStyle w:val="ListParagraph"/>
        <w:numPr>
          <w:ilvl w:val="0"/>
          <w:numId w:val="6"/>
        </w:numPr>
        <w:shd w:val="clear" w:color="auto" w:fill="FFFFFF"/>
        <w:spacing w:before="180" w:after="180"/>
        <w:ind w:left="340" w:hanging="340"/>
        <w:rPr>
          <w:rFonts w:ascii="Arial" w:hAnsi="Arial" w:cs="Arial"/>
        </w:rPr>
      </w:pPr>
      <w:r w:rsidRPr="005E5BB6">
        <w:rPr>
          <w:rFonts w:ascii="Arial" w:hAnsi="Arial" w:cs="Arial"/>
        </w:rPr>
        <w:t>The Lumen has</w:t>
      </w:r>
      <w:r w:rsidR="00260E9F" w:rsidRPr="005E5BB6">
        <w:rPr>
          <w:rFonts w:ascii="Arial" w:hAnsi="Arial" w:cs="Arial"/>
        </w:rPr>
        <w:t xml:space="preserve"> beehives on the roof </w:t>
      </w:r>
      <w:r w:rsidRPr="005E5BB6">
        <w:rPr>
          <w:rFonts w:ascii="Arial" w:hAnsi="Arial" w:cs="Arial"/>
        </w:rPr>
        <w:t xml:space="preserve">and </w:t>
      </w:r>
      <w:r w:rsidR="00292DA1">
        <w:rPr>
          <w:rFonts w:ascii="Arial" w:hAnsi="Arial" w:cs="Arial"/>
        </w:rPr>
        <w:t>tenants of the Lumen, including NTCA staff,</w:t>
      </w:r>
      <w:r w:rsidRPr="005E5BB6">
        <w:rPr>
          <w:rFonts w:ascii="Arial" w:hAnsi="Arial" w:cs="Arial"/>
        </w:rPr>
        <w:t xml:space="preserve"> were given the opportunity to undertake training in</w:t>
      </w:r>
      <w:r w:rsidR="005E5BB6" w:rsidRPr="005E5BB6">
        <w:rPr>
          <w:rFonts w:ascii="Arial" w:hAnsi="Arial" w:cs="Arial"/>
        </w:rPr>
        <w:t xml:space="preserve"> how to look after the bee</w:t>
      </w:r>
      <w:r w:rsidR="005E5BB6">
        <w:rPr>
          <w:rFonts w:ascii="Arial" w:hAnsi="Arial" w:cs="Arial"/>
        </w:rPr>
        <w:t>s – the spare honey produced is sold at reception, potentially reducing the carbon footprint of honey purchased as well as supporting urban biodiversity</w:t>
      </w:r>
    </w:p>
    <w:tbl>
      <w:tblPr>
        <w:tblStyle w:val="TableGrid"/>
        <w:tblW w:w="0" w:type="auto"/>
        <w:tblLook w:val="04A0" w:firstRow="1" w:lastRow="0" w:firstColumn="1" w:lastColumn="0" w:noHBand="0" w:noVBand="1"/>
      </w:tblPr>
      <w:tblGrid>
        <w:gridCol w:w="3206"/>
        <w:gridCol w:w="1916"/>
        <w:gridCol w:w="2048"/>
        <w:gridCol w:w="1846"/>
      </w:tblGrid>
      <w:tr w:rsidR="003E4DAD" w:rsidRPr="00DC2CD2" w14:paraId="5826C7E6" w14:textId="2712852A" w:rsidTr="00014303">
        <w:tc>
          <w:tcPr>
            <w:tcW w:w="3206" w:type="dxa"/>
          </w:tcPr>
          <w:p w14:paraId="3861F575" w14:textId="77777777" w:rsidR="003E4DAD" w:rsidRPr="00DC2CD2" w:rsidRDefault="003E4DAD" w:rsidP="008F04E9">
            <w:pPr>
              <w:rPr>
                <w:rFonts w:ascii="Arial" w:hAnsi="Arial" w:cs="Arial"/>
              </w:rPr>
            </w:pPr>
          </w:p>
        </w:tc>
        <w:tc>
          <w:tcPr>
            <w:tcW w:w="5810" w:type="dxa"/>
            <w:gridSpan w:val="3"/>
          </w:tcPr>
          <w:p w14:paraId="0C8B70EE" w14:textId="11369827" w:rsidR="003E4DAD" w:rsidRPr="00DC2CD2" w:rsidRDefault="003E4DAD" w:rsidP="008F04E9">
            <w:pPr>
              <w:jc w:val="center"/>
              <w:rPr>
                <w:rFonts w:ascii="Arial" w:hAnsi="Arial" w:cs="Arial"/>
                <w:b/>
                <w:bCs/>
              </w:rPr>
            </w:pPr>
            <w:r w:rsidRPr="00DC2CD2">
              <w:rPr>
                <w:rFonts w:ascii="Arial" w:hAnsi="Arial" w:cs="Arial"/>
                <w:b/>
                <w:bCs/>
              </w:rPr>
              <w:t>Tonnes of CO</w:t>
            </w:r>
            <w:r w:rsidRPr="00DC2CD2">
              <w:rPr>
                <w:rFonts w:ascii="Arial" w:hAnsi="Arial" w:cs="Arial"/>
                <w:b/>
                <w:bCs/>
                <w:vertAlign w:val="subscript"/>
              </w:rPr>
              <w:t>2</w:t>
            </w:r>
            <w:r w:rsidRPr="00DC2CD2">
              <w:rPr>
                <w:rFonts w:ascii="Arial" w:hAnsi="Arial" w:cs="Arial"/>
                <w:b/>
                <w:bCs/>
              </w:rPr>
              <w:t>e</w:t>
            </w:r>
          </w:p>
        </w:tc>
      </w:tr>
      <w:tr w:rsidR="003E4DAD" w:rsidRPr="00DC2CD2" w14:paraId="7B03B683" w14:textId="5C7817AD" w:rsidTr="00CD3F13">
        <w:tc>
          <w:tcPr>
            <w:tcW w:w="3206" w:type="dxa"/>
          </w:tcPr>
          <w:p w14:paraId="62CFB5DE" w14:textId="77777777" w:rsidR="003E4DAD" w:rsidRPr="00DC2CD2" w:rsidRDefault="003E4DAD" w:rsidP="008F04E9">
            <w:pPr>
              <w:rPr>
                <w:rFonts w:ascii="Arial" w:hAnsi="Arial" w:cs="Arial"/>
                <w:b/>
                <w:bCs/>
              </w:rPr>
            </w:pPr>
          </w:p>
        </w:tc>
        <w:tc>
          <w:tcPr>
            <w:tcW w:w="1916" w:type="dxa"/>
          </w:tcPr>
          <w:p w14:paraId="5580F464" w14:textId="77777777" w:rsidR="003E4DAD" w:rsidRPr="00DC2CD2" w:rsidRDefault="003E4DAD" w:rsidP="008F04E9">
            <w:pPr>
              <w:jc w:val="center"/>
              <w:rPr>
                <w:rFonts w:ascii="Arial" w:hAnsi="Arial" w:cs="Arial"/>
                <w:b/>
                <w:bCs/>
              </w:rPr>
            </w:pPr>
            <w:r w:rsidRPr="00DC2CD2">
              <w:rPr>
                <w:rFonts w:ascii="Arial" w:hAnsi="Arial" w:cs="Arial"/>
                <w:b/>
                <w:bCs/>
              </w:rPr>
              <w:t>2019-20</w:t>
            </w:r>
          </w:p>
        </w:tc>
        <w:tc>
          <w:tcPr>
            <w:tcW w:w="2048" w:type="dxa"/>
          </w:tcPr>
          <w:p w14:paraId="4F2C8C00" w14:textId="77777777" w:rsidR="003E4DAD" w:rsidRPr="00DC2CD2" w:rsidRDefault="003E4DAD" w:rsidP="008F04E9">
            <w:pPr>
              <w:jc w:val="center"/>
              <w:rPr>
                <w:rFonts w:ascii="Arial" w:hAnsi="Arial" w:cs="Arial"/>
                <w:b/>
                <w:bCs/>
              </w:rPr>
            </w:pPr>
            <w:r w:rsidRPr="00DC2CD2">
              <w:rPr>
                <w:rFonts w:ascii="Arial" w:hAnsi="Arial" w:cs="Arial"/>
                <w:b/>
                <w:bCs/>
              </w:rPr>
              <w:t>2020-21*</w:t>
            </w:r>
          </w:p>
        </w:tc>
        <w:tc>
          <w:tcPr>
            <w:tcW w:w="1846" w:type="dxa"/>
          </w:tcPr>
          <w:p w14:paraId="0631310D" w14:textId="0BC123AD" w:rsidR="003E4DAD" w:rsidRPr="00DC2CD2" w:rsidRDefault="003E4DAD" w:rsidP="008F04E9">
            <w:pPr>
              <w:jc w:val="center"/>
              <w:rPr>
                <w:rFonts w:ascii="Arial" w:hAnsi="Arial" w:cs="Arial"/>
                <w:b/>
                <w:bCs/>
              </w:rPr>
            </w:pPr>
            <w:r>
              <w:rPr>
                <w:rFonts w:ascii="Arial" w:hAnsi="Arial" w:cs="Arial"/>
                <w:b/>
                <w:bCs/>
              </w:rPr>
              <w:t>2021-2022*</w:t>
            </w:r>
          </w:p>
        </w:tc>
      </w:tr>
      <w:tr w:rsidR="00F06798" w:rsidRPr="00DC2CD2" w14:paraId="375BDB69" w14:textId="28337419" w:rsidTr="006315C0">
        <w:tc>
          <w:tcPr>
            <w:tcW w:w="9016" w:type="dxa"/>
            <w:gridSpan w:val="4"/>
          </w:tcPr>
          <w:p w14:paraId="1234193E" w14:textId="77777777" w:rsidR="00F06798" w:rsidRPr="00DC2CD2" w:rsidRDefault="00F06798" w:rsidP="008F04E9">
            <w:pPr>
              <w:rPr>
                <w:rFonts w:ascii="Arial" w:hAnsi="Arial" w:cs="Arial"/>
                <w:b/>
                <w:bCs/>
              </w:rPr>
            </w:pPr>
            <w:r w:rsidRPr="00DC2CD2">
              <w:rPr>
                <w:rFonts w:ascii="Arial" w:hAnsi="Arial" w:cs="Arial"/>
                <w:b/>
                <w:bCs/>
              </w:rPr>
              <w:t xml:space="preserve">Scope 1 </w:t>
            </w:r>
          </w:p>
          <w:p w14:paraId="58F9BBA5" w14:textId="14376EB3" w:rsidR="00F06798" w:rsidRPr="00DC2CD2" w:rsidRDefault="00F06798" w:rsidP="008F04E9">
            <w:pPr>
              <w:jc w:val="center"/>
              <w:rPr>
                <w:rFonts w:ascii="Arial" w:hAnsi="Arial" w:cs="Arial"/>
              </w:rPr>
            </w:pPr>
          </w:p>
        </w:tc>
      </w:tr>
      <w:tr w:rsidR="00FD0FDA" w:rsidRPr="00DC2CD2" w14:paraId="7896FBDF" w14:textId="7FA09D9A" w:rsidTr="00CD3F13">
        <w:tc>
          <w:tcPr>
            <w:tcW w:w="3206" w:type="dxa"/>
          </w:tcPr>
          <w:p w14:paraId="59FD1300" w14:textId="77777777" w:rsidR="00FD0FDA" w:rsidRPr="00DC2CD2" w:rsidRDefault="00FD0FDA" w:rsidP="008F04E9">
            <w:pPr>
              <w:rPr>
                <w:rFonts w:ascii="Arial" w:hAnsi="Arial" w:cs="Arial"/>
              </w:rPr>
            </w:pPr>
            <w:r w:rsidRPr="00DC2CD2">
              <w:rPr>
                <w:rFonts w:ascii="Arial" w:hAnsi="Arial" w:cs="Arial"/>
              </w:rPr>
              <w:t>Gas consumption</w:t>
            </w:r>
          </w:p>
          <w:p w14:paraId="5CCEC841" w14:textId="77777777" w:rsidR="00FD0FDA" w:rsidRPr="00DC2CD2" w:rsidRDefault="00FD0FDA" w:rsidP="008F04E9">
            <w:pPr>
              <w:rPr>
                <w:rFonts w:ascii="Arial" w:hAnsi="Arial" w:cs="Arial"/>
                <w:b/>
                <w:bCs/>
              </w:rPr>
            </w:pPr>
          </w:p>
        </w:tc>
        <w:tc>
          <w:tcPr>
            <w:tcW w:w="1916" w:type="dxa"/>
          </w:tcPr>
          <w:p w14:paraId="03E55CFA" w14:textId="77777777" w:rsidR="00FD0FDA" w:rsidRPr="00DC2CD2" w:rsidRDefault="00FD0FDA" w:rsidP="008F04E9">
            <w:pPr>
              <w:jc w:val="center"/>
              <w:rPr>
                <w:rFonts w:ascii="Arial" w:hAnsi="Arial" w:cs="Arial"/>
              </w:rPr>
            </w:pPr>
            <w:r w:rsidRPr="00DC2CD2">
              <w:rPr>
                <w:rFonts w:ascii="Arial" w:hAnsi="Arial" w:cs="Arial"/>
              </w:rPr>
              <w:t>46.78</w:t>
            </w:r>
          </w:p>
        </w:tc>
        <w:tc>
          <w:tcPr>
            <w:tcW w:w="2048" w:type="dxa"/>
          </w:tcPr>
          <w:p w14:paraId="112CA3DC" w14:textId="77777777" w:rsidR="00FD0FDA" w:rsidRPr="00DC2CD2" w:rsidRDefault="00FD0FDA" w:rsidP="008F04E9">
            <w:pPr>
              <w:jc w:val="center"/>
              <w:rPr>
                <w:rFonts w:ascii="Arial" w:hAnsi="Arial" w:cs="Arial"/>
              </w:rPr>
            </w:pPr>
            <w:r w:rsidRPr="00DC2CD2">
              <w:rPr>
                <w:rFonts w:ascii="Arial" w:hAnsi="Arial" w:cs="Arial"/>
              </w:rPr>
              <w:t>100.14</w:t>
            </w:r>
          </w:p>
        </w:tc>
        <w:tc>
          <w:tcPr>
            <w:tcW w:w="1846" w:type="dxa"/>
          </w:tcPr>
          <w:p w14:paraId="4FCB1607" w14:textId="4584CFBB" w:rsidR="00FD0FDA" w:rsidRPr="00DC2CD2" w:rsidRDefault="00D976B1" w:rsidP="008F04E9">
            <w:pPr>
              <w:jc w:val="center"/>
              <w:rPr>
                <w:rFonts w:ascii="Arial" w:hAnsi="Arial" w:cs="Arial"/>
              </w:rPr>
            </w:pPr>
            <w:r>
              <w:rPr>
                <w:rFonts w:ascii="Arial" w:hAnsi="Arial" w:cs="Arial"/>
              </w:rPr>
              <w:t>13.1 (Quadrant West only)</w:t>
            </w:r>
          </w:p>
        </w:tc>
      </w:tr>
      <w:tr w:rsidR="00F06798" w:rsidRPr="00DC2CD2" w14:paraId="02850B37" w14:textId="3D18F8C3" w:rsidTr="00061294">
        <w:tc>
          <w:tcPr>
            <w:tcW w:w="9016" w:type="dxa"/>
            <w:gridSpan w:val="4"/>
          </w:tcPr>
          <w:p w14:paraId="020C321A" w14:textId="69428D24" w:rsidR="00F06798" w:rsidRPr="00DC2CD2" w:rsidRDefault="00F06798" w:rsidP="008F04E9">
            <w:pPr>
              <w:jc w:val="center"/>
              <w:rPr>
                <w:rFonts w:ascii="Arial" w:hAnsi="Arial" w:cs="Arial"/>
              </w:rPr>
            </w:pPr>
            <w:r w:rsidRPr="00DC2CD2">
              <w:rPr>
                <w:rFonts w:ascii="Arial" w:hAnsi="Arial" w:cs="Arial"/>
                <w:b/>
                <w:bCs/>
              </w:rPr>
              <w:t>Scope 2</w:t>
            </w:r>
          </w:p>
        </w:tc>
      </w:tr>
      <w:tr w:rsidR="00FD0FDA" w:rsidRPr="00DC2CD2" w14:paraId="57983845" w14:textId="28EABA15" w:rsidTr="00CD3F13">
        <w:tc>
          <w:tcPr>
            <w:tcW w:w="3206" w:type="dxa"/>
          </w:tcPr>
          <w:p w14:paraId="450BF208" w14:textId="77777777" w:rsidR="00FD0FDA" w:rsidRPr="00DC2CD2" w:rsidRDefault="00FD0FDA" w:rsidP="008F04E9">
            <w:pPr>
              <w:rPr>
                <w:rFonts w:ascii="Arial" w:hAnsi="Arial" w:cs="Arial"/>
              </w:rPr>
            </w:pPr>
            <w:r w:rsidRPr="00DC2CD2">
              <w:rPr>
                <w:rFonts w:ascii="Arial" w:hAnsi="Arial" w:cs="Arial"/>
              </w:rPr>
              <w:t>Electricity consumption</w:t>
            </w:r>
          </w:p>
          <w:p w14:paraId="7650E776" w14:textId="77777777" w:rsidR="00FD0FDA" w:rsidRPr="00DC2CD2" w:rsidRDefault="00FD0FDA" w:rsidP="008F04E9">
            <w:pPr>
              <w:rPr>
                <w:rFonts w:ascii="Arial" w:hAnsi="Arial" w:cs="Arial"/>
              </w:rPr>
            </w:pPr>
          </w:p>
        </w:tc>
        <w:tc>
          <w:tcPr>
            <w:tcW w:w="1916" w:type="dxa"/>
          </w:tcPr>
          <w:p w14:paraId="18CC8072" w14:textId="77777777" w:rsidR="00FD0FDA" w:rsidRPr="00DC2CD2" w:rsidRDefault="00FD0FDA" w:rsidP="008F04E9">
            <w:pPr>
              <w:jc w:val="center"/>
              <w:rPr>
                <w:rFonts w:ascii="Arial" w:hAnsi="Arial" w:cs="Arial"/>
              </w:rPr>
            </w:pPr>
            <w:r w:rsidRPr="00DC2CD2">
              <w:rPr>
                <w:rFonts w:ascii="Arial" w:hAnsi="Arial" w:cs="Arial"/>
              </w:rPr>
              <w:t>49.65</w:t>
            </w:r>
          </w:p>
        </w:tc>
        <w:tc>
          <w:tcPr>
            <w:tcW w:w="2048" w:type="dxa"/>
          </w:tcPr>
          <w:p w14:paraId="78686283" w14:textId="77777777" w:rsidR="00FD0FDA" w:rsidRPr="00DC2CD2" w:rsidRDefault="00FD0FDA" w:rsidP="008F04E9">
            <w:pPr>
              <w:jc w:val="center"/>
              <w:rPr>
                <w:rFonts w:ascii="Arial" w:hAnsi="Arial" w:cs="Arial"/>
              </w:rPr>
            </w:pPr>
            <w:r w:rsidRPr="00DC2CD2">
              <w:rPr>
                <w:rFonts w:ascii="Arial" w:hAnsi="Arial" w:cs="Arial"/>
              </w:rPr>
              <w:t>32.04</w:t>
            </w:r>
          </w:p>
        </w:tc>
        <w:tc>
          <w:tcPr>
            <w:tcW w:w="1846" w:type="dxa"/>
          </w:tcPr>
          <w:p w14:paraId="4FF178AB" w14:textId="32CF9849" w:rsidR="00FD0FDA" w:rsidRPr="00DC2CD2" w:rsidRDefault="00D976B1" w:rsidP="008F04E9">
            <w:pPr>
              <w:jc w:val="center"/>
              <w:rPr>
                <w:rFonts w:ascii="Arial" w:hAnsi="Arial" w:cs="Arial"/>
              </w:rPr>
            </w:pPr>
            <w:r>
              <w:rPr>
                <w:rFonts w:ascii="Arial" w:hAnsi="Arial" w:cs="Arial"/>
              </w:rPr>
              <w:t>11.8 (Quadrant West) plus 2.8 (Lumen) = 14.6</w:t>
            </w:r>
          </w:p>
        </w:tc>
      </w:tr>
      <w:tr w:rsidR="00C1148D" w:rsidRPr="00DC2CD2" w14:paraId="69AA9BE6" w14:textId="77777777" w:rsidTr="00CD3F13">
        <w:tc>
          <w:tcPr>
            <w:tcW w:w="3206" w:type="dxa"/>
          </w:tcPr>
          <w:p w14:paraId="7E0F9C4E" w14:textId="49DD4D9D" w:rsidR="00C1148D" w:rsidRPr="00DC2CD2" w:rsidRDefault="005E5BB6" w:rsidP="008F04E9">
            <w:pPr>
              <w:rPr>
                <w:rFonts w:ascii="Arial" w:hAnsi="Arial" w:cs="Arial"/>
              </w:rPr>
            </w:pPr>
            <w:r>
              <w:rPr>
                <w:rFonts w:ascii="Arial" w:hAnsi="Arial" w:cs="Arial"/>
              </w:rPr>
              <w:t>Purchased h</w:t>
            </w:r>
            <w:r w:rsidR="00C1148D">
              <w:rPr>
                <w:rFonts w:ascii="Arial" w:hAnsi="Arial" w:cs="Arial"/>
              </w:rPr>
              <w:t>eat</w:t>
            </w:r>
            <w:r>
              <w:rPr>
                <w:rFonts w:ascii="Arial" w:hAnsi="Arial" w:cs="Arial"/>
              </w:rPr>
              <w:t xml:space="preserve">, </w:t>
            </w:r>
            <w:proofErr w:type="gramStart"/>
            <w:r>
              <w:rPr>
                <w:rFonts w:ascii="Arial" w:hAnsi="Arial" w:cs="Arial"/>
              </w:rPr>
              <w:t>s</w:t>
            </w:r>
            <w:r w:rsidR="00C1148D">
              <w:rPr>
                <w:rFonts w:ascii="Arial" w:hAnsi="Arial" w:cs="Arial"/>
              </w:rPr>
              <w:t>team</w:t>
            </w:r>
            <w:proofErr w:type="gramEnd"/>
            <w:r w:rsidR="00C1148D">
              <w:rPr>
                <w:rFonts w:ascii="Arial" w:hAnsi="Arial" w:cs="Arial"/>
              </w:rPr>
              <w:t xml:space="preserve"> </w:t>
            </w:r>
            <w:r w:rsidR="00D976B1">
              <w:rPr>
                <w:rFonts w:ascii="Arial" w:hAnsi="Arial" w:cs="Arial"/>
              </w:rPr>
              <w:t xml:space="preserve">and </w:t>
            </w:r>
            <w:r>
              <w:rPr>
                <w:rFonts w:ascii="Arial" w:hAnsi="Arial" w:cs="Arial"/>
              </w:rPr>
              <w:t>c</w:t>
            </w:r>
            <w:r w:rsidR="00D976B1">
              <w:rPr>
                <w:rFonts w:ascii="Arial" w:hAnsi="Arial" w:cs="Arial"/>
              </w:rPr>
              <w:t xml:space="preserve">ooling </w:t>
            </w:r>
            <w:r w:rsidR="00C1148D">
              <w:rPr>
                <w:rFonts w:ascii="Arial" w:hAnsi="Arial" w:cs="Arial"/>
              </w:rPr>
              <w:t>(Low Temperature Hot Water and Chilled Water Cooling</w:t>
            </w:r>
            <w:r>
              <w:rPr>
                <w:rFonts w:ascii="Arial" w:hAnsi="Arial" w:cs="Arial"/>
              </w:rPr>
              <w:t xml:space="preserve"> </w:t>
            </w:r>
            <w:r w:rsidR="00BB7999">
              <w:rPr>
                <w:rFonts w:ascii="Arial" w:hAnsi="Arial" w:cs="Arial"/>
              </w:rPr>
              <w:t xml:space="preserve">from District Energy </w:t>
            </w:r>
            <w:r>
              <w:rPr>
                <w:rFonts w:ascii="Arial" w:hAnsi="Arial" w:cs="Arial"/>
              </w:rPr>
              <w:t>Centre)</w:t>
            </w:r>
          </w:p>
        </w:tc>
        <w:tc>
          <w:tcPr>
            <w:tcW w:w="1916" w:type="dxa"/>
          </w:tcPr>
          <w:p w14:paraId="37EC5738" w14:textId="77777777" w:rsidR="00C1148D" w:rsidRPr="00DC2CD2" w:rsidRDefault="00C1148D" w:rsidP="008F04E9">
            <w:pPr>
              <w:jc w:val="center"/>
              <w:rPr>
                <w:rFonts w:ascii="Arial" w:hAnsi="Arial" w:cs="Arial"/>
              </w:rPr>
            </w:pPr>
          </w:p>
        </w:tc>
        <w:tc>
          <w:tcPr>
            <w:tcW w:w="2048" w:type="dxa"/>
          </w:tcPr>
          <w:p w14:paraId="00DAD4FE" w14:textId="77777777" w:rsidR="00C1148D" w:rsidRPr="00DC2CD2" w:rsidRDefault="00C1148D" w:rsidP="008F04E9">
            <w:pPr>
              <w:jc w:val="center"/>
              <w:rPr>
                <w:rFonts w:ascii="Arial" w:hAnsi="Arial" w:cs="Arial"/>
              </w:rPr>
            </w:pPr>
          </w:p>
        </w:tc>
        <w:tc>
          <w:tcPr>
            <w:tcW w:w="1846" w:type="dxa"/>
          </w:tcPr>
          <w:p w14:paraId="6629B8FC" w14:textId="303B2FDA" w:rsidR="00C1148D" w:rsidRPr="00DC2CD2" w:rsidRDefault="00C1148D" w:rsidP="008F04E9">
            <w:pPr>
              <w:jc w:val="center"/>
              <w:rPr>
                <w:rFonts w:ascii="Arial" w:hAnsi="Arial" w:cs="Arial"/>
              </w:rPr>
            </w:pPr>
            <w:r>
              <w:rPr>
                <w:rFonts w:ascii="Arial" w:hAnsi="Arial" w:cs="Arial"/>
              </w:rPr>
              <w:t>12.8</w:t>
            </w:r>
            <w:r w:rsidR="00D976B1">
              <w:rPr>
                <w:rFonts w:ascii="Arial" w:hAnsi="Arial" w:cs="Arial"/>
              </w:rPr>
              <w:t xml:space="preserve"> (Lumen only)</w:t>
            </w:r>
          </w:p>
        </w:tc>
      </w:tr>
      <w:tr w:rsidR="00F06798" w:rsidRPr="00DC2CD2" w14:paraId="25681B56" w14:textId="7DAF1C12" w:rsidTr="006D270D">
        <w:tc>
          <w:tcPr>
            <w:tcW w:w="9016" w:type="dxa"/>
            <w:gridSpan w:val="4"/>
          </w:tcPr>
          <w:p w14:paraId="5A429047" w14:textId="77777777" w:rsidR="00F06798" w:rsidRPr="00DC2CD2" w:rsidRDefault="00F06798" w:rsidP="008F04E9">
            <w:pPr>
              <w:rPr>
                <w:rFonts w:ascii="Arial" w:hAnsi="Arial" w:cs="Arial"/>
                <w:b/>
                <w:bCs/>
              </w:rPr>
            </w:pPr>
            <w:r w:rsidRPr="00DC2CD2">
              <w:rPr>
                <w:rFonts w:ascii="Arial" w:hAnsi="Arial" w:cs="Arial"/>
                <w:b/>
                <w:bCs/>
              </w:rPr>
              <w:t>Scope 3</w:t>
            </w:r>
          </w:p>
          <w:p w14:paraId="41D4EA95" w14:textId="77777777" w:rsidR="00F06798" w:rsidRPr="00DC2CD2" w:rsidRDefault="00F06798" w:rsidP="008F04E9">
            <w:pPr>
              <w:jc w:val="center"/>
              <w:rPr>
                <w:rFonts w:ascii="Arial" w:hAnsi="Arial" w:cs="Arial"/>
              </w:rPr>
            </w:pPr>
          </w:p>
        </w:tc>
      </w:tr>
      <w:tr w:rsidR="003E4DAD" w:rsidRPr="00DC2CD2" w14:paraId="35F02ACF" w14:textId="20381C57" w:rsidTr="00CD3F13">
        <w:tc>
          <w:tcPr>
            <w:tcW w:w="3206" w:type="dxa"/>
          </w:tcPr>
          <w:p w14:paraId="25ED87D0" w14:textId="77777777" w:rsidR="003E4DAD" w:rsidRPr="00DC2CD2" w:rsidRDefault="003E4DAD" w:rsidP="008F04E9">
            <w:pPr>
              <w:rPr>
                <w:rFonts w:ascii="Arial" w:hAnsi="Arial" w:cs="Arial"/>
              </w:rPr>
            </w:pPr>
            <w:r w:rsidRPr="00DC2CD2">
              <w:rPr>
                <w:rFonts w:ascii="Arial" w:hAnsi="Arial" w:cs="Arial"/>
              </w:rPr>
              <w:t>Business mileage</w:t>
            </w:r>
          </w:p>
          <w:p w14:paraId="247FFAAD" w14:textId="77777777" w:rsidR="003E4DAD" w:rsidRPr="00DC2CD2" w:rsidRDefault="003E4DAD" w:rsidP="008F04E9">
            <w:pPr>
              <w:rPr>
                <w:rFonts w:ascii="Arial" w:hAnsi="Arial" w:cs="Arial"/>
              </w:rPr>
            </w:pPr>
          </w:p>
        </w:tc>
        <w:tc>
          <w:tcPr>
            <w:tcW w:w="1916" w:type="dxa"/>
          </w:tcPr>
          <w:p w14:paraId="5CC07698" w14:textId="77777777" w:rsidR="003E4DAD" w:rsidRPr="00DC2CD2" w:rsidRDefault="003E4DAD" w:rsidP="008F04E9">
            <w:pPr>
              <w:jc w:val="center"/>
              <w:rPr>
                <w:rFonts w:ascii="Arial" w:hAnsi="Arial" w:cs="Arial"/>
              </w:rPr>
            </w:pPr>
            <w:r w:rsidRPr="00DC2CD2">
              <w:rPr>
                <w:rFonts w:ascii="Arial" w:hAnsi="Arial" w:cs="Arial"/>
              </w:rPr>
              <w:t>1.12</w:t>
            </w:r>
          </w:p>
        </w:tc>
        <w:tc>
          <w:tcPr>
            <w:tcW w:w="2048" w:type="dxa"/>
          </w:tcPr>
          <w:p w14:paraId="5E928473" w14:textId="77777777" w:rsidR="003E4DAD" w:rsidRPr="00DC2CD2" w:rsidRDefault="003E4DAD" w:rsidP="008F04E9">
            <w:pPr>
              <w:jc w:val="center"/>
              <w:rPr>
                <w:rFonts w:ascii="Arial" w:hAnsi="Arial" w:cs="Arial"/>
              </w:rPr>
            </w:pPr>
            <w:r w:rsidRPr="00DC2CD2">
              <w:rPr>
                <w:rFonts w:ascii="Arial" w:hAnsi="Arial" w:cs="Arial"/>
              </w:rPr>
              <w:t>0</w:t>
            </w:r>
          </w:p>
        </w:tc>
        <w:tc>
          <w:tcPr>
            <w:tcW w:w="1846" w:type="dxa"/>
          </w:tcPr>
          <w:p w14:paraId="23A3F0A7" w14:textId="23C95BC7" w:rsidR="003E4DAD" w:rsidRPr="00DC2CD2" w:rsidRDefault="00104792" w:rsidP="008F04E9">
            <w:pPr>
              <w:jc w:val="center"/>
              <w:rPr>
                <w:rFonts w:ascii="Arial" w:hAnsi="Arial" w:cs="Arial"/>
              </w:rPr>
            </w:pPr>
            <w:r>
              <w:rPr>
                <w:rFonts w:ascii="Arial" w:hAnsi="Arial" w:cs="Arial"/>
              </w:rPr>
              <w:t>0.3</w:t>
            </w:r>
          </w:p>
        </w:tc>
      </w:tr>
      <w:tr w:rsidR="00CD3F13" w:rsidRPr="00DC2CD2" w14:paraId="690C77B9" w14:textId="77777777" w:rsidTr="00CD3F13">
        <w:tc>
          <w:tcPr>
            <w:tcW w:w="3206" w:type="dxa"/>
          </w:tcPr>
          <w:p w14:paraId="59782A06" w14:textId="576CD4C2" w:rsidR="00CD3F13" w:rsidRPr="00DC2CD2" w:rsidRDefault="00CD3F13" w:rsidP="008F04E9">
            <w:pPr>
              <w:rPr>
                <w:rFonts w:ascii="Arial" w:hAnsi="Arial" w:cs="Arial"/>
              </w:rPr>
            </w:pPr>
            <w:r>
              <w:rPr>
                <w:rFonts w:ascii="Arial" w:hAnsi="Arial" w:cs="Arial"/>
              </w:rPr>
              <w:t>Homeworking</w:t>
            </w:r>
          </w:p>
        </w:tc>
        <w:tc>
          <w:tcPr>
            <w:tcW w:w="1916" w:type="dxa"/>
          </w:tcPr>
          <w:p w14:paraId="71F10BAF" w14:textId="77777777" w:rsidR="00CD3F13" w:rsidRPr="00DC2CD2" w:rsidRDefault="00CD3F13" w:rsidP="008F04E9">
            <w:pPr>
              <w:jc w:val="center"/>
              <w:rPr>
                <w:rFonts w:ascii="Arial" w:hAnsi="Arial" w:cs="Arial"/>
              </w:rPr>
            </w:pPr>
          </w:p>
        </w:tc>
        <w:tc>
          <w:tcPr>
            <w:tcW w:w="2048" w:type="dxa"/>
          </w:tcPr>
          <w:p w14:paraId="475A1ACE" w14:textId="77777777" w:rsidR="00CD3F13" w:rsidRPr="00DC2CD2" w:rsidRDefault="00CD3F13" w:rsidP="008F04E9">
            <w:pPr>
              <w:jc w:val="center"/>
              <w:rPr>
                <w:rFonts w:ascii="Arial" w:hAnsi="Arial" w:cs="Arial"/>
              </w:rPr>
            </w:pPr>
          </w:p>
        </w:tc>
        <w:tc>
          <w:tcPr>
            <w:tcW w:w="1846" w:type="dxa"/>
          </w:tcPr>
          <w:p w14:paraId="66C32FC5" w14:textId="25F5E68A" w:rsidR="00CD3F13" w:rsidRDefault="00FD0FDA" w:rsidP="008F04E9">
            <w:pPr>
              <w:jc w:val="center"/>
              <w:rPr>
                <w:rFonts w:ascii="Arial" w:hAnsi="Arial" w:cs="Arial"/>
              </w:rPr>
            </w:pPr>
            <w:r>
              <w:rPr>
                <w:rFonts w:ascii="Arial" w:hAnsi="Arial" w:cs="Arial"/>
              </w:rPr>
              <w:t>31.3</w:t>
            </w:r>
          </w:p>
        </w:tc>
      </w:tr>
      <w:tr w:rsidR="00385FD9" w:rsidRPr="00DC2CD2" w14:paraId="04018BC8" w14:textId="6353EF3D" w:rsidTr="00062B6A">
        <w:tc>
          <w:tcPr>
            <w:tcW w:w="3206" w:type="dxa"/>
          </w:tcPr>
          <w:p w14:paraId="59A72AC7" w14:textId="77777777" w:rsidR="00385FD9" w:rsidRPr="00DC2CD2" w:rsidRDefault="00385FD9" w:rsidP="008F04E9">
            <w:pPr>
              <w:rPr>
                <w:rFonts w:ascii="Arial" w:hAnsi="Arial" w:cs="Arial"/>
                <w:b/>
                <w:bCs/>
              </w:rPr>
            </w:pPr>
            <w:r w:rsidRPr="00DC2CD2">
              <w:rPr>
                <w:rFonts w:ascii="Arial" w:hAnsi="Arial" w:cs="Arial"/>
                <w:b/>
                <w:bCs/>
              </w:rPr>
              <w:t>Offset emissions</w:t>
            </w:r>
          </w:p>
          <w:p w14:paraId="7D20FD7D" w14:textId="77777777" w:rsidR="00385FD9" w:rsidRPr="00DC2CD2" w:rsidRDefault="00385FD9" w:rsidP="008F04E9">
            <w:pPr>
              <w:rPr>
                <w:rFonts w:ascii="Arial" w:hAnsi="Arial" w:cs="Arial"/>
                <w:b/>
                <w:bCs/>
              </w:rPr>
            </w:pPr>
          </w:p>
        </w:tc>
        <w:tc>
          <w:tcPr>
            <w:tcW w:w="5810" w:type="dxa"/>
            <w:gridSpan w:val="3"/>
          </w:tcPr>
          <w:p w14:paraId="260DD652" w14:textId="39D8C49B" w:rsidR="00385FD9" w:rsidRPr="00DC2CD2" w:rsidRDefault="00385FD9" w:rsidP="008F04E9">
            <w:pPr>
              <w:jc w:val="center"/>
              <w:rPr>
                <w:rFonts w:ascii="Arial" w:hAnsi="Arial" w:cs="Arial"/>
              </w:rPr>
            </w:pPr>
            <w:r w:rsidRPr="00DC2CD2">
              <w:rPr>
                <w:rFonts w:ascii="Arial" w:hAnsi="Arial" w:cs="Arial"/>
              </w:rPr>
              <w:t>NTCA has not offset emissions but has invested in 1196 Pending Issuance Units representing tonnes of CO</w:t>
            </w:r>
            <w:r w:rsidRPr="00DC2CD2">
              <w:rPr>
                <w:rFonts w:ascii="Arial" w:hAnsi="Arial" w:cs="Arial"/>
                <w:vertAlign w:val="subscript"/>
              </w:rPr>
              <w:t>2</w:t>
            </w:r>
            <w:r w:rsidRPr="00DC2CD2">
              <w:rPr>
                <w:rFonts w:ascii="Arial" w:hAnsi="Arial" w:cs="Arial"/>
              </w:rPr>
              <w:t xml:space="preserve"> expected to be sequestered over a </w:t>
            </w:r>
            <w:proofErr w:type="gramStart"/>
            <w:r w:rsidRPr="00DC2CD2">
              <w:rPr>
                <w:rFonts w:ascii="Arial" w:hAnsi="Arial" w:cs="Arial"/>
              </w:rPr>
              <w:t>ten year</w:t>
            </w:r>
            <w:proofErr w:type="gramEnd"/>
            <w:r w:rsidRPr="00DC2CD2">
              <w:rPr>
                <w:rFonts w:ascii="Arial" w:hAnsi="Arial" w:cs="Arial"/>
              </w:rPr>
              <w:t xml:space="preserve"> period between 2019-2029**</w:t>
            </w:r>
          </w:p>
        </w:tc>
      </w:tr>
      <w:tr w:rsidR="003E4DAD" w:rsidRPr="00DC2CD2" w14:paraId="165E3F6D" w14:textId="7BE3D57D" w:rsidTr="00260E9F">
        <w:tc>
          <w:tcPr>
            <w:tcW w:w="3206" w:type="dxa"/>
          </w:tcPr>
          <w:p w14:paraId="4A5C26DC" w14:textId="56BE9386" w:rsidR="003E4DAD" w:rsidRPr="00DC2CD2" w:rsidRDefault="003E4DAD" w:rsidP="008F04E9">
            <w:pPr>
              <w:rPr>
                <w:rFonts w:ascii="Arial" w:hAnsi="Arial" w:cs="Arial"/>
                <w:b/>
                <w:bCs/>
              </w:rPr>
            </w:pPr>
            <w:r w:rsidRPr="00DC2CD2">
              <w:rPr>
                <w:rFonts w:ascii="Arial" w:hAnsi="Arial" w:cs="Arial"/>
                <w:b/>
                <w:bCs/>
              </w:rPr>
              <w:t>Total annual net emissions</w:t>
            </w:r>
            <w:r w:rsidR="00006B8A">
              <w:rPr>
                <w:rFonts w:ascii="Arial" w:hAnsi="Arial" w:cs="Arial"/>
                <w:b/>
                <w:bCs/>
              </w:rPr>
              <w:t xml:space="preserve"> (tonnes of CO</w:t>
            </w:r>
            <w:r w:rsidR="00006B8A" w:rsidRPr="00006B8A">
              <w:rPr>
                <w:rFonts w:ascii="Arial" w:hAnsi="Arial" w:cs="Arial"/>
                <w:b/>
                <w:bCs/>
                <w:vertAlign w:val="subscript"/>
              </w:rPr>
              <w:t>2</w:t>
            </w:r>
            <w:r w:rsidR="00006B8A">
              <w:rPr>
                <w:rFonts w:ascii="Arial" w:hAnsi="Arial" w:cs="Arial"/>
                <w:b/>
                <w:bCs/>
              </w:rPr>
              <w:t>e)</w:t>
            </w:r>
          </w:p>
          <w:p w14:paraId="4C4BB065" w14:textId="77777777" w:rsidR="003E4DAD" w:rsidRPr="00DC2CD2" w:rsidRDefault="003E4DAD" w:rsidP="008F04E9">
            <w:pPr>
              <w:rPr>
                <w:rFonts w:ascii="Arial" w:hAnsi="Arial" w:cs="Arial"/>
                <w:b/>
                <w:bCs/>
              </w:rPr>
            </w:pPr>
          </w:p>
        </w:tc>
        <w:tc>
          <w:tcPr>
            <w:tcW w:w="1916" w:type="dxa"/>
          </w:tcPr>
          <w:p w14:paraId="0EBAF0CE" w14:textId="77777777" w:rsidR="003E4DAD" w:rsidRPr="00DC2CD2" w:rsidRDefault="003E4DAD" w:rsidP="008F04E9">
            <w:pPr>
              <w:jc w:val="center"/>
              <w:rPr>
                <w:rFonts w:ascii="Arial" w:hAnsi="Arial" w:cs="Arial"/>
              </w:rPr>
            </w:pPr>
            <w:r w:rsidRPr="00DC2CD2">
              <w:rPr>
                <w:rFonts w:ascii="Arial" w:hAnsi="Arial" w:cs="Arial"/>
              </w:rPr>
              <w:t>97.55</w:t>
            </w:r>
          </w:p>
        </w:tc>
        <w:tc>
          <w:tcPr>
            <w:tcW w:w="2048" w:type="dxa"/>
          </w:tcPr>
          <w:p w14:paraId="34B4C7B5" w14:textId="77777777" w:rsidR="003E4DAD" w:rsidRPr="00DC2CD2" w:rsidRDefault="003E4DAD" w:rsidP="008F04E9">
            <w:pPr>
              <w:jc w:val="center"/>
              <w:rPr>
                <w:rFonts w:ascii="Arial" w:hAnsi="Arial" w:cs="Arial"/>
              </w:rPr>
            </w:pPr>
            <w:r w:rsidRPr="00DC2CD2">
              <w:rPr>
                <w:rFonts w:ascii="Arial" w:hAnsi="Arial" w:cs="Arial"/>
              </w:rPr>
              <w:t>132.18</w:t>
            </w:r>
          </w:p>
        </w:tc>
        <w:tc>
          <w:tcPr>
            <w:tcW w:w="1846" w:type="dxa"/>
          </w:tcPr>
          <w:p w14:paraId="6E82041C" w14:textId="14BCD437" w:rsidR="003E4DAD" w:rsidRPr="00DC2CD2" w:rsidRDefault="005E5BB6" w:rsidP="008F04E9">
            <w:pPr>
              <w:jc w:val="center"/>
              <w:rPr>
                <w:rFonts w:ascii="Arial" w:hAnsi="Arial" w:cs="Arial"/>
              </w:rPr>
            </w:pPr>
            <w:r>
              <w:rPr>
                <w:rFonts w:ascii="Arial" w:hAnsi="Arial" w:cs="Arial"/>
              </w:rPr>
              <w:t>72.1</w:t>
            </w:r>
          </w:p>
        </w:tc>
      </w:tr>
    </w:tbl>
    <w:p w14:paraId="47887186" w14:textId="5B9A81C1" w:rsidR="00B57AF5" w:rsidRPr="00DC2CD2" w:rsidRDefault="00E30F43">
      <w:pPr>
        <w:rPr>
          <w:rFonts w:ascii="Arial" w:hAnsi="Arial" w:cs="Arial"/>
        </w:rPr>
      </w:pPr>
      <w:r w:rsidRPr="00DC2CD2">
        <w:rPr>
          <w:rFonts w:ascii="Arial" w:hAnsi="Arial" w:cs="Arial"/>
        </w:rPr>
        <w:t>*</w:t>
      </w:r>
      <w:proofErr w:type="gramStart"/>
      <w:r w:rsidRPr="00DC2CD2">
        <w:rPr>
          <w:rFonts w:ascii="Arial" w:hAnsi="Arial" w:cs="Arial"/>
        </w:rPr>
        <w:t>please</w:t>
      </w:r>
      <w:proofErr w:type="gramEnd"/>
      <w:r w:rsidRPr="00DC2CD2">
        <w:rPr>
          <w:rFonts w:ascii="Arial" w:hAnsi="Arial" w:cs="Arial"/>
        </w:rPr>
        <w:t xml:space="preserve"> note that emissions for 2020-21 </w:t>
      </w:r>
      <w:r w:rsidR="00FD0FDA">
        <w:rPr>
          <w:rFonts w:ascii="Arial" w:hAnsi="Arial" w:cs="Arial"/>
        </w:rPr>
        <w:t>were</w:t>
      </w:r>
      <w:r w:rsidRPr="00DC2CD2">
        <w:rPr>
          <w:rFonts w:ascii="Arial" w:hAnsi="Arial" w:cs="Arial"/>
        </w:rPr>
        <w:t xml:space="preserve"> </w:t>
      </w:r>
      <w:r w:rsidR="00F06798">
        <w:rPr>
          <w:rFonts w:ascii="Arial" w:hAnsi="Arial" w:cs="Arial"/>
        </w:rPr>
        <w:t>estimated</w:t>
      </w:r>
      <w:r w:rsidR="00F06798" w:rsidRPr="00DC2CD2">
        <w:rPr>
          <w:rFonts w:ascii="Arial" w:hAnsi="Arial" w:cs="Arial"/>
        </w:rPr>
        <w:t xml:space="preserve"> </w:t>
      </w:r>
      <w:r w:rsidRPr="00DC2CD2">
        <w:rPr>
          <w:rFonts w:ascii="Arial" w:hAnsi="Arial" w:cs="Arial"/>
        </w:rPr>
        <w:t>due to staff homeworking</w:t>
      </w:r>
      <w:r w:rsidR="00006B8A">
        <w:rPr>
          <w:rFonts w:ascii="Arial" w:hAnsi="Arial" w:cs="Arial"/>
        </w:rPr>
        <w:t xml:space="preserve"> from</w:t>
      </w:r>
      <w:r w:rsidRPr="00DC2CD2">
        <w:rPr>
          <w:rFonts w:ascii="Arial" w:hAnsi="Arial" w:cs="Arial"/>
        </w:rPr>
        <w:t xml:space="preserve"> </w:t>
      </w:r>
      <w:r w:rsidR="00006B8A" w:rsidRPr="00DC2CD2">
        <w:rPr>
          <w:rFonts w:ascii="Arial" w:hAnsi="Arial" w:cs="Arial"/>
        </w:rPr>
        <w:t>24</w:t>
      </w:r>
      <w:r w:rsidR="00006B8A" w:rsidRPr="00DC2CD2">
        <w:rPr>
          <w:rFonts w:ascii="Arial" w:hAnsi="Arial" w:cs="Arial"/>
          <w:vertAlign w:val="superscript"/>
        </w:rPr>
        <w:t>th</w:t>
      </w:r>
      <w:r w:rsidR="00006B8A" w:rsidRPr="00DC2CD2">
        <w:rPr>
          <w:rFonts w:ascii="Arial" w:hAnsi="Arial" w:cs="Arial"/>
        </w:rPr>
        <w:t xml:space="preserve"> March 2020</w:t>
      </w:r>
      <w:r w:rsidR="00006B8A">
        <w:rPr>
          <w:rFonts w:ascii="Arial" w:hAnsi="Arial" w:cs="Arial"/>
        </w:rPr>
        <w:t xml:space="preserve"> </w:t>
      </w:r>
      <w:r w:rsidRPr="00DC2CD2">
        <w:rPr>
          <w:rFonts w:ascii="Arial" w:hAnsi="Arial" w:cs="Arial"/>
        </w:rPr>
        <w:t>as a result of the coronavirus pandemic</w:t>
      </w:r>
      <w:r w:rsidR="00F06798">
        <w:rPr>
          <w:rFonts w:ascii="Arial" w:hAnsi="Arial" w:cs="Arial"/>
        </w:rPr>
        <w:t xml:space="preserve">.  NTCA </w:t>
      </w:r>
      <w:r w:rsidR="00B66617">
        <w:rPr>
          <w:rFonts w:ascii="Arial" w:hAnsi="Arial" w:cs="Arial"/>
        </w:rPr>
        <w:t xml:space="preserve">relocated to a new office in August 2021 </w:t>
      </w:r>
      <w:r w:rsidR="002E7A02">
        <w:rPr>
          <w:rFonts w:ascii="Arial" w:hAnsi="Arial" w:cs="Arial"/>
        </w:rPr>
        <w:t>and i</w:t>
      </w:r>
      <w:r w:rsidR="005E5BB6">
        <w:rPr>
          <w:rFonts w:ascii="Arial" w:hAnsi="Arial" w:cs="Arial"/>
        </w:rPr>
        <w:t xml:space="preserve">n </w:t>
      </w:r>
      <w:r w:rsidR="003E4DAD">
        <w:rPr>
          <w:rFonts w:ascii="Arial" w:hAnsi="Arial" w:cs="Arial"/>
        </w:rPr>
        <w:t xml:space="preserve">2022 </w:t>
      </w:r>
      <w:r w:rsidR="00CD3F13">
        <w:rPr>
          <w:rFonts w:ascii="Arial" w:hAnsi="Arial" w:cs="Arial"/>
        </w:rPr>
        <w:t xml:space="preserve">BEIS produced conversion factors for homeworking which </w:t>
      </w:r>
      <w:r w:rsidR="005E5BB6">
        <w:rPr>
          <w:rFonts w:ascii="Arial" w:hAnsi="Arial" w:cs="Arial"/>
        </w:rPr>
        <w:t>are</w:t>
      </w:r>
      <w:r w:rsidR="00CD3F13">
        <w:rPr>
          <w:rFonts w:ascii="Arial" w:hAnsi="Arial" w:cs="Arial"/>
        </w:rPr>
        <w:t xml:space="preserve"> </w:t>
      </w:r>
      <w:r w:rsidR="00FD0FDA">
        <w:rPr>
          <w:rFonts w:ascii="Arial" w:hAnsi="Arial" w:cs="Arial"/>
        </w:rPr>
        <w:t>calculated by FTE hours worked</w:t>
      </w:r>
      <w:r w:rsidR="005E5BB6">
        <w:rPr>
          <w:rFonts w:ascii="Arial" w:hAnsi="Arial" w:cs="Arial"/>
        </w:rPr>
        <w:t xml:space="preserve"> </w:t>
      </w:r>
      <w:r w:rsidR="00FD0FDA">
        <w:rPr>
          <w:rFonts w:ascii="Arial" w:hAnsi="Arial" w:cs="Arial"/>
        </w:rPr>
        <w:t xml:space="preserve">and classified </w:t>
      </w:r>
      <w:r w:rsidR="00CD3F13">
        <w:rPr>
          <w:rFonts w:ascii="Arial" w:hAnsi="Arial" w:cs="Arial"/>
        </w:rPr>
        <w:t>as Scope 3 emission</w:t>
      </w:r>
      <w:r w:rsidR="00FD0FDA">
        <w:rPr>
          <w:rFonts w:ascii="Arial" w:hAnsi="Arial" w:cs="Arial"/>
        </w:rPr>
        <w:t>s</w:t>
      </w:r>
      <w:r w:rsidR="002E7A02">
        <w:rPr>
          <w:rFonts w:ascii="Arial" w:hAnsi="Arial" w:cs="Arial"/>
        </w:rPr>
        <w:t xml:space="preserve"> so the method of calculating emissions from staff working from home have now been updated to the national approach</w:t>
      </w:r>
      <w:r w:rsidR="00CD3F13">
        <w:rPr>
          <w:rFonts w:ascii="Arial" w:hAnsi="Arial" w:cs="Arial"/>
        </w:rPr>
        <w:t xml:space="preserve">. </w:t>
      </w:r>
      <w:r w:rsidR="00FD0FDA">
        <w:rPr>
          <w:rFonts w:ascii="Arial" w:hAnsi="Arial" w:cs="Arial"/>
        </w:rPr>
        <w:t xml:space="preserve"> </w:t>
      </w:r>
    </w:p>
    <w:sectPr w:rsidR="00B57AF5" w:rsidRPr="00DC2CD2" w:rsidSect="003E78E1">
      <w:footerReference w:type="default" r:id="rId14"/>
      <w:pgSz w:w="11906" w:h="16838"/>
      <w:pgMar w:top="1134" w:right="1133" w:bottom="1135"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A1A7" w14:textId="77777777" w:rsidR="00BB707C" w:rsidRDefault="00BB707C" w:rsidP="003A3903">
      <w:pPr>
        <w:spacing w:after="0" w:line="240" w:lineRule="auto"/>
      </w:pPr>
      <w:r>
        <w:separator/>
      </w:r>
    </w:p>
  </w:endnote>
  <w:endnote w:type="continuationSeparator" w:id="0">
    <w:p w14:paraId="6E46BEF3" w14:textId="77777777" w:rsidR="00BB707C" w:rsidRDefault="00BB707C" w:rsidP="003A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9463" w14:textId="77A263E8" w:rsidR="003A3903" w:rsidRDefault="003A3903">
    <w:pPr>
      <w:pStyle w:val="Footer"/>
    </w:pPr>
    <w:r w:rsidRPr="004C33C5">
      <w:t xml:space="preserve">Date: </w:t>
    </w:r>
    <w:r w:rsidR="0031528F">
      <w:t xml:space="preserve">November </w:t>
    </w:r>
    <w:r w:rsidRPr="004C33C5">
      <w:t>202</w:t>
    </w:r>
    <w:r w:rsidR="0031528F">
      <w:t>2</w:t>
    </w:r>
    <w:r>
      <w:tab/>
      <w:t>Version: 1.0</w:t>
    </w:r>
    <w:r>
      <w:tab/>
      <w:t>Author: Leanne Wilson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EC5" w14:textId="77777777" w:rsidR="00BB707C" w:rsidRDefault="00BB707C" w:rsidP="003A3903">
      <w:pPr>
        <w:spacing w:after="0" w:line="240" w:lineRule="auto"/>
      </w:pPr>
      <w:r>
        <w:separator/>
      </w:r>
    </w:p>
  </w:footnote>
  <w:footnote w:type="continuationSeparator" w:id="0">
    <w:p w14:paraId="362B48DC" w14:textId="77777777" w:rsidR="00BB707C" w:rsidRDefault="00BB707C" w:rsidP="003A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01B1"/>
    <w:multiLevelType w:val="hybridMultilevel"/>
    <w:tmpl w:val="394C980E"/>
    <w:lvl w:ilvl="0" w:tplc="233636C6">
      <w:numFmt w:val="bullet"/>
      <w:lvlText w:val="•"/>
      <w:lvlJc w:val="left"/>
      <w:pPr>
        <w:ind w:left="1060" w:hanging="720"/>
      </w:pPr>
      <w:rPr>
        <w:rFonts w:ascii="Arial" w:eastAsiaTheme="minorHAnsi" w:hAnsi="Arial" w:cs="Aria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15:restartNumberingAfterBreak="0">
    <w:nsid w:val="0B4623C1"/>
    <w:multiLevelType w:val="hybridMultilevel"/>
    <w:tmpl w:val="B108272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 w15:restartNumberingAfterBreak="0">
    <w:nsid w:val="0D20398D"/>
    <w:multiLevelType w:val="hybridMultilevel"/>
    <w:tmpl w:val="324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40E70"/>
    <w:multiLevelType w:val="hybridMultilevel"/>
    <w:tmpl w:val="FEBC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46DAD"/>
    <w:multiLevelType w:val="multilevel"/>
    <w:tmpl w:val="12441B78"/>
    <w:lvl w:ilvl="0">
      <w:start w:val="1"/>
      <w:numFmt w:val="decimal"/>
      <w:lvlText w:val="%1."/>
      <w:lvlJc w:val="left"/>
      <w:pPr>
        <w:ind w:left="0" w:firstLine="0"/>
      </w:pPr>
      <w:rPr>
        <w:b/>
        <w:bCs/>
        <w:color w:val="auto"/>
      </w:rPr>
    </w:lvl>
    <w:lvl w:ilvl="1">
      <w:start w:val="1"/>
      <w:numFmt w:val="decimal"/>
      <w:isLgl/>
      <w:lvlText w:val="%1.%2"/>
      <w:lvlJc w:val="left"/>
      <w:pPr>
        <w:ind w:left="0" w:firstLine="0"/>
      </w:pPr>
      <w:rPr>
        <w:rFonts w:hint="default"/>
        <w:b w:val="0"/>
        <w:bCs w:val="0"/>
        <w:color w:val="auto"/>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28340D4E"/>
    <w:multiLevelType w:val="hybridMultilevel"/>
    <w:tmpl w:val="981876D4"/>
    <w:lvl w:ilvl="0" w:tplc="0809000F">
      <w:start w:val="1"/>
      <w:numFmt w:val="decimal"/>
      <w:lvlText w:val="%1."/>
      <w:lvlJc w:val="left"/>
      <w:pPr>
        <w:ind w:left="720" w:hanging="360"/>
      </w:pPr>
      <w:rPr>
        <w:rFonts w:hint="default"/>
      </w:rPr>
    </w:lvl>
    <w:lvl w:ilvl="1" w:tplc="13FC02B0">
      <w:start w:val="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06A8E"/>
    <w:multiLevelType w:val="hybridMultilevel"/>
    <w:tmpl w:val="50565A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1362A1"/>
    <w:multiLevelType w:val="hybridMultilevel"/>
    <w:tmpl w:val="115C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1055F"/>
    <w:multiLevelType w:val="hybridMultilevel"/>
    <w:tmpl w:val="D55CE61A"/>
    <w:lvl w:ilvl="0" w:tplc="233636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70062"/>
    <w:multiLevelType w:val="hybridMultilevel"/>
    <w:tmpl w:val="CCF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8"/>
  </w:num>
  <w:num w:numId="6">
    <w:abstractNumId w:val="0"/>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C9"/>
    <w:rsid w:val="00006B8A"/>
    <w:rsid w:val="00062866"/>
    <w:rsid w:val="000743F3"/>
    <w:rsid w:val="000B0168"/>
    <w:rsid w:val="000B6193"/>
    <w:rsid w:val="00104792"/>
    <w:rsid w:val="00114C37"/>
    <w:rsid w:val="001314A8"/>
    <w:rsid w:val="0013447C"/>
    <w:rsid w:val="001418BF"/>
    <w:rsid w:val="00141CCA"/>
    <w:rsid w:val="0016533C"/>
    <w:rsid w:val="001F681D"/>
    <w:rsid w:val="00260E9F"/>
    <w:rsid w:val="0027026A"/>
    <w:rsid w:val="00292DA1"/>
    <w:rsid w:val="002E7A02"/>
    <w:rsid w:val="002F47B1"/>
    <w:rsid w:val="0031528F"/>
    <w:rsid w:val="0033636D"/>
    <w:rsid w:val="00357E92"/>
    <w:rsid w:val="00361C27"/>
    <w:rsid w:val="00376109"/>
    <w:rsid w:val="00385FD9"/>
    <w:rsid w:val="003A3903"/>
    <w:rsid w:val="003A48DF"/>
    <w:rsid w:val="003A7587"/>
    <w:rsid w:val="003E4DAD"/>
    <w:rsid w:val="003E78E1"/>
    <w:rsid w:val="00406A74"/>
    <w:rsid w:val="0042237E"/>
    <w:rsid w:val="00433046"/>
    <w:rsid w:val="00450257"/>
    <w:rsid w:val="00460506"/>
    <w:rsid w:val="00484B72"/>
    <w:rsid w:val="004C32D6"/>
    <w:rsid w:val="004C33C5"/>
    <w:rsid w:val="004D5E8C"/>
    <w:rsid w:val="004F57C3"/>
    <w:rsid w:val="00530E54"/>
    <w:rsid w:val="005420A0"/>
    <w:rsid w:val="00562DDE"/>
    <w:rsid w:val="00580879"/>
    <w:rsid w:val="00582417"/>
    <w:rsid w:val="005A63D9"/>
    <w:rsid w:val="005D544C"/>
    <w:rsid w:val="005E5BB6"/>
    <w:rsid w:val="006129BA"/>
    <w:rsid w:val="00624C92"/>
    <w:rsid w:val="006526EA"/>
    <w:rsid w:val="00656052"/>
    <w:rsid w:val="00682D83"/>
    <w:rsid w:val="00695595"/>
    <w:rsid w:val="006B0027"/>
    <w:rsid w:val="006B3FC6"/>
    <w:rsid w:val="006D74FC"/>
    <w:rsid w:val="00711582"/>
    <w:rsid w:val="0076668A"/>
    <w:rsid w:val="00774462"/>
    <w:rsid w:val="007C5169"/>
    <w:rsid w:val="007D53A9"/>
    <w:rsid w:val="007E2814"/>
    <w:rsid w:val="008304CF"/>
    <w:rsid w:val="008330ED"/>
    <w:rsid w:val="008618B9"/>
    <w:rsid w:val="00865689"/>
    <w:rsid w:val="00865D26"/>
    <w:rsid w:val="008B3494"/>
    <w:rsid w:val="008D0B20"/>
    <w:rsid w:val="008D2FCF"/>
    <w:rsid w:val="008E4EE3"/>
    <w:rsid w:val="008F28C1"/>
    <w:rsid w:val="00901CE1"/>
    <w:rsid w:val="00913E8F"/>
    <w:rsid w:val="00936266"/>
    <w:rsid w:val="009430E1"/>
    <w:rsid w:val="009504C5"/>
    <w:rsid w:val="009954C2"/>
    <w:rsid w:val="009A5D0E"/>
    <w:rsid w:val="009C061B"/>
    <w:rsid w:val="009D46AA"/>
    <w:rsid w:val="00A63D8F"/>
    <w:rsid w:val="00AA144E"/>
    <w:rsid w:val="00AA7687"/>
    <w:rsid w:val="00AD0103"/>
    <w:rsid w:val="00AE1F2E"/>
    <w:rsid w:val="00AF2A65"/>
    <w:rsid w:val="00B2195D"/>
    <w:rsid w:val="00B40E56"/>
    <w:rsid w:val="00B57AF5"/>
    <w:rsid w:val="00B662C9"/>
    <w:rsid w:val="00B66617"/>
    <w:rsid w:val="00B67960"/>
    <w:rsid w:val="00B77953"/>
    <w:rsid w:val="00BA147C"/>
    <w:rsid w:val="00BB1233"/>
    <w:rsid w:val="00BB707C"/>
    <w:rsid w:val="00BB7999"/>
    <w:rsid w:val="00C1148D"/>
    <w:rsid w:val="00C16650"/>
    <w:rsid w:val="00C317F9"/>
    <w:rsid w:val="00C32336"/>
    <w:rsid w:val="00C71843"/>
    <w:rsid w:val="00C71867"/>
    <w:rsid w:val="00C74796"/>
    <w:rsid w:val="00C92EA4"/>
    <w:rsid w:val="00CC7989"/>
    <w:rsid w:val="00CD3F13"/>
    <w:rsid w:val="00CE1E7A"/>
    <w:rsid w:val="00D54A8D"/>
    <w:rsid w:val="00D976B1"/>
    <w:rsid w:val="00DC2CD2"/>
    <w:rsid w:val="00DF54FD"/>
    <w:rsid w:val="00E1074D"/>
    <w:rsid w:val="00E20772"/>
    <w:rsid w:val="00E30F43"/>
    <w:rsid w:val="00E35D51"/>
    <w:rsid w:val="00E4045B"/>
    <w:rsid w:val="00E6564C"/>
    <w:rsid w:val="00E7291D"/>
    <w:rsid w:val="00E9341E"/>
    <w:rsid w:val="00EC6B4D"/>
    <w:rsid w:val="00EF482D"/>
    <w:rsid w:val="00F06798"/>
    <w:rsid w:val="00F7508F"/>
    <w:rsid w:val="00F83841"/>
    <w:rsid w:val="00FD0FDA"/>
    <w:rsid w:val="00FD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A1E1A"/>
  <w15:chartTrackingRefBased/>
  <w15:docId w15:val="{AAF7EAE7-6CBD-46B0-89CD-4012EC07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C9"/>
    <w:rPr>
      <w:rFonts w:ascii="Segoe UI" w:hAnsi="Segoe UI" w:cs="Segoe UI"/>
      <w:sz w:val="18"/>
      <w:szCs w:val="18"/>
    </w:rPr>
  </w:style>
  <w:style w:type="character" w:styleId="CommentReference">
    <w:name w:val="annotation reference"/>
    <w:basedOn w:val="DefaultParagraphFont"/>
    <w:uiPriority w:val="99"/>
    <w:semiHidden/>
    <w:unhideWhenUsed/>
    <w:rsid w:val="00B662C9"/>
    <w:rPr>
      <w:sz w:val="16"/>
      <w:szCs w:val="16"/>
    </w:rPr>
  </w:style>
  <w:style w:type="paragraph" w:styleId="CommentText">
    <w:name w:val="annotation text"/>
    <w:basedOn w:val="Normal"/>
    <w:link w:val="CommentTextChar"/>
    <w:uiPriority w:val="99"/>
    <w:semiHidden/>
    <w:unhideWhenUsed/>
    <w:rsid w:val="00B662C9"/>
    <w:pPr>
      <w:spacing w:line="240" w:lineRule="auto"/>
    </w:pPr>
    <w:rPr>
      <w:sz w:val="20"/>
      <w:szCs w:val="20"/>
    </w:rPr>
  </w:style>
  <w:style w:type="character" w:customStyle="1" w:styleId="CommentTextChar">
    <w:name w:val="Comment Text Char"/>
    <w:basedOn w:val="DefaultParagraphFont"/>
    <w:link w:val="CommentText"/>
    <w:uiPriority w:val="99"/>
    <w:semiHidden/>
    <w:rsid w:val="00B662C9"/>
    <w:rPr>
      <w:sz w:val="20"/>
      <w:szCs w:val="20"/>
    </w:rPr>
  </w:style>
  <w:style w:type="paragraph" w:styleId="CommentSubject">
    <w:name w:val="annotation subject"/>
    <w:basedOn w:val="CommentText"/>
    <w:next w:val="CommentText"/>
    <w:link w:val="CommentSubjectChar"/>
    <w:uiPriority w:val="99"/>
    <w:semiHidden/>
    <w:unhideWhenUsed/>
    <w:rsid w:val="00B662C9"/>
    <w:rPr>
      <w:b/>
      <w:bCs/>
    </w:rPr>
  </w:style>
  <w:style w:type="character" w:customStyle="1" w:styleId="CommentSubjectChar">
    <w:name w:val="Comment Subject Char"/>
    <w:basedOn w:val="CommentTextChar"/>
    <w:link w:val="CommentSubject"/>
    <w:uiPriority w:val="99"/>
    <w:semiHidden/>
    <w:rsid w:val="00B662C9"/>
    <w:rPr>
      <w:b/>
      <w:bCs/>
      <w:sz w:val="20"/>
      <w:szCs w:val="20"/>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L"/>
    <w:basedOn w:val="Normal"/>
    <w:link w:val="ListParagraphChar"/>
    <w:uiPriority w:val="34"/>
    <w:qFormat/>
    <w:rsid w:val="003A3903"/>
    <w:pPr>
      <w:ind w:left="720"/>
      <w:contextualSpacing/>
    </w:pPr>
  </w:style>
  <w:style w:type="paragraph" w:styleId="Header">
    <w:name w:val="header"/>
    <w:basedOn w:val="Normal"/>
    <w:link w:val="HeaderChar"/>
    <w:uiPriority w:val="99"/>
    <w:unhideWhenUsed/>
    <w:rsid w:val="003A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903"/>
  </w:style>
  <w:style w:type="paragraph" w:styleId="Footer">
    <w:name w:val="footer"/>
    <w:basedOn w:val="Normal"/>
    <w:link w:val="FooterChar"/>
    <w:uiPriority w:val="99"/>
    <w:unhideWhenUsed/>
    <w:rsid w:val="003A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903"/>
  </w:style>
  <w:style w:type="character" w:styleId="Hyperlink">
    <w:name w:val="Hyperlink"/>
    <w:basedOn w:val="DefaultParagraphFont"/>
    <w:uiPriority w:val="99"/>
    <w:unhideWhenUsed/>
    <w:rsid w:val="00CE1E7A"/>
    <w:rPr>
      <w:color w:val="0563C1" w:themeColor="hyperlink"/>
      <w:u w:val="single"/>
    </w:rPr>
  </w:style>
  <w:style w:type="character" w:styleId="UnresolvedMention">
    <w:name w:val="Unresolved Mention"/>
    <w:basedOn w:val="DefaultParagraphFont"/>
    <w:uiPriority w:val="99"/>
    <w:semiHidden/>
    <w:unhideWhenUsed/>
    <w:rsid w:val="00CE1E7A"/>
    <w:rPr>
      <w:color w:val="605E5C"/>
      <w:shd w:val="clear" w:color="auto" w:fill="E1DFDD"/>
    </w:rPr>
  </w:style>
  <w:style w:type="character" w:styleId="FollowedHyperlink">
    <w:name w:val="FollowedHyperlink"/>
    <w:basedOn w:val="DefaultParagraphFont"/>
    <w:uiPriority w:val="99"/>
    <w:semiHidden/>
    <w:unhideWhenUsed/>
    <w:rsid w:val="005D544C"/>
    <w:rPr>
      <w:color w:val="954F72" w:themeColor="followedHyperlink"/>
      <w:u w:val="single"/>
    </w:rPr>
  </w:style>
  <w:style w:type="paragraph" w:styleId="FootnoteText">
    <w:name w:val="footnote text"/>
    <w:basedOn w:val="Normal"/>
    <w:link w:val="FootnoteTextChar"/>
    <w:uiPriority w:val="99"/>
    <w:semiHidden/>
    <w:unhideWhenUsed/>
    <w:rsid w:val="00652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6EA"/>
    <w:rPr>
      <w:sz w:val="20"/>
      <w:szCs w:val="20"/>
    </w:rPr>
  </w:style>
  <w:style w:type="character" w:styleId="FootnoteReference">
    <w:name w:val="footnote reference"/>
    <w:basedOn w:val="DefaultParagraphFont"/>
    <w:uiPriority w:val="99"/>
    <w:semiHidden/>
    <w:unhideWhenUsed/>
    <w:rsid w:val="006526EA"/>
    <w:rPr>
      <w:vertAlign w:val="superscript"/>
    </w:rPr>
  </w:style>
  <w:style w:type="paragraph" w:styleId="NoSpacing">
    <w:name w:val="No Spacing"/>
    <w:uiPriority w:val="1"/>
    <w:qFormat/>
    <w:rsid w:val="00B57AF5"/>
    <w:pPr>
      <w:spacing w:after="0" w:line="240" w:lineRule="auto"/>
    </w:pPr>
    <w:rPr>
      <w:rFonts w:ascii="Arial" w:eastAsia="MS Mincho" w:hAnsi="Arial" w:cs="Times New Roman"/>
      <w:sz w:val="24"/>
      <w:szCs w:val="24"/>
      <w:lang w:eastAsia="ja-JP"/>
    </w:rPr>
  </w:style>
  <w:style w:type="paragraph" w:styleId="NormalWeb">
    <w:name w:val="Normal (Web)"/>
    <w:basedOn w:val="Normal"/>
    <w:uiPriority w:val="99"/>
    <w:semiHidden/>
    <w:unhideWhenUsed/>
    <w:rsid w:val="00B679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7960"/>
    <w:rPr>
      <w:b/>
      <w:bCs/>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L Char"/>
    <w:link w:val="ListParagraph"/>
    <w:uiPriority w:val="34"/>
    <w:qFormat/>
    <w:locked/>
    <w:rsid w:val="0033636D"/>
  </w:style>
  <w:style w:type="character" w:customStyle="1" w:styleId="gmaildefault">
    <w:name w:val="gmail_default"/>
    <w:basedOn w:val="DefaultParagraphFont"/>
    <w:rsid w:val="00EC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8623">
      <w:bodyDiv w:val="1"/>
      <w:marLeft w:val="0"/>
      <w:marRight w:val="0"/>
      <w:marTop w:val="0"/>
      <w:marBottom w:val="0"/>
      <w:divBdr>
        <w:top w:val="none" w:sz="0" w:space="0" w:color="auto"/>
        <w:left w:val="none" w:sz="0" w:space="0" w:color="auto"/>
        <w:bottom w:val="none" w:sz="0" w:space="0" w:color="auto"/>
        <w:right w:val="none" w:sz="0" w:space="0" w:color="auto"/>
      </w:divBdr>
    </w:div>
    <w:div w:id="1564636361">
      <w:bodyDiv w:val="1"/>
      <w:marLeft w:val="0"/>
      <w:marRight w:val="0"/>
      <w:marTop w:val="0"/>
      <w:marBottom w:val="0"/>
      <w:divBdr>
        <w:top w:val="none" w:sz="0" w:space="0" w:color="auto"/>
        <w:left w:val="none" w:sz="0" w:space="0" w:color="auto"/>
        <w:bottom w:val="none" w:sz="0" w:space="0" w:color="auto"/>
        <w:right w:val="none" w:sz="0" w:space="0" w:color="auto"/>
      </w:divBdr>
    </w:div>
    <w:div w:id="1644388249">
      <w:bodyDiv w:val="1"/>
      <w:marLeft w:val="0"/>
      <w:marRight w:val="0"/>
      <w:marTop w:val="0"/>
      <w:marBottom w:val="0"/>
      <w:divBdr>
        <w:top w:val="none" w:sz="0" w:space="0" w:color="auto"/>
        <w:left w:val="none" w:sz="0" w:space="0" w:color="auto"/>
        <w:bottom w:val="none" w:sz="0" w:space="0" w:color="auto"/>
        <w:right w:val="none" w:sz="0" w:space="0" w:color="auto"/>
      </w:divBdr>
      <w:divsChild>
        <w:div w:id="41990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oftyne-ca.gov.uk/projects/zero-carbon-zero-poverty-our-5-point-plan/" TargetMode="External"/><Relationship Id="rId13" Type="http://schemas.openxmlformats.org/officeDocument/2006/relationships/hyperlink" Target="https://www.gov.uk/government/publications/greenhouse-gas-reporting-conversion-factor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b-national-electricity-and-gas-consumption-statistics-analysis-t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umennewcastle.co.uk/sustain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reenhouse-gas-reporting-conversion-factors-2022"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9282/pb13309-ghg-guidance-09090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C2D6-A50E-4056-8A48-1AB0C181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Leanne (North Of Tyne)</dc:creator>
  <cp:keywords/>
  <dc:description/>
  <cp:lastModifiedBy>Wilson, Leanne (North Of Tyne)</cp:lastModifiedBy>
  <cp:revision>2</cp:revision>
  <dcterms:created xsi:type="dcterms:W3CDTF">2023-03-06T09:53:00Z</dcterms:created>
  <dcterms:modified xsi:type="dcterms:W3CDTF">2023-03-06T09:53:00Z</dcterms:modified>
</cp:coreProperties>
</file>