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C1777" w:rsidR="00793655" w:rsidP="00793655" w:rsidRDefault="002C1777" w14:paraId="2BA5B47C" w14:textId="0C08515B">
      <w:pPr>
        <w:rPr>
          <w:rFonts w:ascii="Arial" w:hAnsi="Arial" w:cs="Arial"/>
          <w:sz w:val="20"/>
          <w:szCs w:val="20"/>
        </w:rPr>
      </w:pPr>
      <w:r w:rsidRPr="002C1777">
        <w:rPr>
          <w:rFonts w:ascii="Arial" w:hAnsi="Arial" w:cs="Arial"/>
          <w:noProof/>
          <w:sz w:val="20"/>
          <w:szCs w:val="20"/>
        </w:rPr>
        <w:drawing>
          <wp:inline distT="0" distB="0" distL="0" distR="0" wp14:anchorId="486E3F7A" wp14:editId="15841ECB">
            <wp:extent cx="5731510" cy="14681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468120"/>
                    </a:xfrm>
                    <a:prstGeom prst="rect">
                      <a:avLst/>
                    </a:prstGeom>
                    <a:noFill/>
                    <a:ln>
                      <a:noFill/>
                    </a:ln>
                  </pic:spPr>
                </pic:pic>
              </a:graphicData>
            </a:graphic>
          </wp:inline>
        </w:drawing>
      </w:r>
    </w:p>
    <w:p w:rsidRPr="002C1777" w:rsidR="00793655" w:rsidP="00793655" w:rsidRDefault="00793655" w14:paraId="0F09BFDC" w14:textId="77777777">
      <w:pPr>
        <w:rPr>
          <w:rFonts w:ascii="Arial" w:hAnsi="Arial" w:cs="Arial"/>
          <w:sz w:val="20"/>
          <w:szCs w:val="20"/>
        </w:rPr>
      </w:pPr>
    </w:p>
    <w:p w:rsidRPr="002C1777" w:rsidR="00793655" w:rsidP="00793655" w:rsidRDefault="00793655" w14:paraId="041200FD" w14:textId="77777777">
      <w:pPr>
        <w:rPr>
          <w:rFonts w:ascii="Arial" w:hAnsi="Arial" w:cs="Arial"/>
          <w:sz w:val="20"/>
          <w:szCs w:val="20"/>
        </w:rPr>
      </w:pPr>
    </w:p>
    <w:p w:rsidRPr="002C1777" w:rsidR="00793655" w:rsidP="00793655" w:rsidRDefault="00793655" w14:paraId="41BCA7E0" w14:textId="77777777">
      <w:pPr>
        <w:rPr>
          <w:rFonts w:ascii="Arial" w:hAnsi="Arial" w:cs="Arial"/>
          <w:sz w:val="20"/>
          <w:szCs w:val="20"/>
        </w:rPr>
      </w:pPr>
    </w:p>
    <w:p w:rsidRPr="002C1777" w:rsidR="00793655" w:rsidP="00793655" w:rsidRDefault="00793655" w14:paraId="7D811E87" w14:textId="77777777">
      <w:pPr>
        <w:rPr>
          <w:rFonts w:ascii="Arial" w:hAnsi="Arial" w:cs="Arial"/>
          <w:sz w:val="20"/>
          <w:szCs w:val="20"/>
        </w:rPr>
      </w:pPr>
    </w:p>
    <w:p w:rsidRPr="002C1777" w:rsidR="00793655" w:rsidP="00793655" w:rsidRDefault="00793655" w14:paraId="5D7D1F4C" w14:textId="77777777">
      <w:pPr>
        <w:rPr>
          <w:rFonts w:ascii="Arial" w:hAnsi="Arial" w:cs="Arial"/>
          <w:sz w:val="20"/>
          <w:szCs w:val="20"/>
        </w:rPr>
      </w:pPr>
    </w:p>
    <w:p w:rsidRPr="002C1777" w:rsidR="00793655" w:rsidP="00793655" w:rsidRDefault="00793655" w14:paraId="242682FF" w14:textId="1581ACCE">
      <w:pPr>
        <w:rPr>
          <w:rFonts w:ascii="Arial" w:hAnsi="Arial" w:cs="Arial"/>
          <w:sz w:val="20"/>
          <w:szCs w:val="20"/>
        </w:rPr>
      </w:pPr>
    </w:p>
    <w:p w:rsidRPr="002C1777" w:rsidR="003F0BA3" w:rsidP="005A4039" w:rsidRDefault="00793655" w14:paraId="3B9B1656" w14:textId="77777777">
      <w:pPr>
        <w:jc w:val="center"/>
        <w:rPr>
          <w:rFonts w:ascii="Arial" w:hAnsi="Arial" w:cs="Arial"/>
          <w:b/>
          <w:bCs/>
          <w:sz w:val="40"/>
          <w:szCs w:val="40"/>
        </w:rPr>
      </w:pPr>
      <w:r w:rsidRPr="002C1777">
        <w:rPr>
          <w:rFonts w:ascii="Arial" w:hAnsi="Arial" w:cs="Arial"/>
          <w:b/>
          <w:bCs/>
          <w:sz w:val="40"/>
          <w:szCs w:val="40"/>
        </w:rPr>
        <w:t>UK Shared Prosperity Fund</w:t>
      </w:r>
    </w:p>
    <w:p w:rsidRPr="002C1777" w:rsidR="00EF0D0A" w:rsidP="005A4039" w:rsidRDefault="00793655" w14:paraId="2F538429" w14:textId="47B4C50C">
      <w:pPr>
        <w:jc w:val="center"/>
        <w:rPr>
          <w:rFonts w:ascii="Arial" w:hAnsi="Arial" w:cs="Arial"/>
          <w:b/>
          <w:bCs/>
          <w:sz w:val="40"/>
          <w:szCs w:val="40"/>
        </w:rPr>
      </w:pPr>
      <w:r w:rsidRPr="002C1777">
        <w:rPr>
          <w:rFonts w:ascii="Arial" w:hAnsi="Arial" w:cs="Arial"/>
          <w:b/>
          <w:bCs/>
          <w:sz w:val="40"/>
          <w:szCs w:val="40"/>
        </w:rPr>
        <w:t>Communities and Place</w:t>
      </w:r>
    </w:p>
    <w:p w:rsidRPr="002C1777" w:rsidR="003F0BA3" w:rsidP="005A4039" w:rsidRDefault="003F0BA3" w14:paraId="7CF83519" w14:textId="6230BCE0">
      <w:pPr>
        <w:jc w:val="center"/>
        <w:rPr>
          <w:rFonts w:ascii="Arial" w:hAnsi="Arial" w:cs="Arial"/>
          <w:b/>
          <w:bCs/>
          <w:sz w:val="48"/>
          <w:szCs w:val="48"/>
        </w:rPr>
      </w:pPr>
      <w:r w:rsidRPr="002C1777">
        <w:rPr>
          <w:rFonts w:ascii="Arial" w:hAnsi="Arial" w:cs="Arial"/>
          <w:b/>
          <w:bCs/>
          <w:sz w:val="48"/>
          <w:szCs w:val="48"/>
        </w:rPr>
        <w:t>Specification</w:t>
      </w:r>
      <w:r w:rsidR="00D04C07">
        <w:rPr>
          <w:rFonts w:ascii="Arial" w:hAnsi="Arial" w:cs="Arial"/>
          <w:b/>
          <w:bCs/>
          <w:sz w:val="48"/>
          <w:szCs w:val="48"/>
        </w:rPr>
        <w:br/>
      </w:r>
    </w:p>
    <w:p w:rsidRPr="002C1777" w:rsidR="00235A4A" w:rsidP="00235A4A" w:rsidRDefault="006E764C" w14:paraId="50713126" w14:textId="77777777">
      <w:pPr>
        <w:jc w:val="center"/>
        <w:rPr>
          <w:rFonts w:ascii="Arial" w:hAnsi="Arial" w:cs="Arial"/>
          <w:b/>
          <w:bCs/>
          <w:sz w:val="40"/>
          <w:szCs w:val="40"/>
        </w:rPr>
      </w:pPr>
      <w:r w:rsidRPr="002C1777">
        <w:rPr>
          <w:rFonts w:ascii="Arial" w:hAnsi="Arial" w:cs="Arial"/>
          <w:b/>
          <w:bCs/>
          <w:sz w:val="40"/>
          <w:szCs w:val="40"/>
        </w:rPr>
        <w:t xml:space="preserve">Call for </w:t>
      </w:r>
      <w:r w:rsidRPr="002C1777" w:rsidR="003F0BA3">
        <w:rPr>
          <w:rFonts w:ascii="Arial" w:hAnsi="Arial" w:cs="Arial"/>
          <w:b/>
          <w:bCs/>
          <w:sz w:val="40"/>
          <w:szCs w:val="40"/>
        </w:rPr>
        <w:t xml:space="preserve">Volunteering and Social Action </w:t>
      </w:r>
      <w:r w:rsidRPr="002C1777" w:rsidR="00235A4A">
        <w:rPr>
          <w:rFonts w:ascii="Arial" w:hAnsi="Arial" w:cs="Arial"/>
          <w:b/>
          <w:bCs/>
          <w:sz w:val="40"/>
          <w:szCs w:val="40"/>
        </w:rPr>
        <w:t>Programme</w:t>
      </w:r>
    </w:p>
    <w:p w:rsidRPr="002C1777" w:rsidR="005A4039" w:rsidP="00235A4A" w:rsidRDefault="00D67B9F" w14:paraId="27CCFAA3" w14:textId="79DBBFE8">
      <w:pPr>
        <w:jc w:val="center"/>
        <w:rPr>
          <w:rFonts w:ascii="Arial" w:hAnsi="Arial" w:cs="Arial"/>
          <w:b/>
          <w:bCs/>
          <w:sz w:val="40"/>
          <w:szCs w:val="40"/>
        </w:rPr>
      </w:pPr>
      <w:r w:rsidRPr="002C1777">
        <w:rPr>
          <w:rFonts w:ascii="Arial" w:hAnsi="Arial" w:cs="Arial"/>
          <w:b/>
          <w:bCs/>
          <w:sz w:val="40"/>
          <w:szCs w:val="40"/>
        </w:rPr>
        <w:t>1</w:t>
      </w:r>
      <w:r w:rsidRPr="002C1777">
        <w:rPr>
          <w:rFonts w:ascii="Arial" w:hAnsi="Arial" w:cs="Arial"/>
          <w:b/>
          <w:bCs/>
          <w:sz w:val="40"/>
          <w:szCs w:val="40"/>
          <w:vertAlign w:val="superscript"/>
        </w:rPr>
        <w:t>st</w:t>
      </w:r>
      <w:r w:rsidR="003A378A">
        <w:rPr>
          <w:rFonts w:ascii="Arial" w:hAnsi="Arial" w:cs="Arial"/>
          <w:b/>
          <w:bCs/>
          <w:sz w:val="40"/>
          <w:szCs w:val="40"/>
          <w:vertAlign w:val="superscript"/>
        </w:rPr>
        <w:t xml:space="preserve"> </w:t>
      </w:r>
      <w:r w:rsidRPr="002C1777">
        <w:rPr>
          <w:rFonts w:ascii="Arial" w:hAnsi="Arial" w:cs="Arial"/>
          <w:b/>
          <w:bCs/>
          <w:sz w:val="40"/>
          <w:szCs w:val="40"/>
        </w:rPr>
        <w:t xml:space="preserve">June </w:t>
      </w:r>
      <w:r w:rsidRPr="002C1777" w:rsidR="59C169AD">
        <w:rPr>
          <w:rFonts w:ascii="Arial" w:hAnsi="Arial" w:cs="Arial"/>
          <w:b/>
          <w:bCs/>
          <w:sz w:val="40"/>
          <w:szCs w:val="40"/>
        </w:rPr>
        <w:t xml:space="preserve">2023 </w:t>
      </w:r>
      <w:r w:rsidRPr="002C1777" w:rsidR="005A4039">
        <w:rPr>
          <w:rFonts w:ascii="Arial" w:hAnsi="Arial" w:cs="Arial"/>
          <w:b/>
          <w:bCs/>
          <w:sz w:val="40"/>
          <w:szCs w:val="40"/>
        </w:rPr>
        <w:t xml:space="preserve">– </w:t>
      </w:r>
      <w:r w:rsidRPr="002C1777">
        <w:rPr>
          <w:rFonts w:ascii="Arial" w:hAnsi="Arial" w:cs="Arial"/>
          <w:b/>
          <w:bCs/>
          <w:sz w:val="40"/>
          <w:szCs w:val="40"/>
        </w:rPr>
        <w:t>31</w:t>
      </w:r>
      <w:r w:rsidRPr="002C1777">
        <w:rPr>
          <w:rFonts w:ascii="Arial" w:hAnsi="Arial" w:cs="Arial"/>
          <w:b/>
          <w:bCs/>
          <w:sz w:val="40"/>
          <w:szCs w:val="40"/>
          <w:vertAlign w:val="superscript"/>
        </w:rPr>
        <w:t>st</w:t>
      </w:r>
      <w:r w:rsidRPr="002C1777">
        <w:rPr>
          <w:rFonts w:ascii="Arial" w:hAnsi="Arial" w:cs="Arial"/>
          <w:b/>
          <w:bCs/>
          <w:sz w:val="40"/>
          <w:szCs w:val="40"/>
        </w:rPr>
        <w:t xml:space="preserve"> </w:t>
      </w:r>
      <w:r w:rsidRPr="002C1777" w:rsidR="005A4039">
        <w:rPr>
          <w:rFonts w:ascii="Arial" w:hAnsi="Arial" w:cs="Arial"/>
          <w:b/>
          <w:bCs/>
          <w:sz w:val="40"/>
          <w:szCs w:val="40"/>
        </w:rPr>
        <w:t>March 2025</w:t>
      </w:r>
    </w:p>
    <w:p w:rsidRPr="002C1777" w:rsidR="005A4039" w:rsidP="00793655" w:rsidRDefault="005A4039" w14:paraId="174E0971" w14:textId="77777777">
      <w:pPr>
        <w:jc w:val="center"/>
        <w:rPr>
          <w:rFonts w:ascii="Arial" w:hAnsi="Arial" w:cs="Arial"/>
          <w:b/>
          <w:bCs/>
          <w:sz w:val="40"/>
          <w:szCs w:val="40"/>
        </w:rPr>
      </w:pPr>
    </w:p>
    <w:p w:rsidRPr="002C1777" w:rsidR="00B238D6" w:rsidP="00B238D6" w:rsidRDefault="00793655" w14:paraId="0972003F" w14:textId="537E3566">
      <w:pPr>
        <w:rPr>
          <w:rFonts w:ascii="Arial" w:hAnsi="Arial" w:cs="Arial"/>
          <w:color w:val="008080"/>
          <w:sz w:val="24"/>
          <w:szCs w:val="24"/>
        </w:rPr>
      </w:pPr>
      <w:r w:rsidRPr="002C1777">
        <w:rPr>
          <w:rFonts w:ascii="Arial" w:hAnsi="Arial" w:cs="Arial"/>
          <w:sz w:val="20"/>
          <w:szCs w:val="20"/>
        </w:rPr>
        <w:br w:type="page"/>
      </w:r>
    </w:p>
    <w:sdt>
      <w:sdtPr>
        <w:rPr>
          <w:rFonts w:ascii="Arial" w:hAnsi="Arial" w:cs="Arial" w:eastAsiaTheme="minorHAnsi"/>
          <w:b w:val="0"/>
          <w:bCs w:val="0"/>
          <w:color w:val="000000" w:themeColor="text1"/>
          <w:sz w:val="22"/>
          <w:szCs w:val="22"/>
          <w:lang w:val="en-GB"/>
        </w:rPr>
        <w:id w:val="-813332180"/>
        <w:docPartObj>
          <w:docPartGallery w:val="Table of Contents"/>
          <w:docPartUnique/>
        </w:docPartObj>
      </w:sdtPr>
      <w:sdtEndPr>
        <w:rPr>
          <w:noProof/>
          <w:color w:val="auto"/>
        </w:rPr>
      </w:sdtEndPr>
      <w:sdtContent>
        <w:p w:rsidRPr="002C1777" w:rsidR="003F0BA3" w:rsidRDefault="003F0BA3" w14:paraId="4634DBEC" w14:textId="191C24F9">
          <w:pPr>
            <w:pStyle w:val="TOCHeading"/>
            <w:rPr>
              <w:rFonts w:ascii="Arial" w:hAnsi="Arial" w:cs="Arial"/>
              <w:color w:val="000000" w:themeColor="text1"/>
            </w:rPr>
          </w:pPr>
          <w:r w:rsidRPr="002C1777">
            <w:rPr>
              <w:rFonts w:ascii="Arial" w:hAnsi="Arial" w:cs="Arial"/>
              <w:color w:val="000000" w:themeColor="text1"/>
            </w:rPr>
            <w:t>Table of Contents</w:t>
          </w:r>
        </w:p>
        <w:p w:rsidRPr="002C1777" w:rsidR="0059287C" w:rsidRDefault="003F0BA3" w14:paraId="23351192" w14:textId="51EA9209">
          <w:pPr>
            <w:pStyle w:val="TOC1"/>
            <w:tabs>
              <w:tab w:val="left" w:pos="440"/>
              <w:tab w:val="right" w:leader="dot" w:pos="9016"/>
            </w:tabs>
            <w:rPr>
              <w:rFonts w:ascii="Arial" w:hAnsi="Arial" w:cs="Arial" w:eastAsiaTheme="minorEastAsia"/>
              <w:b w:val="0"/>
              <w:bCs w:val="0"/>
              <w:i w:val="0"/>
              <w:iCs w:val="0"/>
              <w:noProof/>
              <w:sz w:val="22"/>
              <w:szCs w:val="22"/>
              <w:lang w:eastAsia="en-GB"/>
            </w:rPr>
          </w:pPr>
          <w:r w:rsidRPr="002C1777">
            <w:rPr>
              <w:rFonts w:ascii="Arial" w:hAnsi="Arial" w:cs="Arial"/>
              <w:b w:val="0"/>
              <w:bCs w:val="0"/>
              <w:i w:val="0"/>
              <w:iCs w:val="0"/>
            </w:rPr>
            <w:fldChar w:fldCharType="begin"/>
          </w:r>
          <w:r w:rsidRPr="002C1777">
            <w:rPr>
              <w:rFonts w:ascii="Arial" w:hAnsi="Arial" w:cs="Arial"/>
              <w:i w:val="0"/>
              <w:iCs w:val="0"/>
            </w:rPr>
            <w:instrText xml:space="preserve"> TOC \o "1-3" \h \z \u </w:instrText>
          </w:r>
          <w:r w:rsidRPr="002C1777">
            <w:rPr>
              <w:rFonts w:ascii="Arial" w:hAnsi="Arial" w:cs="Arial"/>
              <w:b w:val="0"/>
              <w:bCs w:val="0"/>
              <w:i w:val="0"/>
              <w:iCs w:val="0"/>
            </w:rPr>
            <w:fldChar w:fldCharType="separate"/>
          </w:r>
          <w:hyperlink w:history="1" w:anchor="_Toc128644073">
            <w:r w:rsidRPr="002C1777" w:rsidR="0059287C">
              <w:rPr>
                <w:rStyle w:val="Hyperlink"/>
                <w:rFonts w:ascii="Arial" w:hAnsi="Arial" w:cs="Arial"/>
                <w:i w:val="0"/>
                <w:iCs w:val="0"/>
                <w:noProof/>
              </w:rPr>
              <w:t>1.</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UK Shared Prosperity Fund (UKSPF)</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_Toc128644073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3</w:t>
            </w:r>
            <w:r w:rsidRPr="002C1777" w:rsidR="0059287C">
              <w:rPr>
                <w:rFonts w:ascii="Arial" w:hAnsi="Arial" w:cs="Arial"/>
                <w:i w:val="0"/>
                <w:iCs w:val="0"/>
                <w:noProof/>
                <w:webHidden/>
              </w:rPr>
              <w:fldChar w:fldCharType="end"/>
            </w:r>
          </w:hyperlink>
        </w:p>
        <w:p w:rsidRPr="002C1777" w:rsidR="0059287C" w:rsidRDefault="00000000" w14:paraId="45EFD512" w14:textId="1E982CE4">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74">
            <w:r w:rsidRPr="002C1777" w:rsidR="0059287C">
              <w:rPr>
                <w:rStyle w:val="Hyperlink"/>
                <w:rFonts w:ascii="Arial" w:hAnsi="Arial" w:cs="Arial"/>
                <w:i w:val="0"/>
                <w:iCs w:val="0"/>
                <w:noProof/>
              </w:rPr>
              <w:t>2.</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North of Tyne Combined Authority</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_Toc128644074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3</w:t>
            </w:r>
            <w:r w:rsidRPr="002C1777" w:rsidR="0059287C">
              <w:rPr>
                <w:rFonts w:ascii="Arial" w:hAnsi="Arial" w:cs="Arial"/>
                <w:i w:val="0"/>
                <w:iCs w:val="0"/>
                <w:noProof/>
                <w:webHidden/>
              </w:rPr>
              <w:fldChar w:fldCharType="end"/>
            </w:r>
          </w:hyperlink>
        </w:p>
        <w:p w:rsidRPr="002C1777" w:rsidR="0059287C" w:rsidRDefault="00000000" w14:paraId="1CCDF4E0" w14:textId="0C807C20">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75">
            <w:r w:rsidRPr="002C1777" w:rsidR="0059287C">
              <w:rPr>
                <w:rStyle w:val="Hyperlink"/>
                <w:rFonts w:ascii="Arial" w:hAnsi="Arial" w:cs="Arial"/>
                <w:i w:val="0"/>
                <w:iCs w:val="0"/>
                <w:noProof/>
              </w:rPr>
              <w:t>3.</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UKSPF Communities and Place: Programmes of Activity</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_Toc128644075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3</w:t>
            </w:r>
            <w:r w:rsidRPr="002C1777" w:rsidR="0059287C">
              <w:rPr>
                <w:rFonts w:ascii="Arial" w:hAnsi="Arial" w:cs="Arial"/>
                <w:i w:val="0"/>
                <w:iCs w:val="0"/>
                <w:noProof/>
                <w:webHidden/>
              </w:rPr>
              <w:fldChar w:fldCharType="end"/>
            </w:r>
          </w:hyperlink>
        </w:p>
        <w:p w:rsidRPr="002C1777" w:rsidR="0059287C" w:rsidRDefault="00000000" w14:paraId="2437E6FB" w14:textId="09C2CB3E">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76">
            <w:r w:rsidRPr="002C1777" w:rsidR="0059287C">
              <w:rPr>
                <w:rStyle w:val="Hyperlink"/>
                <w:rFonts w:ascii="Arial" w:hAnsi="Arial" w:cs="Arial"/>
                <w:i w:val="0"/>
                <w:iCs w:val="0"/>
                <w:noProof/>
              </w:rPr>
              <w:t>4.</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Strategic Context</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_Toc128644076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4</w:t>
            </w:r>
            <w:r w:rsidRPr="002C1777" w:rsidR="0059287C">
              <w:rPr>
                <w:rFonts w:ascii="Arial" w:hAnsi="Arial" w:cs="Arial"/>
                <w:i w:val="0"/>
                <w:iCs w:val="0"/>
                <w:noProof/>
                <w:webHidden/>
              </w:rPr>
              <w:fldChar w:fldCharType="end"/>
            </w:r>
          </w:hyperlink>
        </w:p>
        <w:p w:rsidRPr="002C1777" w:rsidR="0059287C" w:rsidRDefault="00000000" w14:paraId="0FA4E81B" w14:textId="2A14C59A">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77">
            <w:r w:rsidRPr="002C1777" w:rsidR="0059287C">
              <w:rPr>
                <w:rStyle w:val="Hyperlink"/>
                <w:rFonts w:ascii="Arial" w:hAnsi="Arial" w:cs="Arial"/>
                <w:i w:val="0"/>
                <w:iCs w:val="0"/>
                <w:noProof/>
              </w:rPr>
              <w:t>5.</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Call Parameters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_Toc128644077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6</w:t>
            </w:r>
            <w:r w:rsidRPr="002C1777" w:rsidR="0059287C">
              <w:rPr>
                <w:rFonts w:ascii="Arial" w:hAnsi="Arial" w:cs="Arial"/>
                <w:i w:val="0"/>
                <w:iCs w:val="0"/>
                <w:noProof/>
                <w:webHidden/>
              </w:rPr>
              <w:fldChar w:fldCharType="end"/>
            </w:r>
          </w:hyperlink>
        </w:p>
        <w:p w:rsidRPr="002C1777" w:rsidR="0059287C" w:rsidRDefault="00000000" w14:paraId="4468FAC5" w14:textId="33E3F34F">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78">
            <w:r w:rsidRPr="002C1777" w:rsidR="0059287C">
              <w:rPr>
                <w:rStyle w:val="Hyperlink"/>
                <w:rFonts w:ascii="Arial" w:hAnsi="Arial" w:cs="Arial"/>
                <w:i w:val="0"/>
                <w:iCs w:val="0"/>
                <w:noProof/>
              </w:rPr>
              <w:t>6.</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Call objectives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_Toc128644078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7</w:t>
            </w:r>
            <w:r w:rsidRPr="002C1777" w:rsidR="0059287C">
              <w:rPr>
                <w:rFonts w:ascii="Arial" w:hAnsi="Arial" w:cs="Arial"/>
                <w:i w:val="0"/>
                <w:iCs w:val="0"/>
                <w:noProof/>
                <w:webHidden/>
              </w:rPr>
              <w:fldChar w:fldCharType="end"/>
            </w:r>
          </w:hyperlink>
        </w:p>
        <w:p w:rsidRPr="002C1777" w:rsidR="0059287C" w:rsidRDefault="00000000" w14:paraId="0A6942CB" w14:textId="5CB038BE">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79">
            <w:r w:rsidRPr="002C1777" w:rsidR="0059287C">
              <w:rPr>
                <w:rStyle w:val="Hyperlink"/>
                <w:rFonts w:ascii="Arial" w:hAnsi="Arial" w:cs="Arial"/>
                <w:i w:val="0"/>
                <w:iCs w:val="0"/>
                <w:noProof/>
              </w:rPr>
              <w:t>7.</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Eligibility criteria</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_Toc128644079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8</w:t>
            </w:r>
            <w:r w:rsidRPr="002C1777" w:rsidR="0059287C">
              <w:rPr>
                <w:rFonts w:ascii="Arial" w:hAnsi="Arial" w:cs="Arial"/>
                <w:i w:val="0"/>
                <w:iCs w:val="0"/>
                <w:noProof/>
                <w:webHidden/>
              </w:rPr>
              <w:fldChar w:fldCharType="end"/>
            </w:r>
          </w:hyperlink>
        </w:p>
        <w:p w:rsidRPr="002C1777" w:rsidR="0059287C" w:rsidRDefault="00000000" w14:paraId="03341674" w14:textId="30D9BCDF">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80">
            <w:r w:rsidRPr="002C1777" w:rsidR="0059287C">
              <w:rPr>
                <w:rStyle w:val="Hyperlink"/>
                <w:rFonts w:ascii="Arial" w:hAnsi="Arial" w:cs="Arial"/>
                <w:i w:val="0"/>
                <w:iCs w:val="0"/>
                <w:noProof/>
              </w:rPr>
              <w:t>8.</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Eligible activities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_Toc128644080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8</w:t>
            </w:r>
            <w:r w:rsidRPr="002C1777" w:rsidR="0059287C">
              <w:rPr>
                <w:rFonts w:ascii="Arial" w:hAnsi="Arial" w:cs="Arial"/>
                <w:i w:val="0"/>
                <w:iCs w:val="0"/>
                <w:noProof/>
                <w:webHidden/>
              </w:rPr>
              <w:fldChar w:fldCharType="end"/>
            </w:r>
          </w:hyperlink>
        </w:p>
        <w:p w:rsidRPr="002C1777" w:rsidR="0059287C" w:rsidRDefault="00000000" w14:paraId="004E162B" w14:textId="58954934">
          <w:pPr>
            <w:pStyle w:val="TOC1"/>
            <w:tabs>
              <w:tab w:val="left" w:pos="440"/>
              <w:tab w:val="right" w:leader="dot" w:pos="9016"/>
            </w:tabs>
            <w:rPr>
              <w:rFonts w:ascii="Arial" w:hAnsi="Arial" w:cs="Arial" w:eastAsiaTheme="minorEastAsia"/>
              <w:b w:val="0"/>
              <w:bCs w:val="0"/>
              <w:i w:val="0"/>
              <w:iCs w:val="0"/>
              <w:noProof/>
              <w:sz w:val="22"/>
              <w:szCs w:val="22"/>
              <w:lang w:eastAsia="en-GB"/>
            </w:rPr>
          </w:pPr>
          <w:hyperlink w:history="1" w:anchor="_Toc128644081">
            <w:r w:rsidRPr="002C1777" w:rsidR="0059287C">
              <w:rPr>
                <w:rStyle w:val="Hyperlink"/>
                <w:rFonts w:ascii="Arial" w:hAnsi="Arial" w:cs="Arial"/>
                <w:i w:val="0"/>
                <w:iCs w:val="0"/>
                <w:noProof/>
              </w:rPr>
              <w:t>9.</w:t>
            </w:r>
            <w:r w:rsidRPr="002C1777" w:rsidR="0059287C">
              <w:rPr>
                <w:rFonts w:ascii="Arial" w:hAnsi="Arial" w:cs="Arial" w:eastAsiaTheme="minorEastAsia"/>
                <w:b w:val="0"/>
                <w:bCs w:val="0"/>
                <w:i w:val="0"/>
                <w:iCs w:val="0"/>
                <w:noProof/>
                <w:sz w:val="22"/>
                <w:szCs w:val="22"/>
                <w:lang w:eastAsia="en-GB"/>
              </w:rPr>
              <w:tab/>
            </w:r>
            <w:r w:rsidRPr="002C1777" w:rsidR="0059287C">
              <w:rPr>
                <w:rStyle w:val="Hyperlink"/>
                <w:rFonts w:ascii="Arial" w:hAnsi="Arial" w:cs="Arial"/>
                <w:i w:val="0"/>
                <w:iCs w:val="0"/>
                <w:noProof/>
              </w:rPr>
              <w:t>Outputs and outcomes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_Toc128644081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9</w:t>
            </w:r>
            <w:r w:rsidRPr="002C1777" w:rsidR="0059287C">
              <w:rPr>
                <w:rFonts w:ascii="Arial" w:hAnsi="Arial" w:cs="Arial"/>
                <w:i w:val="0"/>
                <w:iCs w:val="0"/>
                <w:noProof/>
                <w:webHidden/>
              </w:rPr>
              <w:fldChar w:fldCharType="end"/>
            </w:r>
          </w:hyperlink>
        </w:p>
        <w:p w:rsidRPr="002C1777" w:rsidR="0059287C" w:rsidRDefault="00000000" w14:paraId="4EB521AD" w14:textId="34B06FA9">
          <w:pPr>
            <w:pStyle w:val="TOC1"/>
            <w:tabs>
              <w:tab w:val="left" w:pos="660"/>
              <w:tab w:val="right" w:leader="dot" w:pos="9016"/>
            </w:tabs>
            <w:rPr>
              <w:rFonts w:ascii="Arial" w:hAnsi="Arial" w:cs="Arial" w:eastAsiaTheme="minorEastAsia"/>
              <w:b w:val="0"/>
              <w:bCs w:val="0"/>
              <w:i w:val="0"/>
              <w:iCs w:val="0"/>
              <w:noProof/>
              <w:sz w:val="22"/>
              <w:szCs w:val="22"/>
              <w:lang w:eastAsia="en-GB"/>
            </w:rPr>
          </w:pPr>
          <w:hyperlink w:history="1" w:anchor="_Toc128644082">
            <w:r w:rsidRPr="002C1777" w:rsidR="0059287C">
              <w:rPr>
                <w:rStyle w:val="Hyperlink"/>
                <w:rFonts w:ascii="Arial" w:hAnsi="Arial" w:cs="Arial"/>
                <w:i w:val="0"/>
                <w:iCs w:val="0"/>
                <w:noProof/>
              </w:rPr>
              <w:t>10.</w:t>
            </w:r>
            <w:r w:rsidR="007A0CF0">
              <w:rPr>
                <w:rFonts w:ascii="Arial" w:hAnsi="Arial" w:cs="Arial" w:eastAsiaTheme="minorEastAsia"/>
                <w:b w:val="0"/>
                <w:bCs w:val="0"/>
                <w:i w:val="0"/>
                <w:iCs w:val="0"/>
                <w:noProof/>
                <w:sz w:val="22"/>
                <w:szCs w:val="22"/>
                <w:lang w:eastAsia="en-GB"/>
              </w:rPr>
              <w:t xml:space="preserve">  </w:t>
            </w:r>
            <w:r w:rsidRPr="002C1777" w:rsidR="0059287C">
              <w:rPr>
                <w:rStyle w:val="Hyperlink"/>
                <w:rFonts w:ascii="Arial" w:hAnsi="Arial" w:cs="Arial"/>
                <w:i w:val="0"/>
                <w:iCs w:val="0"/>
                <w:noProof/>
              </w:rPr>
              <w:t>Funding</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_Toc128644082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9</w:t>
            </w:r>
            <w:r w:rsidRPr="002C1777" w:rsidR="0059287C">
              <w:rPr>
                <w:rFonts w:ascii="Arial" w:hAnsi="Arial" w:cs="Arial"/>
                <w:i w:val="0"/>
                <w:iCs w:val="0"/>
                <w:noProof/>
                <w:webHidden/>
              </w:rPr>
              <w:fldChar w:fldCharType="end"/>
            </w:r>
          </w:hyperlink>
        </w:p>
        <w:p w:rsidRPr="002C1777" w:rsidR="0059287C" w:rsidRDefault="00000000" w14:paraId="15D9C136" w14:textId="24DC356C">
          <w:pPr>
            <w:pStyle w:val="TOC1"/>
            <w:tabs>
              <w:tab w:val="left" w:pos="660"/>
              <w:tab w:val="right" w:leader="dot" w:pos="9016"/>
            </w:tabs>
            <w:rPr>
              <w:rFonts w:ascii="Arial" w:hAnsi="Arial" w:cs="Arial" w:eastAsiaTheme="minorEastAsia"/>
              <w:b w:val="0"/>
              <w:bCs w:val="0"/>
              <w:i w:val="0"/>
              <w:iCs w:val="0"/>
              <w:noProof/>
              <w:sz w:val="22"/>
              <w:szCs w:val="22"/>
              <w:lang w:eastAsia="en-GB"/>
            </w:rPr>
          </w:pPr>
          <w:hyperlink w:history="1" w:anchor="_Toc128644083">
            <w:r w:rsidRPr="002C1777" w:rsidR="0059287C">
              <w:rPr>
                <w:rStyle w:val="Hyperlink"/>
                <w:rFonts w:ascii="Arial" w:hAnsi="Arial" w:cs="Arial"/>
                <w:i w:val="0"/>
                <w:iCs w:val="0"/>
                <w:noProof/>
              </w:rPr>
              <w:t>11.</w:t>
            </w:r>
            <w:r w:rsidR="007A0CF0">
              <w:rPr>
                <w:rFonts w:ascii="Arial" w:hAnsi="Arial" w:cs="Arial" w:eastAsiaTheme="minorEastAsia"/>
                <w:b w:val="0"/>
                <w:bCs w:val="0"/>
                <w:i w:val="0"/>
                <w:iCs w:val="0"/>
                <w:noProof/>
                <w:sz w:val="22"/>
                <w:szCs w:val="22"/>
                <w:lang w:eastAsia="en-GB"/>
              </w:rPr>
              <w:t xml:space="preserve">  </w:t>
            </w:r>
            <w:r w:rsidRPr="002C1777" w:rsidR="0059287C">
              <w:rPr>
                <w:rStyle w:val="Hyperlink"/>
                <w:rFonts w:ascii="Arial" w:hAnsi="Arial" w:cs="Arial"/>
                <w:i w:val="0"/>
                <w:iCs w:val="0"/>
                <w:noProof/>
              </w:rPr>
              <w:t>Geographical coverage</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_Toc128644083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9</w:t>
            </w:r>
            <w:r w:rsidRPr="002C1777" w:rsidR="0059287C">
              <w:rPr>
                <w:rFonts w:ascii="Arial" w:hAnsi="Arial" w:cs="Arial"/>
                <w:i w:val="0"/>
                <w:iCs w:val="0"/>
                <w:noProof/>
                <w:webHidden/>
              </w:rPr>
              <w:fldChar w:fldCharType="end"/>
            </w:r>
          </w:hyperlink>
        </w:p>
        <w:p w:rsidRPr="002C1777" w:rsidR="0059287C" w:rsidRDefault="00000000" w14:paraId="5DD5F641" w14:textId="08F9B25E">
          <w:pPr>
            <w:pStyle w:val="TOC1"/>
            <w:tabs>
              <w:tab w:val="left" w:pos="660"/>
              <w:tab w:val="right" w:leader="dot" w:pos="9016"/>
            </w:tabs>
            <w:rPr>
              <w:rFonts w:ascii="Arial" w:hAnsi="Arial" w:cs="Arial" w:eastAsiaTheme="minorEastAsia"/>
              <w:b w:val="0"/>
              <w:bCs w:val="0"/>
              <w:i w:val="0"/>
              <w:iCs w:val="0"/>
              <w:noProof/>
              <w:sz w:val="22"/>
              <w:szCs w:val="22"/>
              <w:lang w:eastAsia="en-GB"/>
            </w:rPr>
          </w:pPr>
          <w:hyperlink w:history="1" w:anchor="_Toc128644084">
            <w:r w:rsidRPr="002C1777" w:rsidR="0059287C">
              <w:rPr>
                <w:rStyle w:val="Hyperlink"/>
                <w:rFonts w:ascii="Arial" w:hAnsi="Arial" w:cs="Arial"/>
                <w:i w:val="0"/>
                <w:iCs w:val="0"/>
                <w:noProof/>
              </w:rPr>
              <w:t>12.</w:t>
            </w:r>
            <w:r w:rsidR="007A0CF0">
              <w:rPr>
                <w:rFonts w:ascii="Arial" w:hAnsi="Arial" w:cs="Arial" w:eastAsiaTheme="minorEastAsia"/>
                <w:b w:val="0"/>
                <w:bCs w:val="0"/>
                <w:i w:val="0"/>
                <w:iCs w:val="0"/>
                <w:noProof/>
                <w:sz w:val="22"/>
                <w:szCs w:val="22"/>
                <w:lang w:eastAsia="en-GB"/>
              </w:rPr>
              <w:t xml:space="preserve">  </w:t>
            </w:r>
            <w:r w:rsidRPr="002C1777" w:rsidR="0059287C">
              <w:rPr>
                <w:rStyle w:val="Hyperlink"/>
                <w:rFonts w:ascii="Arial" w:hAnsi="Arial" w:cs="Arial"/>
                <w:i w:val="0"/>
                <w:iCs w:val="0"/>
                <w:noProof/>
              </w:rPr>
              <w:t>Timescales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_Toc128644084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9</w:t>
            </w:r>
            <w:r w:rsidRPr="002C1777" w:rsidR="0059287C">
              <w:rPr>
                <w:rFonts w:ascii="Arial" w:hAnsi="Arial" w:cs="Arial"/>
                <w:i w:val="0"/>
                <w:iCs w:val="0"/>
                <w:noProof/>
                <w:webHidden/>
              </w:rPr>
              <w:fldChar w:fldCharType="end"/>
            </w:r>
          </w:hyperlink>
        </w:p>
        <w:p w:rsidRPr="002C1777" w:rsidR="0059287C" w:rsidRDefault="00000000" w14:paraId="7454F9F2" w14:textId="35E1B458">
          <w:pPr>
            <w:pStyle w:val="TOC1"/>
            <w:tabs>
              <w:tab w:val="left" w:pos="660"/>
              <w:tab w:val="right" w:leader="dot" w:pos="9016"/>
            </w:tabs>
            <w:rPr>
              <w:rFonts w:ascii="Arial" w:hAnsi="Arial" w:cs="Arial" w:eastAsiaTheme="minorEastAsia"/>
              <w:b w:val="0"/>
              <w:bCs w:val="0"/>
              <w:i w:val="0"/>
              <w:iCs w:val="0"/>
              <w:noProof/>
              <w:sz w:val="22"/>
              <w:szCs w:val="22"/>
              <w:lang w:eastAsia="en-GB"/>
            </w:rPr>
          </w:pPr>
          <w:hyperlink w:history="1" w:anchor="_Toc128644085">
            <w:r w:rsidRPr="002C1777" w:rsidR="0059287C">
              <w:rPr>
                <w:rStyle w:val="Hyperlink"/>
                <w:rFonts w:ascii="Arial" w:hAnsi="Arial" w:cs="Arial"/>
                <w:i w:val="0"/>
                <w:iCs w:val="0"/>
                <w:noProof/>
              </w:rPr>
              <w:t>13.</w:t>
            </w:r>
            <w:r w:rsidR="007A0CF0">
              <w:rPr>
                <w:rFonts w:ascii="Arial" w:hAnsi="Arial" w:cs="Arial" w:eastAsiaTheme="minorEastAsia"/>
                <w:b w:val="0"/>
                <w:bCs w:val="0"/>
                <w:i w:val="0"/>
                <w:iCs w:val="0"/>
                <w:noProof/>
                <w:sz w:val="22"/>
                <w:szCs w:val="22"/>
                <w:lang w:eastAsia="en-GB"/>
              </w:rPr>
              <w:t xml:space="preserve">  </w:t>
            </w:r>
            <w:r w:rsidRPr="002C1777" w:rsidR="0059287C">
              <w:rPr>
                <w:rStyle w:val="Hyperlink"/>
                <w:rFonts w:ascii="Arial" w:hAnsi="Arial" w:cs="Arial"/>
                <w:i w:val="0"/>
                <w:iCs w:val="0"/>
                <w:noProof/>
              </w:rPr>
              <w:t>Data submissions and quarterly monitoring arrangements </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_Toc128644085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9</w:t>
            </w:r>
            <w:r w:rsidRPr="002C1777" w:rsidR="0059287C">
              <w:rPr>
                <w:rFonts w:ascii="Arial" w:hAnsi="Arial" w:cs="Arial"/>
                <w:i w:val="0"/>
                <w:iCs w:val="0"/>
                <w:noProof/>
                <w:webHidden/>
              </w:rPr>
              <w:fldChar w:fldCharType="end"/>
            </w:r>
          </w:hyperlink>
        </w:p>
        <w:p w:rsidRPr="002C1777" w:rsidR="0059287C" w:rsidRDefault="00000000" w14:paraId="7B05AD0D" w14:textId="2C99B490">
          <w:pPr>
            <w:pStyle w:val="TOC1"/>
            <w:tabs>
              <w:tab w:val="left" w:pos="660"/>
              <w:tab w:val="right" w:leader="dot" w:pos="9016"/>
            </w:tabs>
            <w:rPr>
              <w:rFonts w:ascii="Arial" w:hAnsi="Arial" w:cs="Arial" w:eastAsiaTheme="minorEastAsia"/>
              <w:b w:val="0"/>
              <w:bCs w:val="0"/>
              <w:i w:val="0"/>
              <w:iCs w:val="0"/>
              <w:noProof/>
              <w:sz w:val="22"/>
              <w:szCs w:val="22"/>
              <w:lang w:eastAsia="en-GB"/>
            </w:rPr>
          </w:pPr>
          <w:hyperlink w:history="1" w:anchor="_Toc128644086">
            <w:r w:rsidRPr="002C1777" w:rsidR="0059287C">
              <w:rPr>
                <w:rStyle w:val="Hyperlink"/>
                <w:rFonts w:ascii="Arial" w:hAnsi="Arial" w:cs="Arial"/>
                <w:i w:val="0"/>
                <w:iCs w:val="0"/>
                <w:noProof/>
              </w:rPr>
              <w:t>14.</w:t>
            </w:r>
            <w:r w:rsidR="007A0CF0">
              <w:rPr>
                <w:rFonts w:ascii="Arial" w:hAnsi="Arial" w:cs="Arial" w:eastAsiaTheme="minorEastAsia"/>
                <w:b w:val="0"/>
                <w:bCs w:val="0"/>
                <w:i w:val="0"/>
                <w:iCs w:val="0"/>
                <w:noProof/>
                <w:sz w:val="22"/>
                <w:szCs w:val="22"/>
                <w:lang w:eastAsia="en-GB"/>
              </w:rPr>
              <w:t xml:space="preserve">  </w:t>
            </w:r>
            <w:r w:rsidRPr="002C1777" w:rsidR="0059287C">
              <w:rPr>
                <w:rStyle w:val="Hyperlink"/>
                <w:rFonts w:ascii="Arial" w:hAnsi="Arial" w:cs="Arial"/>
                <w:i w:val="0"/>
                <w:iCs w:val="0"/>
                <w:noProof/>
              </w:rPr>
              <w:t>Evaluation, Research and Data Collection </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_Toc128644086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10</w:t>
            </w:r>
            <w:r w:rsidRPr="002C1777" w:rsidR="0059287C">
              <w:rPr>
                <w:rFonts w:ascii="Arial" w:hAnsi="Arial" w:cs="Arial"/>
                <w:i w:val="0"/>
                <w:iCs w:val="0"/>
                <w:noProof/>
                <w:webHidden/>
              </w:rPr>
              <w:fldChar w:fldCharType="end"/>
            </w:r>
          </w:hyperlink>
        </w:p>
        <w:p w:rsidRPr="002C1777" w:rsidR="0059287C" w:rsidRDefault="00000000" w14:paraId="23CCBA8B" w14:textId="542199E3">
          <w:pPr>
            <w:pStyle w:val="TOC1"/>
            <w:tabs>
              <w:tab w:val="right" w:leader="dot" w:pos="9016"/>
            </w:tabs>
            <w:rPr>
              <w:rFonts w:ascii="Arial" w:hAnsi="Arial" w:cs="Arial" w:eastAsiaTheme="minorEastAsia"/>
              <w:b w:val="0"/>
              <w:bCs w:val="0"/>
              <w:i w:val="0"/>
              <w:iCs w:val="0"/>
              <w:noProof/>
              <w:sz w:val="22"/>
              <w:szCs w:val="22"/>
              <w:lang w:eastAsia="en-GB"/>
            </w:rPr>
          </w:pPr>
          <w:hyperlink w:history="1" w:anchor="_Toc128644087">
            <w:r w:rsidRPr="002C1777" w:rsidR="0059287C">
              <w:rPr>
                <w:rStyle w:val="Hyperlink"/>
                <w:rFonts w:ascii="Arial" w:hAnsi="Arial" w:cs="Arial"/>
                <w:i w:val="0"/>
                <w:iCs w:val="0"/>
                <w:noProof/>
              </w:rPr>
              <w:t>Annex A: Output and outcome definitions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_Toc128644087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11</w:t>
            </w:r>
            <w:r w:rsidRPr="002C1777" w:rsidR="0059287C">
              <w:rPr>
                <w:rFonts w:ascii="Arial" w:hAnsi="Arial" w:cs="Arial"/>
                <w:i w:val="0"/>
                <w:iCs w:val="0"/>
                <w:noProof/>
                <w:webHidden/>
              </w:rPr>
              <w:fldChar w:fldCharType="end"/>
            </w:r>
          </w:hyperlink>
        </w:p>
        <w:p w:rsidRPr="002C1777" w:rsidR="0059287C" w:rsidRDefault="00000000" w14:paraId="001D32DA" w14:textId="4052B334">
          <w:pPr>
            <w:pStyle w:val="TOC1"/>
            <w:tabs>
              <w:tab w:val="right" w:leader="dot" w:pos="9016"/>
            </w:tabs>
            <w:rPr>
              <w:rFonts w:ascii="Arial" w:hAnsi="Arial" w:cs="Arial" w:eastAsiaTheme="minorEastAsia"/>
              <w:b w:val="0"/>
              <w:bCs w:val="0"/>
              <w:i w:val="0"/>
              <w:iCs w:val="0"/>
              <w:noProof/>
              <w:sz w:val="22"/>
              <w:szCs w:val="22"/>
              <w:lang w:eastAsia="en-GB"/>
            </w:rPr>
          </w:pPr>
          <w:hyperlink w:history="1" w:anchor="_Toc128644088">
            <w:r w:rsidRPr="002C1777" w:rsidR="0059287C">
              <w:rPr>
                <w:rStyle w:val="Hyperlink"/>
                <w:rFonts w:ascii="Arial" w:hAnsi="Arial" w:cs="Arial"/>
                <w:i w:val="0"/>
                <w:iCs w:val="0"/>
                <w:noProof/>
              </w:rPr>
              <w:t>Annex B Details of other UKSPF programmes:</w:t>
            </w:r>
            <w:r w:rsidRPr="002C1777" w:rsidR="0059287C">
              <w:rPr>
                <w:rFonts w:ascii="Arial" w:hAnsi="Arial" w:cs="Arial"/>
                <w:i w:val="0"/>
                <w:iCs w:val="0"/>
                <w:noProof/>
                <w:webHidden/>
              </w:rPr>
              <w:tab/>
            </w:r>
            <w:r w:rsidRPr="002C1777" w:rsidR="0059287C">
              <w:rPr>
                <w:rFonts w:ascii="Arial" w:hAnsi="Arial" w:cs="Arial"/>
                <w:i w:val="0"/>
                <w:iCs w:val="0"/>
                <w:noProof/>
                <w:webHidden/>
              </w:rPr>
              <w:fldChar w:fldCharType="begin"/>
            </w:r>
            <w:r w:rsidRPr="002C1777" w:rsidR="0059287C">
              <w:rPr>
                <w:rFonts w:ascii="Arial" w:hAnsi="Arial" w:cs="Arial"/>
                <w:i w:val="0"/>
                <w:iCs w:val="0"/>
                <w:noProof/>
                <w:webHidden/>
              </w:rPr>
              <w:instrText xml:space="preserve"> PAGEREF _Toc128644088 \h </w:instrText>
            </w:r>
            <w:r w:rsidRPr="002C1777" w:rsidR="0059287C">
              <w:rPr>
                <w:rFonts w:ascii="Arial" w:hAnsi="Arial" w:cs="Arial"/>
                <w:i w:val="0"/>
                <w:iCs w:val="0"/>
                <w:noProof/>
                <w:webHidden/>
              </w:rPr>
            </w:r>
            <w:r w:rsidRPr="002C1777" w:rsidR="0059287C">
              <w:rPr>
                <w:rFonts w:ascii="Arial" w:hAnsi="Arial" w:cs="Arial"/>
                <w:i w:val="0"/>
                <w:iCs w:val="0"/>
                <w:noProof/>
                <w:webHidden/>
              </w:rPr>
              <w:fldChar w:fldCharType="separate"/>
            </w:r>
            <w:r w:rsidRPr="002C1777" w:rsidR="0059287C">
              <w:rPr>
                <w:rFonts w:ascii="Arial" w:hAnsi="Arial" w:cs="Arial"/>
                <w:i w:val="0"/>
                <w:iCs w:val="0"/>
                <w:noProof/>
                <w:webHidden/>
              </w:rPr>
              <w:t>12</w:t>
            </w:r>
            <w:r w:rsidRPr="002C1777" w:rsidR="0059287C">
              <w:rPr>
                <w:rFonts w:ascii="Arial" w:hAnsi="Arial" w:cs="Arial"/>
                <w:i w:val="0"/>
                <w:iCs w:val="0"/>
                <w:noProof/>
                <w:webHidden/>
              </w:rPr>
              <w:fldChar w:fldCharType="end"/>
            </w:r>
          </w:hyperlink>
        </w:p>
        <w:p w:rsidRPr="002C1777" w:rsidR="003F0BA3" w:rsidRDefault="003F0BA3" w14:paraId="74E5C6B8" w14:textId="7B348C30">
          <w:pPr>
            <w:rPr>
              <w:rFonts w:ascii="Arial" w:hAnsi="Arial" w:cs="Arial"/>
            </w:rPr>
          </w:pPr>
          <w:r w:rsidRPr="002C1777">
            <w:rPr>
              <w:rFonts w:ascii="Arial" w:hAnsi="Arial" w:cs="Arial"/>
              <w:b/>
              <w:bCs/>
              <w:noProof/>
            </w:rPr>
            <w:fldChar w:fldCharType="end"/>
          </w:r>
        </w:p>
      </w:sdtContent>
    </w:sdt>
    <w:p w:rsidRPr="002C1777" w:rsidR="003F0BA3" w:rsidRDefault="003F0BA3" w14:paraId="3F93A1A7" w14:textId="412EE034">
      <w:pPr>
        <w:rPr>
          <w:rFonts w:ascii="Arial" w:hAnsi="Arial" w:cs="Arial"/>
          <w:sz w:val="20"/>
          <w:szCs w:val="20"/>
        </w:rPr>
      </w:pPr>
      <w:r w:rsidRPr="002C1777">
        <w:rPr>
          <w:rFonts w:ascii="Arial" w:hAnsi="Arial" w:cs="Arial"/>
          <w:sz w:val="20"/>
          <w:szCs w:val="20"/>
        </w:rPr>
        <w:br w:type="page"/>
      </w:r>
    </w:p>
    <w:p w:rsidRPr="002C1777" w:rsidR="00793655" w:rsidP="003F0BA3" w:rsidRDefault="00793655" w14:paraId="1DAD6800" w14:textId="77777777">
      <w:pPr>
        <w:rPr>
          <w:rFonts w:ascii="Arial" w:hAnsi="Arial" w:cs="Arial"/>
          <w:b/>
          <w:bCs/>
          <w:color w:val="000000" w:themeColor="text1"/>
          <w:sz w:val="28"/>
          <w:szCs w:val="28"/>
        </w:rPr>
      </w:pPr>
      <w:bookmarkStart w:name="_Toc125379312" w:id="0"/>
      <w:r w:rsidRPr="002C1777">
        <w:rPr>
          <w:rFonts w:ascii="Arial" w:hAnsi="Arial" w:cs="Arial"/>
          <w:b/>
          <w:bCs/>
          <w:color w:val="000000" w:themeColor="text1"/>
          <w:sz w:val="28"/>
          <w:szCs w:val="28"/>
        </w:rPr>
        <w:lastRenderedPageBreak/>
        <w:t>North of Tyne UK Shared Prosperity Fund: Communities and Place</w:t>
      </w:r>
      <w:bookmarkEnd w:id="0"/>
    </w:p>
    <w:p w:rsidRPr="002C1777" w:rsidR="003F0BA3" w:rsidP="003F0BA3" w:rsidRDefault="003F0BA3" w14:paraId="007F1034" w14:textId="2EA0EBB7">
      <w:pPr>
        <w:pStyle w:val="NoSpacing"/>
        <w:spacing w:after="120"/>
        <w:rPr>
          <w:rFonts w:ascii="Arial" w:hAnsi="Arial" w:cs="Arial"/>
        </w:rPr>
      </w:pPr>
      <w:r w:rsidRPr="002C1777">
        <w:rPr>
          <w:rFonts w:ascii="Arial" w:hAnsi="Arial" w:cs="Arial"/>
        </w:rPr>
        <w:t xml:space="preserve">This open call should be read in conjunction with the North of Tyne Combined Authority’s UK Shared Prosperity Fund Volunteering and Social Action </w:t>
      </w:r>
      <w:r w:rsidRPr="002C1777" w:rsidR="00AC3A2B">
        <w:rPr>
          <w:rFonts w:ascii="Arial" w:hAnsi="Arial" w:cs="Arial"/>
        </w:rPr>
        <w:t>Open Call</w:t>
      </w:r>
      <w:r w:rsidRPr="002C1777">
        <w:rPr>
          <w:rFonts w:ascii="Arial" w:hAnsi="Arial" w:cs="Arial"/>
        </w:rPr>
        <w:t xml:space="preserve"> Guidance.</w:t>
      </w:r>
    </w:p>
    <w:p w:rsidRPr="002C1777" w:rsidR="003F0BA3" w:rsidRDefault="003F0BA3" w14:paraId="6691172F" w14:textId="1F2772AB">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73" w:id="1"/>
      <w:r w:rsidRPr="002C1777">
        <w:rPr>
          <w:rFonts w:ascii="Arial" w:hAnsi="Arial" w:cs="Arial"/>
          <w:b/>
          <w:bCs/>
          <w:sz w:val="24"/>
          <w:szCs w:val="24"/>
        </w:rPr>
        <w:t>UK Shared Prosperity Fund (UKSPF)</w:t>
      </w:r>
      <w:bookmarkEnd w:id="1"/>
    </w:p>
    <w:p w:rsidRPr="002C1777" w:rsidR="00793655" w:rsidP="00793655" w:rsidRDefault="00793655" w14:paraId="207B83CC" w14:textId="6733465B">
      <w:pPr>
        <w:autoSpaceDE w:val="0"/>
        <w:autoSpaceDN w:val="0"/>
        <w:adjustRightInd w:val="0"/>
        <w:spacing w:after="120"/>
        <w:rPr>
          <w:rFonts w:ascii="Arial" w:hAnsi="Arial" w:cs="Arial"/>
        </w:rPr>
      </w:pPr>
      <w:r w:rsidRPr="002C1777">
        <w:rPr>
          <w:rFonts w:ascii="Arial" w:hAnsi="Arial" w:cs="Arial"/>
        </w:rPr>
        <w:t xml:space="preserve">The UKSPF will invest in economic growth and regeneration in the regions of the United Kingdom (UK), replacing the previous European Structural and Investment Funds (ESIF). All current European funded programmes will end in 2023. </w:t>
      </w:r>
    </w:p>
    <w:p w:rsidRPr="002C1777" w:rsidR="00793655" w:rsidP="00793655" w:rsidRDefault="00793655" w14:paraId="3D7BDAA3" w14:textId="77777777">
      <w:pPr>
        <w:autoSpaceDE w:val="0"/>
        <w:autoSpaceDN w:val="0"/>
        <w:adjustRightInd w:val="0"/>
        <w:spacing w:after="120"/>
        <w:rPr>
          <w:rFonts w:ascii="Arial" w:hAnsi="Arial" w:cs="Arial"/>
        </w:rPr>
      </w:pPr>
      <w:r w:rsidRPr="002C1777">
        <w:rPr>
          <w:rFonts w:ascii="Arial" w:hAnsi="Arial" w:cs="Arial"/>
        </w:rPr>
        <w:t>To help realise their Levelling Up aims, Government has set out that the UKSPF should invest to achieve the following objectives:</w:t>
      </w:r>
    </w:p>
    <w:p w:rsidRPr="002C1777" w:rsidR="00793655" w:rsidRDefault="00793655" w14:paraId="537F7B87"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Boost productivity, pay, jobs and living standards.</w:t>
      </w:r>
    </w:p>
    <w:p w:rsidRPr="002C1777" w:rsidR="00793655" w:rsidRDefault="00793655" w14:paraId="5CB2BB7D"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Spread opportunities and improve public services.</w:t>
      </w:r>
    </w:p>
    <w:p w:rsidRPr="002C1777" w:rsidR="00793655" w:rsidRDefault="00793655" w14:paraId="4FCF9542"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Restore a sense of community, local pride and belonging.</w:t>
      </w:r>
    </w:p>
    <w:p w:rsidRPr="002C1777" w:rsidR="00793655" w:rsidRDefault="00793655" w14:paraId="699DDF90"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Empower local leaders and communities.</w:t>
      </w:r>
    </w:p>
    <w:p w:rsidRPr="002C1777" w:rsidR="00793655" w:rsidP="00793655" w:rsidRDefault="00793655" w14:paraId="6896884D" w14:textId="77777777">
      <w:pPr>
        <w:autoSpaceDE w:val="0"/>
        <w:autoSpaceDN w:val="0"/>
        <w:adjustRightInd w:val="0"/>
        <w:spacing w:after="120"/>
        <w:rPr>
          <w:rFonts w:ascii="Arial" w:hAnsi="Arial" w:cs="Arial"/>
        </w:rPr>
      </w:pPr>
      <w:r w:rsidRPr="002C1777">
        <w:rPr>
          <w:rFonts w:ascii="Arial" w:hAnsi="Arial" w:cs="Arial"/>
        </w:rPr>
        <w:t>The UKSPF has three investment priorities of Communities and Place, Local Business Support, and People and Skills. This call for proposals is part of the Communities and Place priority.</w:t>
      </w:r>
    </w:p>
    <w:p w:rsidRPr="002C1777" w:rsidR="00793655" w:rsidRDefault="00793655" w14:paraId="71F7EEE0" w14:textId="77777777">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19418721" w:id="2"/>
      <w:bookmarkStart w:name="_Toc125379313" w:id="3"/>
      <w:bookmarkStart w:name="_Toc128644074" w:id="4"/>
      <w:r w:rsidRPr="002C1777">
        <w:rPr>
          <w:rFonts w:ascii="Arial" w:hAnsi="Arial" w:cs="Arial"/>
          <w:b/>
          <w:bCs/>
          <w:sz w:val="24"/>
          <w:szCs w:val="24"/>
        </w:rPr>
        <w:t>North of Tyne Combined Authority</w:t>
      </w:r>
      <w:bookmarkEnd w:id="2"/>
      <w:bookmarkEnd w:id="3"/>
      <w:bookmarkEnd w:id="4"/>
      <w:r w:rsidRPr="002C1777">
        <w:rPr>
          <w:rFonts w:ascii="Arial" w:hAnsi="Arial" w:cs="Arial"/>
          <w:b/>
          <w:bCs/>
          <w:sz w:val="24"/>
          <w:szCs w:val="24"/>
        </w:rPr>
        <w:t xml:space="preserve"> </w:t>
      </w:r>
    </w:p>
    <w:p w:rsidRPr="002C1777" w:rsidR="00793655" w:rsidP="00793655" w:rsidRDefault="00793655" w14:paraId="4F93FFB6" w14:textId="77777777">
      <w:pPr>
        <w:autoSpaceDE w:val="0"/>
        <w:autoSpaceDN w:val="0"/>
        <w:adjustRightInd w:val="0"/>
        <w:rPr>
          <w:rFonts w:ascii="Arial" w:hAnsi="Arial" w:cs="Arial"/>
        </w:rPr>
      </w:pPr>
      <w:r w:rsidRPr="002C1777">
        <w:rPr>
          <w:rFonts w:ascii="Arial" w:hAnsi="Arial" w:cs="Arial"/>
        </w:rPr>
        <w:t xml:space="preserve">The North of Tyne Combined Authority (NTCA) is a strong cross-party, cross-regional collaboration led by a mayor and cabinet working hard to create inclusive, sustainable growth through devolution. </w:t>
      </w:r>
    </w:p>
    <w:p w:rsidRPr="002C1777" w:rsidR="00793655" w:rsidP="00793655" w:rsidRDefault="00793655" w14:paraId="7BC5B82A" w14:textId="77777777">
      <w:pPr>
        <w:autoSpaceDE w:val="0"/>
        <w:autoSpaceDN w:val="0"/>
        <w:adjustRightInd w:val="0"/>
        <w:rPr>
          <w:rFonts w:ascii="Arial" w:hAnsi="Arial" w:cs="Arial"/>
        </w:rPr>
      </w:pPr>
      <w:r w:rsidRPr="002C1777">
        <w:rPr>
          <w:rFonts w:ascii="Arial" w:hAnsi="Arial" w:cs="Arial"/>
        </w:rPr>
        <w:t xml:space="preserve">Covering the areas of Newcastle, North Tyneside, and Northumberland our focus is to drive jobs, inclusion, new homes, the net zero transition, and positive economic change in our region. </w:t>
      </w:r>
    </w:p>
    <w:p w:rsidRPr="002C1777" w:rsidR="00793655" w:rsidP="00793655" w:rsidRDefault="00793655" w14:paraId="6B37154C" w14:textId="77777777">
      <w:pPr>
        <w:autoSpaceDE w:val="0"/>
        <w:autoSpaceDN w:val="0"/>
        <w:adjustRightInd w:val="0"/>
        <w:spacing w:after="120"/>
        <w:rPr>
          <w:rFonts w:ascii="Arial" w:hAnsi="Arial" w:cs="Arial"/>
        </w:rPr>
      </w:pPr>
      <w:r w:rsidRPr="002C1777">
        <w:rPr>
          <w:rFonts w:ascii="Arial" w:hAnsi="Arial" w:eastAsia="Arial" w:cs="Arial"/>
        </w:rPr>
        <w:t>NTCA’s vision is of a dynamic and more inclusive economy, one that brings together people and opportunities to create vibrant communities and a high quality of life, narrowing inequalities and ensuring that all residents have a stake in our region’s future. Reducing inequalities and improving access to opportunities is also an inherent part of the Government’s Levelling Up programme</w:t>
      </w:r>
      <w:r w:rsidRPr="002C1777">
        <w:rPr>
          <w:rStyle w:val="FootnoteReference"/>
          <w:rFonts w:ascii="Arial" w:hAnsi="Arial" w:eastAsia="Arial" w:cs="Arial"/>
        </w:rPr>
        <w:footnoteReference w:id="2"/>
      </w:r>
      <w:r w:rsidRPr="002C1777">
        <w:rPr>
          <w:rFonts w:ascii="Arial" w:hAnsi="Arial" w:eastAsia="Arial" w:cs="Arial"/>
        </w:rPr>
        <w:t xml:space="preserve"> and subsequent UK Shared Prosperity Fund prospectus</w:t>
      </w:r>
      <w:r w:rsidRPr="002C1777">
        <w:rPr>
          <w:rStyle w:val="FootnoteReference"/>
          <w:rFonts w:ascii="Arial" w:hAnsi="Arial" w:eastAsia="Arial" w:cs="Arial"/>
        </w:rPr>
        <w:footnoteReference w:id="3"/>
      </w:r>
      <w:r w:rsidRPr="002C1777">
        <w:rPr>
          <w:rFonts w:ascii="Arial" w:hAnsi="Arial" w:eastAsia="Arial" w:cs="Arial"/>
        </w:rPr>
        <w:t xml:space="preserve">. </w:t>
      </w:r>
    </w:p>
    <w:p w:rsidRPr="002C1777" w:rsidR="00793655" w:rsidP="00793655" w:rsidRDefault="00793655" w14:paraId="3B38F022" w14:textId="77777777">
      <w:pPr>
        <w:autoSpaceDE w:val="0"/>
        <w:autoSpaceDN w:val="0"/>
        <w:adjustRightInd w:val="0"/>
        <w:spacing w:after="120"/>
        <w:rPr>
          <w:rFonts w:ascii="Arial" w:hAnsi="Arial" w:eastAsia="Arial" w:cs="Arial"/>
        </w:rPr>
      </w:pPr>
      <w:r w:rsidRPr="002C1777">
        <w:rPr>
          <w:rFonts w:ascii="Arial" w:hAnsi="Arial" w:eastAsia="Arial" w:cs="Arial"/>
        </w:rPr>
        <w:t>NTCA will invest their allocation of UKSPF resources in activities to achieve this vision. This includes a co-ordinated place-based approach to address key challenges, with a focus on building opportunities and restoring pride of place.</w:t>
      </w:r>
    </w:p>
    <w:p w:rsidRPr="002C1777" w:rsidR="00793655" w:rsidP="00793655" w:rsidRDefault="00793655" w14:paraId="12611502" w14:textId="77777777">
      <w:pPr>
        <w:spacing w:after="120" w:line="240" w:lineRule="auto"/>
        <w:rPr>
          <w:rFonts w:ascii="Arial" w:hAnsi="Arial" w:cs="Arial"/>
        </w:rPr>
      </w:pPr>
      <w:r w:rsidRPr="002C1777">
        <w:rPr>
          <w:rFonts w:ascii="Arial" w:hAnsi="Arial" w:cs="Arial"/>
        </w:rPr>
        <w:t>Our proposals for the Communities and Place Investment Priority will address the two UKSPF objectives of:</w:t>
      </w:r>
    </w:p>
    <w:p w:rsidRPr="002C1777" w:rsidR="00793655" w:rsidRDefault="00793655" w14:paraId="316F9A3C"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Strengthening our social fabric &amp; fostering a sense of local pride &amp; belonging.</w:t>
      </w:r>
    </w:p>
    <w:p w:rsidRPr="002C1777" w:rsidR="00793655" w:rsidRDefault="00793655" w14:paraId="217CC598" w14:textId="77777777">
      <w:pPr>
        <w:pStyle w:val="ListParagraph"/>
        <w:numPr>
          <w:ilvl w:val="0"/>
          <w:numId w:val="2"/>
        </w:numPr>
        <w:spacing w:after="120" w:line="240" w:lineRule="auto"/>
        <w:ind w:left="697" w:hanging="357"/>
        <w:contextualSpacing w:val="0"/>
        <w:rPr>
          <w:rFonts w:ascii="Arial" w:hAnsi="Arial" w:cs="Arial"/>
        </w:rPr>
      </w:pPr>
      <w:r w:rsidRPr="002C1777">
        <w:rPr>
          <w:rFonts w:ascii="Arial" w:hAnsi="Arial" w:eastAsia="Arial" w:cs="Arial"/>
        </w:rPr>
        <w:t>Building resilient, healthy</w:t>
      </w:r>
      <w:r w:rsidRPr="002C1777">
        <w:rPr>
          <w:rFonts w:ascii="Arial" w:hAnsi="Arial" w:cs="Arial"/>
        </w:rPr>
        <w:t xml:space="preserve"> &amp; safe neighbourhoods.</w:t>
      </w:r>
    </w:p>
    <w:p w:rsidRPr="002C1777" w:rsidR="00793655" w:rsidRDefault="00793655" w14:paraId="4AB50ADF" w14:textId="77777777">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5379314" w:id="5"/>
      <w:bookmarkStart w:name="_Toc128644075" w:id="6"/>
      <w:r w:rsidRPr="002C1777">
        <w:rPr>
          <w:rFonts w:ascii="Arial" w:hAnsi="Arial" w:cs="Arial"/>
          <w:b/>
          <w:bCs/>
          <w:sz w:val="24"/>
          <w:szCs w:val="24"/>
        </w:rPr>
        <w:t>UKSPF Communities and Place: Programmes of Activity</w:t>
      </w:r>
      <w:bookmarkEnd w:id="5"/>
      <w:bookmarkEnd w:id="6"/>
      <w:r w:rsidRPr="002C1777">
        <w:rPr>
          <w:rFonts w:ascii="Arial" w:hAnsi="Arial" w:cs="Arial"/>
          <w:b/>
          <w:bCs/>
          <w:sz w:val="24"/>
          <w:szCs w:val="24"/>
        </w:rPr>
        <w:t xml:space="preserve"> </w:t>
      </w:r>
    </w:p>
    <w:p w:rsidRPr="002C1777" w:rsidR="00793655" w:rsidP="00793655" w:rsidRDefault="00793655" w14:paraId="1E6EDEC3" w14:textId="77777777">
      <w:pPr>
        <w:autoSpaceDE w:val="0"/>
        <w:autoSpaceDN w:val="0"/>
        <w:adjustRightInd w:val="0"/>
        <w:spacing w:after="120"/>
        <w:rPr>
          <w:rFonts w:ascii="Arial" w:hAnsi="Arial" w:cs="Arial"/>
        </w:rPr>
      </w:pPr>
      <w:r w:rsidRPr="002C1777">
        <w:rPr>
          <w:rFonts w:ascii="Arial" w:hAnsi="Arial" w:cs="Arial"/>
        </w:rPr>
        <w:t>NTCA will deliver three programmes of activity in the UKSPF Communities and Place theme:</w:t>
      </w:r>
    </w:p>
    <w:p w:rsidRPr="002C1777" w:rsidR="00793655" w:rsidRDefault="00793655" w14:paraId="1E6498D6"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Regeneration of our Places: Towns, high streets, rural centres, and local events</w:t>
      </w:r>
    </w:p>
    <w:p w:rsidRPr="002C1777" w:rsidR="00793655" w:rsidRDefault="00793655" w14:paraId="144813D9"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lastRenderedPageBreak/>
        <w:t>Community programmes and partnerships</w:t>
      </w:r>
    </w:p>
    <w:p w:rsidRPr="002C1777" w:rsidR="00793655" w:rsidRDefault="00793655" w14:paraId="2C2E37F6"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Energy efficiency</w:t>
      </w:r>
    </w:p>
    <w:p w:rsidRPr="002C1777" w:rsidR="003F0BA3" w:rsidP="00355336" w:rsidRDefault="00391C73" w14:paraId="51D7E949" w14:textId="65EFD66C">
      <w:pPr>
        <w:rPr>
          <w:rFonts w:ascii="Arial" w:hAnsi="Arial" w:cs="Arial"/>
        </w:rPr>
      </w:pPr>
      <w:r w:rsidRPr="002C1777">
        <w:rPr>
          <w:rFonts w:ascii="Arial" w:hAnsi="Arial" w:cs="Arial"/>
        </w:rPr>
        <w:t>Volunteering and Social Action is</w:t>
      </w:r>
      <w:r w:rsidRPr="002C1777" w:rsidR="00793655">
        <w:rPr>
          <w:rFonts w:ascii="Arial" w:hAnsi="Arial" w:cs="Arial"/>
        </w:rPr>
        <w:t xml:space="preserve"> a key element within the Community </w:t>
      </w:r>
      <w:r w:rsidRPr="002C1777" w:rsidR="00BA50FA">
        <w:rPr>
          <w:rFonts w:ascii="Arial" w:hAnsi="Arial" w:cs="Arial"/>
        </w:rPr>
        <w:t>P</w:t>
      </w:r>
      <w:r w:rsidRPr="002C1777" w:rsidR="00793655">
        <w:rPr>
          <w:rFonts w:ascii="Arial" w:hAnsi="Arial" w:cs="Arial"/>
        </w:rPr>
        <w:t xml:space="preserve">rogrammes and </w:t>
      </w:r>
      <w:r w:rsidRPr="002C1777" w:rsidR="00BA50FA">
        <w:rPr>
          <w:rFonts w:ascii="Arial" w:hAnsi="Arial" w:cs="Arial"/>
        </w:rPr>
        <w:t>P</w:t>
      </w:r>
      <w:r w:rsidRPr="002C1777" w:rsidR="00793655">
        <w:rPr>
          <w:rFonts w:ascii="Arial" w:hAnsi="Arial" w:cs="Arial"/>
        </w:rPr>
        <w:t>artnerships</w:t>
      </w:r>
      <w:r w:rsidRPr="002C1777" w:rsidR="00D97CC5">
        <w:rPr>
          <w:rFonts w:ascii="Arial" w:hAnsi="Arial" w:cs="Arial"/>
        </w:rPr>
        <w:t xml:space="preserve"> activity</w:t>
      </w:r>
      <w:r w:rsidRPr="002C1777" w:rsidR="00793655">
        <w:rPr>
          <w:rFonts w:ascii="Arial" w:hAnsi="Arial" w:cs="Arial"/>
        </w:rPr>
        <w:t xml:space="preserve">. </w:t>
      </w:r>
      <w:r w:rsidRPr="002C1777" w:rsidR="00355336">
        <w:rPr>
          <w:rFonts w:ascii="Arial" w:hAnsi="Arial" w:cs="Arial"/>
        </w:rPr>
        <w:t>This call seeks to invest up to £1</w:t>
      </w:r>
      <w:r w:rsidR="004C15A4">
        <w:rPr>
          <w:rFonts w:ascii="Arial" w:hAnsi="Arial" w:cs="Arial"/>
        </w:rPr>
        <w:t xml:space="preserve"> </w:t>
      </w:r>
      <w:r w:rsidRPr="002C1777" w:rsidR="00355336">
        <w:rPr>
          <w:rFonts w:ascii="Arial" w:hAnsi="Arial" w:cs="Arial"/>
        </w:rPr>
        <w:t>m</w:t>
      </w:r>
      <w:r w:rsidR="008B48AF">
        <w:rPr>
          <w:rFonts w:ascii="Arial" w:hAnsi="Arial" w:cs="Arial"/>
        </w:rPr>
        <w:t>illion</w:t>
      </w:r>
      <w:r w:rsidRPr="002C1777" w:rsidR="00355336">
        <w:rPr>
          <w:rFonts w:ascii="Arial" w:hAnsi="Arial" w:cs="Arial"/>
        </w:rPr>
        <w:t xml:space="preserve"> </w:t>
      </w:r>
      <w:r w:rsidRPr="002C1777" w:rsidR="003F0BA3">
        <w:rPr>
          <w:rFonts w:ascii="Arial" w:hAnsi="Arial" w:cs="Arial"/>
        </w:rPr>
        <w:t>in a programme of impactful volunteering and social action that develops social and human capital across the North of Tyne Combined Authority area.</w:t>
      </w:r>
    </w:p>
    <w:p w:rsidRPr="002C1777" w:rsidR="00355336" w:rsidP="00355336" w:rsidRDefault="00D82C16" w14:paraId="5BC9855A" w14:textId="1323B460">
      <w:pPr>
        <w:rPr>
          <w:rFonts w:ascii="Arial" w:hAnsi="Arial" w:cs="Arial"/>
        </w:rPr>
      </w:pPr>
      <w:r w:rsidRPr="002C1777">
        <w:rPr>
          <w:rFonts w:ascii="Arial" w:hAnsi="Arial" w:cs="Arial"/>
        </w:rPr>
        <w:t>We know that v</w:t>
      </w:r>
      <w:r w:rsidRPr="002C1777" w:rsidR="00355336">
        <w:rPr>
          <w:rFonts w:ascii="Arial" w:hAnsi="Arial" w:cs="Arial"/>
        </w:rPr>
        <w:t>olunteering and social action</w:t>
      </w:r>
      <w:r w:rsidRPr="002C1777">
        <w:rPr>
          <w:rFonts w:ascii="Arial" w:hAnsi="Arial" w:cs="Arial"/>
        </w:rPr>
        <w:t xml:space="preserve"> </w:t>
      </w:r>
      <w:r w:rsidRPr="002C1777" w:rsidR="008E3488">
        <w:rPr>
          <w:rFonts w:ascii="Arial" w:hAnsi="Arial" w:cs="Arial"/>
        </w:rPr>
        <w:t>offer</w:t>
      </w:r>
      <w:r w:rsidRPr="002C1777" w:rsidR="00B868BA">
        <w:rPr>
          <w:rFonts w:ascii="Arial" w:hAnsi="Arial" w:cs="Arial"/>
        </w:rPr>
        <w:t>s</w:t>
      </w:r>
      <w:r w:rsidRPr="002C1777" w:rsidR="00355336">
        <w:rPr>
          <w:rFonts w:ascii="Arial" w:hAnsi="Arial" w:cs="Arial"/>
        </w:rPr>
        <w:t xml:space="preserve"> significant </w:t>
      </w:r>
      <w:r w:rsidRPr="002C1777" w:rsidR="008E3488">
        <w:rPr>
          <w:rFonts w:ascii="Arial" w:hAnsi="Arial" w:cs="Arial"/>
        </w:rPr>
        <w:t xml:space="preserve">social and economic </w:t>
      </w:r>
      <w:r w:rsidRPr="002C1777" w:rsidR="00355336">
        <w:rPr>
          <w:rFonts w:ascii="Arial" w:hAnsi="Arial" w:cs="Arial"/>
        </w:rPr>
        <w:t>benefit</w:t>
      </w:r>
      <w:r w:rsidRPr="002C1777" w:rsidR="008E3488">
        <w:rPr>
          <w:rFonts w:ascii="Arial" w:hAnsi="Arial" w:cs="Arial"/>
        </w:rPr>
        <w:t>s</w:t>
      </w:r>
      <w:r w:rsidRPr="002C1777" w:rsidR="00355336">
        <w:rPr>
          <w:rFonts w:ascii="Arial" w:hAnsi="Arial" w:cs="Arial"/>
        </w:rPr>
        <w:t xml:space="preserve"> both to the individuals directly involved and to the wider community. For the volunteer it can help to build new skills, increase confidence, widen social networks and expand horizons. It can </w:t>
      </w:r>
      <w:r w:rsidRPr="002C1777" w:rsidR="00212CA0">
        <w:rPr>
          <w:rFonts w:ascii="Arial" w:hAnsi="Arial" w:cs="Arial"/>
        </w:rPr>
        <w:t>also</w:t>
      </w:r>
      <w:r w:rsidRPr="002C1777" w:rsidR="00355336">
        <w:rPr>
          <w:rFonts w:ascii="Arial" w:hAnsi="Arial" w:cs="Arial"/>
        </w:rPr>
        <w:t xml:space="preserve"> result in physical and mental health benefits.  For the beneficiary it can offer friendship, </w:t>
      </w:r>
      <w:r w:rsidRPr="002C1777" w:rsidR="00D2072B">
        <w:rPr>
          <w:rFonts w:ascii="Arial" w:hAnsi="Arial" w:cs="Arial"/>
        </w:rPr>
        <w:t>imp</w:t>
      </w:r>
      <w:r w:rsidRPr="002C1777" w:rsidR="00597351">
        <w:rPr>
          <w:rFonts w:ascii="Arial" w:hAnsi="Arial" w:cs="Arial"/>
        </w:rPr>
        <w:t>r</w:t>
      </w:r>
      <w:r w:rsidRPr="002C1777" w:rsidR="00D2072B">
        <w:rPr>
          <w:rFonts w:ascii="Arial" w:hAnsi="Arial" w:cs="Arial"/>
        </w:rPr>
        <w:t xml:space="preserve">oved </w:t>
      </w:r>
      <w:r w:rsidRPr="002C1777" w:rsidR="00355336">
        <w:rPr>
          <w:rFonts w:ascii="Arial" w:hAnsi="Arial" w:cs="Arial"/>
        </w:rPr>
        <w:t>access to key services</w:t>
      </w:r>
      <w:r w:rsidRPr="002C1777" w:rsidR="00341237">
        <w:rPr>
          <w:rFonts w:ascii="Arial" w:hAnsi="Arial" w:cs="Arial"/>
        </w:rPr>
        <w:t xml:space="preserve"> and</w:t>
      </w:r>
      <w:r w:rsidRPr="002C1777" w:rsidR="00355336">
        <w:rPr>
          <w:rFonts w:ascii="Arial" w:hAnsi="Arial" w:cs="Arial"/>
        </w:rPr>
        <w:t xml:space="preserve"> </w:t>
      </w:r>
      <w:r w:rsidRPr="002C1777" w:rsidR="00597351">
        <w:rPr>
          <w:rFonts w:ascii="Arial" w:hAnsi="Arial" w:cs="Arial"/>
        </w:rPr>
        <w:t>the opportunity to benefit</w:t>
      </w:r>
      <w:r w:rsidRPr="002C1777" w:rsidR="00355336">
        <w:rPr>
          <w:rFonts w:ascii="Arial" w:hAnsi="Arial" w:cs="Arial"/>
        </w:rPr>
        <w:t xml:space="preserve"> </w:t>
      </w:r>
      <w:r w:rsidRPr="002C1777" w:rsidR="00597351">
        <w:rPr>
          <w:rFonts w:ascii="Arial" w:hAnsi="Arial" w:cs="Arial"/>
        </w:rPr>
        <w:t>from</w:t>
      </w:r>
      <w:r w:rsidRPr="002C1777" w:rsidR="00355336">
        <w:rPr>
          <w:rFonts w:ascii="Arial" w:hAnsi="Arial" w:cs="Arial"/>
        </w:rPr>
        <w:t xml:space="preserve"> vibrant community</w:t>
      </w:r>
      <w:r w:rsidRPr="002C1777" w:rsidR="00597351">
        <w:rPr>
          <w:rFonts w:ascii="Arial" w:hAnsi="Arial" w:cs="Arial"/>
        </w:rPr>
        <w:t xml:space="preserve"> spaces</w:t>
      </w:r>
      <w:r w:rsidRPr="002C1777" w:rsidR="00355336">
        <w:rPr>
          <w:rFonts w:ascii="Arial" w:hAnsi="Arial" w:cs="Arial"/>
        </w:rPr>
        <w:t>. In short, volunteering and social action are mutually beneficial acts that have the power to create stronger, more prosperous and resilient communities.</w:t>
      </w:r>
    </w:p>
    <w:p w:rsidRPr="002C1777" w:rsidR="003A2A9E" w:rsidRDefault="003D7C33" w14:paraId="1C83C630" w14:textId="61794DCE">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76" w:id="7"/>
      <w:r w:rsidRPr="002C1777">
        <w:rPr>
          <w:rFonts w:ascii="Arial" w:hAnsi="Arial" w:cs="Arial"/>
          <w:b/>
          <w:bCs/>
          <w:sz w:val="24"/>
          <w:szCs w:val="24"/>
        </w:rPr>
        <w:t xml:space="preserve">Strategic </w:t>
      </w:r>
      <w:r w:rsidRPr="002C1777" w:rsidR="00446B7D">
        <w:rPr>
          <w:rFonts w:ascii="Arial" w:hAnsi="Arial" w:cs="Arial"/>
          <w:b/>
          <w:bCs/>
          <w:sz w:val="24"/>
          <w:szCs w:val="24"/>
        </w:rPr>
        <w:t>Context</w:t>
      </w:r>
      <w:bookmarkEnd w:id="7"/>
    </w:p>
    <w:p w:rsidRPr="002C1777" w:rsidR="005D7C31" w:rsidP="005D7C31" w:rsidRDefault="003F0BA3" w14:paraId="6A5859ED" w14:textId="1301F8C0">
      <w:pPr>
        <w:rPr>
          <w:rFonts w:ascii="Arial" w:hAnsi="Arial" w:cs="Arial"/>
          <w:b/>
          <w:bCs/>
        </w:rPr>
      </w:pPr>
      <w:r w:rsidRPr="002C1777">
        <w:rPr>
          <w:rFonts w:ascii="Arial" w:hAnsi="Arial" w:cs="Arial"/>
          <w:b/>
          <w:bCs/>
        </w:rPr>
        <w:t xml:space="preserve">4.1  </w:t>
      </w:r>
      <w:r w:rsidRPr="002C1777" w:rsidR="005D7C31">
        <w:rPr>
          <w:rFonts w:ascii="Arial" w:hAnsi="Arial" w:cs="Arial"/>
          <w:b/>
          <w:bCs/>
        </w:rPr>
        <w:t>Volunteering, Social Action and the VCSE sector</w:t>
      </w:r>
    </w:p>
    <w:p w:rsidRPr="002C1777" w:rsidR="005D7C31" w:rsidP="005D7C31" w:rsidRDefault="005D7C31" w14:paraId="5A7ECFEF" w14:textId="21BDDD91">
      <w:pPr>
        <w:rPr>
          <w:rFonts w:ascii="Arial" w:hAnsi="Arial" w:cs="Arial"/>
        </w:rPr>
      </w:pPr>
      <w:r w:rsidRPr="002C1777">
        <w:rPr>
          <w:rFonts w:ascii="Arial" w:hAnsi="Arial" w:cs="Arial"/>
        </w:rPr>
        <w:t xml:space="preserve">Volunteering, social action and the VCSE sector play a crucial role in supporting our communities and places. The recent </w:t>
      </w:r>
      <w:hyperlink w:history="1" r:id="rId12">
        <w:r w:rsidRPr="002C1777">
          <w:rPr>
            <w:rStyle w:val="Hyperlink"/>
            <w:rFonts w:ascii="Arial" w:hAnsi="Arial" w:cs="Arial"/>
          </w:rPr>
          <w:t>Third Sector Trends Report</w:t>
        </w:r>
      </w:hyperlink>
      <w:r w:rsidRPr="002C1777">
        <w:rPr>
          <w:rFonts w:ascii="Arial" w:hAnsi="Arial" w:cs="Arial"/>
        </w:rPr>
        <w:t xml:space="preserve"> (November 2022) estimates that there are 6,900 VCSE sector organisations active in the North East employing 37,300 people and supported by 152,100 volunteers. These organisations work with some of our most vulnerable residents facing multiple barriers to engaging in our economy by providing support around health, wellbeing, financial security and community cohesion. The value of this support is estimated to be £1.65bn across the North East</w:t>
      </w:r>
      <w:r w:rsidRPr="002C1777" w:rsidR="00C678A8">
        <w:rPr>
          <w:rFonts w:ascii="Arial" w:hAnsi="Arial" w:cs="Arial"/>
        </w:rPr>
        <w:t>.</w:t>
      </w:r>
    </w:p>
    <w:p w:rsidRPr="002C1777" w:rsidR="00A83977" w:rsidP="00A83977" w:rsidRDefault="00A83977" w14:paraId="6BD5A633" w14:textId="4E0654A7">
      <w:pPr>
        <w:rPr>
          <w:rFonts w:ascii="Arial" w:hAnsi="Arial" w:cs="Arial"/>
        </w:rPr>
      </w:pPr>
      <w:r w:rsidRPr="002C1777">
        <w:rPr>
          <w:rFonts w:ascii="Arial" w:hAnsi="Arial" w:cs="Arial"/>
        </w:rPr>
        <w:t xml:space="preserve">Volunteering and social action provide fantastic opportunities to </w:t>
      </w:r>
      <w:r w:rsidRPr="002C1777" w:rsidR="009614DA">
        <w:rPr>
          <w:rFonts w:ascii="Arial" w:hAnsi="Arial" w:cs="Arial"/>
        </w:rPr>
        <w:t xml:space="preserve">strengthen </w:t>
      </w:r>
      <w:r w:rsidRPr="002C1777">
        <w:rPr>
          <w:rFonts w:ascii="Arial" w:hAnsi="Arial" w:cs="Arial"/>
        </w:rPr>
        <w:t xml:space="preserve">social and human capital within our communities. The </w:t>
      </w:r>
      <w:hyperlink r:id="rId13">
        <w:r w:rsidRPr="002C1777">
          <w:rPr>
            <w:rStyle w:val="Hyperlink"/>
            <w:rFonts w:ascii="Arial" w:hAnsi="Arial" w:cs="Arial"/>
          </w:rPr>
          <w:t>Levelling Up White Paper</w:t>
        </w:r>
      </w:hyperlink>
      <w:r w:rsidRPr="002C1777">
        <w:rPr>
          <w:rFonts w:ascii="Arial" w:hAnsi="Arial" w:cs="Arial"/>
        </w:rPr>
        <w:t xml:space="preserve"> identifies </w:t>
      </w:r>
      <w:r w:rsidRPr="002C1777" w:rsidR="009614DA">
        <w:rPr>
          <w:rFonts w:ascii="Arial" w:hAnsi="Arial" w:cs="Arial"/>
        </w:rPr>
        <w:t xml:space="preserve">human and </w:t>
      </w:r>
      <w:r w:rsidRPr="002C1777">
        <w:rPr>
          <w:rFonts w:ascii="Arial" w:hAnsi="Arial" w:cs="Arial"/>
        </w:rPr>
        <w:t xml:space="preserve">social capital </w:t>
      </w:r>
      <w:r w:rsidRPr="002C1777" w:rsidR="00704BB0">
        <w:rPr>
          <w:rFonts w:ascii="Arial" w:hAnsi="Arial" w:cs="Arial"/>
        </w:rPr>
        <w:t>as part of a framework</w:t>
      </w:r>
      <w:r w:rsidRPr="002C1777">
        <w:rPr>
          <w:rFonts w:ascii="Arial" w:hAnsi="Arial" w:cs="Arial"/>
        </w:rPr>
        <w:t xml:space="preserve"> of six capitals that</w:t>
      </w:r>
      <w:r w:rsidRPr="002C1777" w:rsidR="006F491F">
        <w:rPr>
          <w:rFonts w:ascii="Arial" w:hAnsi="Arial" w:cs="Arial"/>
        </w:rPr>
        <w:t>, when developed and supported,</w:t>
      </w:r>
      <w:r w:rsidRPr="002C1777">
        <w:rPr>
          <w:rFonts w:ascii="Arial" w:hAnsi="Arial" w:cs="Arial"/>
        </w:rPr>
        <w:t xml:space="preserve"> can </w:t>
      </w:r>
      <w:r w:rsidRPr="002C1777" w:rsidR="006F491F">
        <w:rPr>
          <w:rFonts w:ascii="Arial" w:hAnsi="Arial" w:cs="Arial"/>
        </w:rPr>
        <w:t>reduce ine</w:t>
      </w:r>
      <w:r w:rsidRPr="002C1777" w:rsidR="00923395">
        <w:rPr>
          <w:rFonts w:ascii="Arial" w:hAnsi="Arial" w:cs="Arial"/>
        </w:rPr>
        <w:t>qualities between places</w:t>
      </w:r>
      <w:r w:rsidRPr="002C1777">
        <w:rPr>
          <w:rFonts w:ascii="Arial" w:hAnsi="Arial" w:cs="Arial"/>
        </w:rPr>
        <w:t>:</w:t>
      </w:r>
    </w:p>
    <w:p w:rsidRPr="002C1777" w:rsidR="00A83977" w:rsidRDefault="001D1A8D" w14:paraId="7E55DCC6" w14:textId="53E3AAAB">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p</w:t>
      </w:r>
      <w:r w:rsidRPr="002C1777" w:rsidR="00A83977">
        <w:rPr>
          <w:rFonts w:ascii="Arial" w:hAnsi="Arial" w:eastAsia="Arial" w:cs="Arial"/>
        </w:rPr>
        <w:t>hysical capital – infrastructure, machines and housing</w:t>
      </w:r>
      <w:r w:rsidRPr="002C1777" w:rsidR="00DD78B1">
        <w:rPr>
          <w:rFonts w:ascii="Arial" w:hAnsi="Arial" w:eastAsia="Arial" w:cs="Arial"/>
        </w:rPr>
        <w:t>;</w:t>
      </w:r>
    </w:p>
    <w:p w:rsidRPr="002C1777" w:rsidR="00A83977" w:rsidRDefault="001D1A8D" w14:paraId="3F0387A6" w14:textId="76641E09">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h</w:t>
      </w:r>
      <w:r w:rsidRPr="002C1777" w:rsidR="00A83977">
        <w:rPr>
          <w:rFonts w:ascii="Arial" w:hAnsi="Arial" w:eastAsia="Arial" w:cs="Arial"/>
        </w:rPr>
        <w:t>uman capital – the skills, health and experience of the workforce</w:t>
      </w:r>
      <w:r w:rsidRPr="002C1777" w:rsidR="00DD78B1">
        <w:rPr>
          <w:rFonts w:ascii="Arial" w:hAnsi="Arial" w:eastAsia="Arial" w:cs="Arial"/>
        </w:rPr>
        <w:t>;</w:t>
      </w:r>
    </w:p>
    <w:p w:rsidRPr="002C1777" w:rsidR="00A83977" w:rsidRDefault="001D1A8D" w14:paraId="0577BE8E" w14:textId="513B977B">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i</w:t>
      </w:r>
      <w:r w:rsidRPr="002C1777" w:rsidR="00A83977">
        <w:rPr>
          <w:rFonts w:ascii="Arial" w:hAnsi="Arial" w:eastAsia="Arial" w:cs="Arial"/>
        </w:rPr>
        <w:t>ntangible capital – innovation, ideas and patents</w:t>
      </w:r>
      <w:r w:rsidRPr="002C1777" w:rsidR="00DD78B1">
        <w:rPr>
          <w:rFonts w:ascii="Arial" w:hAnsi="Arial" w:eastAsia="Arial" w:cs="Arial"/>
        </w:rPr>
        <w:t>;</w:t>
      </w:r>
    </w:p>
    <w:p w:rsidRPr="002C1777" w:rsidR="00A83977" w:rsidRDefault="001D1A8D" w14:paraId="5DD5F97E" w14:textId="08646983">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f</w:t>
      </w:r>
      <w:r w:rsidRPr="002C1777" w:rsidR="00A83977">
        <w:rPr>
          <w:rFonts w:ascii="Arial" w:hAnsi="Arial" w:eastAsia="Arial" w:cs="Arial"/>
        </w:rPr>
        <w:t>inancial capital – resources supporting the financing of companies</w:t>
      </w:r>
      <w:r w:rsidRPr="002C1777" w:rsidR="00DD78B1">
        <w:rPr>
          <w:rFonts w:ascii="Arial" w:hAnsi="Arial" w:eastAsia="Arial" w:cs="Arial"/>
        </w:rPr>
        <w:t>;</w:t>
      </w:r>
    </w:p>
    <w:p w:rsidRPr="002C1777" w:rsidR="00A83977" w:rsidRDefault="001D1A8D" w14:paraId="74D1418B" w14:textId="52462A28">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s</w:t>
      </w:r>
      <w:r w:rsidRPr="002C1777" w:rsidR="00A83977">
        <w:rPr>
          <w:rFonts w:ascii="Arial" w:hAnsi="Arial" w:eastAsia="Arial" w:cs="Arial"/>
        </w:rPr>
        <w:t>ocial capital – the strength of communities, relationships and trust</w:t>
      </w:r>
      <w:r w:rsidRPr="002C1777" w:rsidR="00DD78B1">
        <w:rPr>
          <w:rFonts w:ascii="Arial" w:hAnsi="Arial" w:eastAsia="Arial" w:cs="Arial"/>
        </w:rPr>
        <w:t>;</w:t>
      </w:r>
    </w:p>
    <w:p w:rsidRPr="002C1777" w:rsidR="00A83977" w:rsidRDefault="003F0BA3" w14:paraId="1ACC6B7B" w14:textId="4102F2B4">
      <w:pPr>
        <w:pStyle w:val="ListParagraph"/>
        <w:numPr>
          <w:ilvl w:val="0"/>
          <w:numId w:val="2"/>
        </w:numPr>
        <w:spacing w:after="120" w:line="240" w:lineRule="auto"/>
        <w:ind w:left="697" w:hanging="357"/>
        <w:contextualSpacing w:val="0"/>
        <w:rPr>
          <w:rFonts w:ascii="Arial" w:hAnsi="Arial" w:cs="Arial"/>
        </w:rPr>
      </w:pPr>
      <w:r w:rsidRPr="002C1777">
        <w:rPr>
          <w:rFonts w:ascii="Arial" w:hAnsi="Arial" w:eastAsia="Arial" w:cs="Arial"/>
        </w:rPr>
        <w:t>i</w:t>
      </w:r>
      <w:r w:rsidRPr="002C1777" w:rsidR="00A83977">
        <w:rPr>
          <w:rFonts w:ascii="Arial" w:hAnsi="Arial" w:eastAsia="Arial" w:cs="Arial"/>
        </w:rPr>
        <w:t>nstitutional capital – local leadership, capacity and capability</w:t>
      </w:r>
      <w:r w:rsidRPr="002C1777" w:rsidR="00DD78B1">
        <w:rPr>
          <w:rFonts w:ascii="Arial" w:hAnsi="Arial" w:cs="Arial"/>
        </w:rPr>
        <w:t>.</w:t>
      </w:r>
    </w:p>
    <w:p w:rsidRPr="002C1777" w:rsidR="00A83977" w:rsidP="00A83977" w:rsidRDefault="00A83977" w14:paraId="2F441C6F" w14:textId="4CB8078C">
      <w:pPr>
        <w:rPr>
          <w:rFonts w:ascii="Arial" w:hAnsi="Arial" w:cs="Arial"/>
        </w:rPr>
      </w:pPr>
      <w:r w:rsidRPr="002C1777">
        <w:rPr>
          <w:rFonts w:ascii="Arial" w:hAnsi="Arial" w:cs="Arial"/>
        </w:rPr>
        <w:t xml:space="preserve">We believe that communities with high </w:t>
      </w:r>
      <w:r w:rsidRPr="002C1777" w:rsidR="001D1A8D">
        <w:rPr>
          <w:rFonts w:ascii="Arial" w:hAnsi="Arial" w:cs="Arial"/>
        </w:rPr>
        <w:t xml:space="preserve">levels of </w:t>
      </w:r>
      <w:r w:rsidRPr="002C1777">
        <w:rPr>
          <w:rFonts w:ascii="Arial" w:hAnsi="Arial" w:cs="Arial"/>
        </w:rPr>
        <w:t>human and social capital can:</w:t>
      </w:r>
    </w:p>
    <w:p w:rsidRPr="002C1777" w:rsidR="00A83977" w:rsidRDefault="00A83977" w14:paraId="6303A47D" w14:textId="24C93061">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develop local solutions in response to needs and opportunities that will help to create stronger local economies and more prosperous and resilient places</w:t>
      </w:r>
      <w:r w:rsidRPr="002C1777" w:rsidR="00DD78B1">
        <w:rPr>
          <w:rFonts w:ascii="Arial" w:hAnsi="Arial" w:eastAsia="Arial" w:cs="Arial"/>
        </w:rPr>
        <w:t>;</w:t>
      </w:r>
    </w:p>
    <w:p w:rsidRPr="002C1777" w:rsidR="00A83977" w:rsidRDefault="00A83977" w14:paraId="1DCA4B45" w14:textId="3ACDA70C">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be more resilient in the face of hard times due to their ability to look after one-another, solve problems together, and shape services</w:t>
      </w:r>
      <w:r w:rsidRPr="002C1777" w:rsidR="001D1A8D">
        <w:rPr>
          <w:rFonts w:ascii="Arial" w:hAnsi="Arial" w:eastAsia="Arial" w:cs="Arial"/>
        </w:rPr>
        <w:t>;</w:t>
      </w:r>
    </w:p>
    <w:p w:rsidRPr="002C1777" w:rsidR="00A83977" w:rsidRDefault="00A83977" w14:paraId="74B65334" w14:textId="77777777">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 xml:space="preserve">support a more inclusive economy where people are better able to take advantage of economic opportunities through having access to strong, supportive and diverse social networks. </w:t>
      </w:r>
    </w:p>
    <w:p w:rsidRPr="002C1777" w:rsidR="00B238D6" w:rsidP="00855C37" w:rsidRDefault="00B238D6" w14:paraId="70B80A36" w14:textId="77777777">
      <w:pPr>
        <w:rPr>
          <w:rFonts w:ascii="Arial" w:hAnsi="Arial" w:cs="Arial"/>
          <w:b/>
          <w:bCs/>
        </w:rPr>
      </w:pPr>
    </w:p>
    <w:p w:rsidRPr="002C1777" w:rsidR="001D1A8D" w:rsidP="00855C37" w:rsidRDefault="001D1A8D" w14:paraId="51B9E35C" w14:textId="77777777">
      <w:pPr>
        <w:rPr>
          <w:rFonts w:ascii="Arial" w:hAnsi="Arial" w:cs="Arial"/>
          <w:b/>
          <w:bCs/>
        </w:rPr>
      </w:pPr>
    </w:p>
    <w:p w:rsidRPr="002C1777" w:rsidR="00855C37" w:rsidP="00855C37" w:rsidRDefault="003F0BA3" w14:paraId="15AB3C30" w14:textId="2BEE0212">
      <w:pPr>
        <w:rPr>
          <w:rFonts w:ascii="Arial" w:hAnsi="Arial" w:cs="Arial"/>
          <w:b/>
          <w:bCs/>
        </w:rPr>
      </w:pPr>
      <w:r w:rsidRPr="002C1777">
        <w:rPr>
          <w:rFonts w:ascii="Arial" w:hAnsi="Arial" w:cs="Arial"/>
          <w:b/>
          <w:bCs/>
        </w:rPr>
        <w:lastRenderedPageBreak/>
        <w:t xml:space="preserve">4.2 </w:t>
      </w:r>
      <w:r w:rsidRPr="002C1777" w:rsidR="00855C37">
        <w:rPr>
          <w:rFonts w:ascii="Arial" w:hAnsi="Arial" w:cs="Arial"/>
          <w:b/>
          <w:bCs/>
        </w:rPr>
        <w:t xml:space="preserve">Volunteering and the </w:t>
      </w:r>
      <w:r w:rsidRPr="002C1777">
        <w:rPr>
          <w:rFonts w:ascii="Arial" w:hAnsi="Arial" w:cs="Arial"/>
          <w:b/>
          <w:bCs/>
        </w:rPr>
        <w:t>p</w:t>
      </w:r>
      <w:r w:rsidRPr="002C1777" w:rsidR="00855C37">
        <w:rPr>
          <w:rFonts w:ascii="Arial" w:hAnsi="Arial" w:cs="Arial"/>
          <w:b/>
          <w:bCs/>
        </w:rPr>
        <w:t>andemic</w:t>
      </w:r>
    </w:p>
    <w:p w:rsidRPr="002C1777" w:rsidR="00855C37" w:rsidP="6EBABBDB" w:rsidRDefault="00855C37" w14:paraId="6530A812" w14:textId="0234A356">
      <w:pPr>
        <w:rPr>
          <w:rFonts w:ascii="Arial" w:hAnsi="Arial" w:cs="Arial"/>
        </w:rPr>
      </w:pPr>
      <w:r w:rsidRPr="002C1777">
        <w:rPr>
          <w:rFonts w:ascii="Arial" w:hAnsi="Arial" w:cs="Arial"/>
        </w:rPr>
        <w:t xml:space="preserve">The value of volunteering and social action was clearly demonstrated during the pandemic as people and organisations came together with the singular aim of providing life-saving practical and emotional support to their neighbours. </w:t>
      </w:r>
      <w:r w:rsidRPr="002C1777" w:rsidR="2A8DB09C">
        <w:rPr>
          <w:rFonts w:ascii="Arial" w:hAnsi="Arial" w:cs="Arial"/>
        </w:rPr>
        <w:t xml:space="preserve">The Relationships Project </w:t>
      </w:r>
      <w:hyperlink w:history="1" r:id="rId14">
        <w:r w:rsidRPr="002C1777" w:rsidR="2A8DB09C">
          <w:rPr>
            <w:rStyle w:val="Hyperlink"/>
            <w:rFonts w:ascii="Arial" w:hAnsi="Arial" w:cs="Arial"/>
          </w:rPr>
          <w:t>‘Active Neighbours Guide’</w:t>
        </w:r>
      </w:hyperlink>
      <w:r w:rsidRPr="002C1777" w:rsidR="2A8DB09C">
        <w:rPr>
          <w:rFonts w:ascii="Arial" w:hAnsi="Arial" w:cs="Arial"/>
        </w:rPr>
        <w:t xml:space="preserve"> </w:t>
      </w:r>
      <w:r w:rsidRPr="002C1777" w:rsidR="77B4C44C">
        <w:rPr>
          <w:rFonts w:ascii="Arial" w:hAnsi="Arial" w:cs="Arial"/>
        </w:rPr>
        <w:t>details this</w:t>
      </w:r>
      <w:r w:rsidRPr="002C1777" w:rsidR="2A8DB09C">
        <w:rPr>
          <w:rFonts w:ascii="Arial" w:hAnsi="Arial" w:cs="Arial"/>
        </w:rPr>
        <w:t xml:space="preserve"> </w:t>
      </w:r>
      <w:r w:rsidRPr="002C1777" w:rsidR="2A8DB09C">
        <w:rPr>
          <w:rFonts w:ascii="Arial" w:hAnsi="Arial" w:eastAsia="Arial" w:cs="Arial"/>
        </w:rPr>
        <w:t>outpouring of community-led support</w:t>
      </w:r>
      <w:r w:rsidRPr="002C1777" w:rsidR="6350318B">
        <w:rPr>
          <w:rFonts w:ascii="Arial" w:hAnsi="Arial" w:eastAsia="Arial" w:cs="Arial"/>
        </w:rPr>
        <w:t>.</w:t>
      </w:r>
      <w:r w:rsidRPr="002C1777" w:rsidR="2A8DB09C">
        <w:rPr>
          <w:rFonts w:ascii="Arial" w:hAnsi="Arial" w:eastAsia="Arial" w:cs="Arial"/>
        </w:rPr>
        <w:t xml:space="preserve"> </w:t>
      </w:r>
      <w:r w:rsidRPr="002C1777">
        <w:rPr>
          <w:rFonts w:ascii="Arial" w:hAnsi="Arial" w:eastAsia="Arial" w:cs="Arial"/>
        </w:rPr>
        <w:t>Vo</w:t>
      </w:r>
      <w:r w:rsidRPr="002C1777">
        <w:rPr>
          <w:rFonts w:ascii="Arial" w:hAnsi="Arial" w:cs="Arial"/>
        </w:rPr>
        <w:t>lunteers from all walks of life stepped up to lend a hand with shopping, prescription collections, food parcel drop-offs, gas and electric tops-ups, befriending, sharing trusted guidance, and supporting people to access vaccination clinics. Much of this activity was co-ordinated at neighbourhood level via mutual aid groups and existing relationships between friends and neighbours. Communities rich in connected and cohesive relationships appeared better equipped to deal with adversity during the pandemic. ‘First responders’ were more likely to be neighbours, friends and family rather than public sector services.</w:t>
      </w:r>
    </w:p>
    <w:p w:rsidRPr="002C1777" w:rsidR="00FA7939" w:rsidP="00855C37" w:rsidRDefault="00FA7939" w14:paraId="31EFBF9B" w14:textId="75D997B4">
      <w:pPr>
        <w:rPr>
          <w:rFonts w:ascii="Arial" w:hAnsi="Arial" w:cs="Arial"/>
        </w:rPr>
      </w:pPr>
      <w:r w:rsidRPr="002C1777">
        <w:rPr>
          <w:rFonts w:ascii="Arial" w:hAnsi="Arial" w:cs="Arial"/>
        </w:rPr>
        <w:t>Across the North of Tyne</w:t>
      </w:r>
      <w:r w:rsidRPr="002C1777" w:rsidR="003F0BA3">
        <w:rPr>
          <w:rFonts w:ascii="Arial" w:hAnsi="Arial" w:cs="Arial"/>
        </w:rPr>
        <w:t xml:space="preserve"> area</w:t>
      </w:r>
      <w:r w:rsidRPr="002C1777">
        <w:rPr>
          <w:rFonts w:ascii="Arial" w:hAnsi="Arial" w:cs="Arial"/>
        </w:rPr>
        <w:t xml:space="preserve"> we saw some innovations in volunteering and social action that were essential to me</w:t>
      </w:r>
      <w:r w:rsidRPr="002C1777" w:rsidR="009A20BF">
        <w:rPr>
          <w:rFonts w:ascii="Arial" w:hAnsi="Arial" w:cs="Arial"/>
        </w:rPr>
        <w:t>e</w:t>
      </w:r>
      <w:r w:rsidRPr="002C1777">
        <w:rPr>
          <w:rFonts w:ascii="Arial" w:hAnsi="Arial" w:cs="Arial"/>
        </w:rPr>
        <w:t>ting the sheer scale of demand. This included:</w:t>
      </w:r>
    </w:p>
    <w:p w:rsidRPr="002C1777" w:rsidR="00B47225" w:rsidRDefault="00CC7E5A" w14:paraId="1F07988C" w14:textId="03AF4A86">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m</w:t>
      </w:r>
      <w:r w:rsidRPr="002C1777" w:rsidR="00375E25">
        <w:rPr>
          <w:rFonts w:ascii="Arial" w:hAnsi="Arial" w:eastAsia="Arial" w:cs="Arial"/>
        </w:rPr>
        <w:t>ore</w:t>
      </w:r>
      <w:r w:rsidRPr="002C1777" w:rsidR="00FA7939">
        <w:rPr>
          <w:rFonts w:ascii="Arial" w:hAnsi="Arial" w:eastAsia="Arial" w:cs="Arial"/>
        </w:rPr>
        <w:t xml:space="preserve"> people able to </w:t>
      </w:r>
      <w:r w:rsidRPr="002C1777" w:rsidR="0037522B">
        <w:rPr>
          <w:rFonts w:ascii="Arial" w:hAnsi="Arial" w:eastAsia="Arial" w:cs="Arial"/>
        </w:rPr>
        <w:t>accommodate volunteering as part of their working day</w:t>
      </w:r>
      <w:r w:rsidRPr="002C1777" w:rsidR="009A20BF">
        <w:rPr>
          <w:rFonts w:ascii="Arial" w:hAnsi="Arial" w:eastAsia="Arial" w:cs="Arial"/>
        </w:rPr>
        <w:t xml:space="preserve"> </w:t>
      </w:r>
      <w:r w:rsidRPr="002C1777" w:rsidR="0037522B">
        <w:rPr>
          <w:rFonts w:ascii="Arial" w:hAnsi="Arial" w:eastAsia="Arial" w:cs="Arial"/>
        </w:rPr>
        <w:t>thanks to more flexible working arrangements</w:t>
      </w:r>
      <w:r w:rsidRPr="002C1777" w:rsidR="009A20BF">
        <w:rPr>
          <w:rFonts w:ascii="Arial" w:hAnsi="Arial" w:eastAsia="Arial" w:cs="Arial"/>
        </w:rPr>
        <w:t>, with v</w:t>
      </w:r>
      <w:r w:rsidRPr="002C1777" w:rsidR="007B5A0F">
        <w:rPr>
          <w:rFonts w:ascii="Arial" w:hAnsi="Arial" w:eastAsia="Arial" w:cs="Arial"/>
        </w:rPr>
        <w:t>olunteering offer</w:t>
      </w:r>
      <w:r w:rsidRPr="002C1777" w:rsidR="00FE48EF">
        <w:rPr>
          <w:rFonts w:ascii="Arial" w:hAnsi="Arial" w:eastAsia="Arial" w:cs="Arial"/>
        </w:rPr>
        <w:t>ing</w:t>
      </w:r>
      <w:r w:rsidRPr="002C1777" w:rsidR="007B5A0F">
        <w:rPr>
          <w:rFonts w:ascii="Arial" w:hAnsi="Arial" w:eastAsia="Arial" w:cs="Arial"/>
        </w:rPr>
        <w:t xml:space="preserve"> a welcome </w:t>
      </w:r>
      <w:r w:rsidRPr="002C1777" w:rsidR="00386E2B">
        <w:rPr>
          <w:rFonts w:ascii="Arial" w:hAnsi="Arial" w:eastAsia="Arial" w:cs="Arial"/>
        </w:rPr>
        <w:t>relief</w:t>
      </w:r>
      <w:r w:rsidRPr="002C1777" w:rsidR="007B5A0F">
        <w:rPr>
          <w:rFonts w:ascii="Arial" w:hAnsi="Arial" w:eastAsia="Arial" w:cs="Arial"/>
        </w:rPr>
        <w:t xml:space="preserve"> to the isolation of </w:t>
      </w:r>
      <w:r w:rsidRPr="002C1777" w:rsidR="00EC2B56">
        <w:rPr>
          <w:rFonts w:ascii="Arial" w:hAnsi="Arial" w:eastAsia="Arial" w:cs="Arial"/>
        </w:rPr>
        <w:t xml:space="preserve">home </w:t>
      </w:r>
      <w:r w:rsidRPr="002C1777" w:rsidR="007B5A0F">
        <w:rPr>
          <w:rFonts w:ascii="Arial" w:hAnsi="Arial" w:eastAsia="Arial" w:cs="Arial"/>
        </w:rPr>
        <w:t>working</w:t>
      </w:r>
      <w:r w:rsidRPr="002C1777" w:rsidR="00386E2B">
        <w:rPr>
          <w:rFonts w:ascii="Arial" w:hAnsi="Arial" w:eastAsia="Arial" w:cs="Arial"/>
        </w:rPr>
        <w:t>;</w:t>
      </w:r>
    </w:p>
    <w:p w:rsidRPr="002C1777" w:rsidR="00FE48EF" w:rsidRDefault="00386E2B" w14:paraId="0150C378" w14:textId="76CAA6A1">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i</w:t>
      </w:r>
      <w:r w:rsidRPr="002C1777" w:rsidR="00FE48EF">
        <w:rPr>
          <w:rFonts w:ascii="Arial" w:hAnsi="Arial" w:eastAsia="Arial" w:cs="Arial"/>
        </w:rPr>
        <w:t xml:space="preserve">ncreased numbers of local businesses keen to join the volunteering effort </w:t>
      </w:r>
      <w:r w:rsidRPr="002C1777" w:rsidR="00992281">
        <w:rPr>
          <w:rFonts w:ascii="Arial" w:hAnsi="Arial" w:eastAsia="Arial" w:cs="Arial"/>
        </w:rPr>
        <w:t xml:space="preserve">motivated by a </w:t>
      </w:r>
      <w:r w:rsidRPr="002C1777" w:rsidR="00EC2B56">
        <w:rPr>
          <w:rFonts w:ascii="Arial" w:hAnsi="Arial" w:eastAsia="Arial" w:cs="Arial"/>
        </w:rPr>
        <w:t xml:space="preserve">real </w:t>
      </w:r>
      <w:r w:rsidRPr="002C1777" w:rsidR="00992281">
        <w:rPr>
          <w:rFonts w:ascii="Arial" w:hAnsi="Arial" w:eastAsia="Arial" w:cs="Arial"/>
        </w:rPr>
        <w:t>desire to</w:t>
      </w:r>
      <w:r w:rsidRPr="002C1777" w:rsidR="00FE48EF">
        <w:rPr>
          <w:rFonts w:ascii="Arial" w:hAnsi="Arial" w:eastAsia="Arial" w:cs="Arial"/>
        </w:rPr>
        <w:t xml:space="preserve"> support their local communities</w:t>
      </w:r>
      <w:r w:rsidRPr="002C1777" w:rsidR="00EC2B56">
        <w:rPr>
          <w:rFonts w:ascii="Arial" w:hAnsi="Arial" w:eastAsia="Arial" w:cs="Arial"/>
        </w:rPr>
        <w:t>, rather</w:t>
      </w:r>
      <w:r w:rsidRPr="002C1777" w:rsidR="00992281">
        <w:rPr>
          <w:rFonts w:ascii="Arial" w:hAnsi="Arial" w:eastAsia="Arial" w:cs="Arial"/>
        </w:rPr>
        <w:t xml:space="preserve"> than a need to meet CSR targets and</w:t>
      </w:r>
      <w:r w:rsidRPr="002C1777" w:rsidR="003575D7">
        <w:rPr>
          <w:rFonts w:ascii="Arial" w:hAnsi="Arial" w:eastAsia="Arial" w:cs="Arial"/>
        </w:rPr>
        <w:t>/or</w:t>
      </w:r>
      <w:r w:rsidRPr="002C1777" w:rsidR="00992281">
        <w:rPr>
          <w:rFonts w:ascii="Arial" w:hAnsi="Arial" w:eastAsia="Arial" w:cs="Arial"/>
        </w:rPr>
        <w:t xml:space="preserve"> deliver cost-free team building events</w:t>
      </w:r>
      <w:r w:rsidRPr="002C1777">
        <w:rPr>
          <w:rFonts w:ascii="Arial" w:hAnsi="Arial" w:eastAsia="Arial" w:cs="Arial"/>
        </w:rPr>
        <w:t>;</w:t>
      </w:r>
    </w:p>
    <w:p w:rsidRPr="002C1777" w:rsidR="00254391" w:rsidRDefault="0094697E" w14:paraId="1F6ABE5C" w14:textId="377E3D7F">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the e</w:t>
      </w:r>
      <w:r w:rsidRPr="002C1777" w:rsidR="006531DF">
        <w:rPr>
          <w:rFonts w:ascii="Arial" w:hAnsi="Arial" w:eastAsia="Arial" w:cs="Arial"/>
        </w:rPr>
        <w:t>mergence of</w:t>
      </w:r>
      <w:r w:rsidRPr="002C1777" w:rsidR="00254391">
        <w:rPr>
          <w:rFonts w:ascii="Arial" w:hAnsi="Arial" w:eastAsia="Arial" w:cs="Arial"/>
        </w:rPr>
        <w:t xml:space="preserve"> </w:t>
      </w:r>
      <w:r w:rsidRPr="002C1777">
        <w:rPr>
          <w:rFonts w:ascii="Arial" w:hAnsi="Arial" w:eastAsia="Arial" w:cs="Arial"/>
        </w:rPr>
        <w:t xml:space="preserve">more </w:t>
      </w:r>
      <w:r w:rsidRPr="002C1777" w:rsidR="00254391">
        <w:rPr>
          <w:rFonts w:ascii="Arial" w:hAnsi="Arial" w:eastAsia="Arial" w:cs="Arial"/>
        </w:rPr>
        <w:t>flexible volunteering roles not requir</w:t>
      </w:r>
      <w:r w:rsidRPr="002C1777" w:rsidR="00FB6CE3">
        <w:rPr>
          <w:rFonts w:ascii="Arial" w:hAnsi="Arial" w:eastAsia="Arial" w:cs="Arial"/>
        </w:rPr>
        <w:t>ing</w:t>
      </w:r>
      <w:r w:rsidRPr="002C1777" w:rsidR="00254391">
        <w:rPr>
          <w:rFonts w:ascii="Arial" w:hAnsi="Arial" w:eastAsia="Arial" w:cs="Arial"/>
        </w:rPr>
        <w:t xml:space="preserve"> long-term or regular commitments, providing </w:t>
      </w:r>
      <w:r w:rsidRPr="002C1777" w:rsidR="000E0B86">
        <w:rPr>
          <w:rFonts w:ascii="Arial" w:hAnsi="Arial" w:eastAsia="Arial" w:cs="Arial"/>
        </w:rPr>
        <w:t xml:space="preserve">easier </w:t>
      </w:r>
      <w:r w:rsidRPr="002C1777" w:rsidR="00254391">
        <w:rPr>
          <w:rFonts w:ascii="Arial" w:hAnsi="Arial" w:eastAsia="Arial" w:cs="Arial"/>
        </w:rPr>
        <w:t>a</w:t>
      </w:r>
      <w:r w:rsidRPr="002C1777" w:rsidR="00FB6CE3">
        <w:rPr>
          <w:rFonts w:ascii="Arial" w:hAnsi="Arial" w:eastAsia="Arial" w:cs="Arial"/>
        </w:rPr>
        <w:t>ccess for parents, employees, students, etc</w:t>
      </w:r>
      <w:r w:rsidRPr="002C1777">
        <w:rPr>
          <w:rFonts w:ascii="Arial" w:hAnsi="Arial" w:eastAsia="Arial" w:cs="Arial"/>
        </w:rPr>
        <w:t>;</w:t>
      </w:r>
      <w:r w:rsidRPr="002C1777" w:rsidR="00254391">
        <w:rPr>
          <w:rFonts w:ascii="Arial" w:hAnsi="Arial" w:eastAsia="Arial" w:cs="Arial"/>
        </w:rPr>
        <w:t xml:space="preserve"> </w:t>
      </w:r>
    </w:p>
    <w:p w:rsidRPr="002C1777" w:rsidR="00FA7939" w:rsidRDefault="0094697E" w14:paraId="5BBAA5CB" w14:textId="33A6E3A3">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i</w:t>
      </w:r>
      <w:r w:rsidRPr="002C1777" w:rsidR="00FA7939">
        <w:rPr>
          <w:rFonts w:ascii="Arial" w:hAnsi="Arial" w:eastAsia="Arial" w:cs="Arial"/>
        </w:rPr>
        <w:t xml:space="preserve">ncreased use of digital tools to </w:t>
      </w:r>
      <w:r w:rsidRPr="002C1777" w:rsidR="00E82FDD">
        <w:rPr>
          <w:rFonts w:ascii="Arial" w:hAnsi="Arial" w:eastAsia="Arial" w:cs="Arial"/>
        </w:rPr>
        <w:t xml:space="preserve">more </w:t>
      </w:r>
      <w:r w:rsidRPr="002C1777" w:rsidR="000E0B86">
        <w:rPr>
          <w:rFonts w:ascii="Arial" w:hAnsi="Arial" w:eastAsia="Arial" w:cs="Arial"/>
        </w:rPr>
        <w:t>eff</w:t>
      </w:r>
      <w:r w:rsidRPr="002C1777" w:rsidR="00E82FDD">
        <w:rPr>
          <w:rFonts w:ascii="Arial" w:hAnsi="Arial" w:eastAsia="Arial" w:cs="Arial"/>
        </w:rPr>
        <w:t>iciently</w:t>
      </w:r>
      <w:r w:rsidRPr="002C1777" w:rsidR="000E0B86">
        <w:rPr>
          <w:rFonts w:ascii="Arial" w:hAnsi="Arial" w:eastAsia="Arial" w:cs="Arial"/>
        </w:rPr>
        <w:t xml:space="preserve"> </w:t>
      </w:r>
      <w:r w:rsidRPr="002C1777" w:rsidR="00FA7939">
        <w:rPr>
          <w:rFonts w:ascii="Arial" w:hAnsi="Arial" w:eastAsia="Arial" w:cs="Arial"/>
        </w:rPr>
        <w:t>recruit and co-ordinate volunteering activity</w:t>
      </w:r>
      <w:r w:rsidRPr="002C1777" w:rsidR="007B5A0F">
        <w:rPr>
          <w:rFonts w:ascii="Arial" w:hAnsi="Arial" w:eastAsia="Arial" w:cs="Arial"/>
        </w:rPr>
        <w:t>.</w:t>
      </w:r>
    </w:p>
    <w:p w:rsidRPr="002C1777" w:rsidR="002901C9" w:rsidP="00AA4FC3" w:rsidRDefault="000E0B86" w14:paraId="2AADCA01" w14:textId="7B5BCA65">
      <w:pPr>
        <w:rPr>
          <w:rFonts w:ascii="Arial" w:hAnsi="Arial" w:cs="Arial"/>
        </w:rPr>
      </w:pPr>
      <w:r w:rsidRPr="002C1777">
        <w:rPr>
          <w:rFonts w:ascii="Arial" w:hAnsi="Arial" w:cs="Arial"/>
        </w:rPr>
        <w:t xml:space="preserve">UKSPF investment </w:t>
      </w:r>
      <w:r w:rsidRPr="002C1777" w:rsidR="002748E7">
        <w:rPr>
          <w:rFonts w:ascii="Arial" w:hAnsi="Arial" w:cs="Arial"/>
        </w:rPr>
        <w:t>provides</w:t>
      </w:r>
      <w:r w:rsidRPr="002C1777" w:rsidR="00AF1F01">
        <w:rPr>
          <w:rFonts w:ascii="Arial" w:hAnsi="Arial" w:cs="Arial"/>
        </w:rPr>
        <w:t xml:space="preserve"> an opportunity to </w:t>
      </w:r>
      <w:r w:rsidRPr="002C1777" w:rsidR="003E2B44">
        <w:rPr>
          <w:rFonts w:ascii="Arial" w:hAnsi="Arial" w:cs="Arial"/>
        </w:rPr>
        <w:t>build a positive Covid legacy by sustaining the amazing volunteering and social action we witnessed during the pandemic</w:t>
      </w:r>
      <w:r w:rsidRPr="002C1777" w:rsidR="00C02246">
        <w:rPr>
          <w:rFonts w:ascii="Arial" w:hAnsi="Arial" w:cs="Arial"/>
        </w:rPr>
        <w:t xml:space="preserve"> to not only support communities in the face of future challenges, but also support them to be able to take fu</w:t>
      </w:r>
      <w:r w:rsidRPr="002C1777" w:rsidR="00B47225">
        <w:rPr>
          <w:rFonts w:ascii="Arial" w:hAnsi="Arial" w:cs="Arial"/>
        </w:rPr>
        <w:t>l</w:t>
      </w:r>
      <w:r w:rsidRPr="002C1777" w:rsidR="00C02246">
        <w:rPr>
          <w:rFonts w:ascii="Arial" w:hAnsi="Arial" w:cs="Arial"/>
        </w:rPr>
        <w:t>l advant</w:t>
      </w:r>
      <w:r w:rsidRPr="002C1777" w:rsidR="00B47225">
        <w:rPr>
          <w:rFonts w:ascii="Arial" w:hAnsi="Arial" w:cs="Arial"/>
        </w:rPr>
        <w:t>a</w:t>
      </w:r>
      <w:r w:rsidRPr="002C1777" w:rsidR="00C02246">
        <w:rPr>
          <w:rFonts w:ascii="Arial" w:hAnsi="Arial" w:cs="Arial"/>
        </w:rPr>
        <w:t>ge of economic opportunities across the North of Tyne.</w:t>
      </w:r>
    </w:p>
    <w:p w:rsidRPr="002C1777" w:rsidR="00146B9F" w:rsidP="00146B9F" w:rsidRDefault="003F0BA3" w14:paraId="7C54FE6E" w14:textId="56E2757A">
      <w:pPr>
        <w:spacing w:after="120" w:line="240" w:lineRule="auto"/>
        <w:rPr>
          <w:rFonts w:ascii="Arial" w:hAnsi="Arial" w:cs="Arial"/>
          <w:b/>
          <w:bCs/>
        </w:rPr>
      </w:pPr>
      <w:r w:rsidRPr="002C1777">
        <w:rPr>
          <w:rFonts w:ascii="Arial" w:hAnsi="Arial" w:cs="Arial"/>
          <w:b/>
          <w:bCs/>
        </w:rPr>
        <w:t xml:space="preserve">4.3 </w:t>
      </w:r>
      <w:r w:rsidRPr="002C1777" w:rsidR="00146B9F">
        <w:rPr>
          <w:rFonts w:ascii="Arial" w:hAnsi="Arial" w:cs="Arial"/>
          <w:b/>
          <w:bCs/>
        </w:rPr>
        <w:t xml:space="preserve">Existing </w:t>
      </w:r>
      <w:r w:rsidRPr="002C1777">
        <w:rPr>
          <w:rFonts w:ascii="Arial" w:hAnsi="Arial" w:cs="Arial"/>
          <w:b/>
          <w:bCs/>
        </w:rPr>
        <w:t>s</w:t>
      </w:r>
      <w:r w:rsidRPr="002C1777" w:rsidR="00146B9F">
        <w:rPr>
          <w:rFonts w:ascii="Arial" w:hAnsi="Arial" w:cs="Arial"/>
          <w:b/>
          <w:bCs/>
        </w:rPr>
        <w:t xml:space="preserve">upport for </w:t>
      </w:r>
      <w:r w:rsidRPr="002C1777">
        <w:rPr>
          <w:rFonts w:ascii="Arial" w:hAnsi="Arial" w:cs="Arial"/>
          <w:b/>
          <w:bCs/>
        </w:rPr>
        <w:t>v</w:t>
      </w:r>
      <w:r w:rsidRPr="002C1777" w:rsidR="00146B9F">
        <w:rPr>
          <w:rFonts w:ascii="Arial" w:hAnsi="Arial" w:cs="Arial"/>
          <w:b/>
          <w:bCs/>
        </w:rPr>
        <w:t xml:space="preserve">olunteering and </w:t>
      </w:r>
      <w:r w:rsidRPr="002C1777">
        <w:rPr>
          <w:rFonts w:ascii="Arial" w:hAnsi="Arial" w:cs="Arial"/>
          <w:b/>
          <w:bCs/>
        </w:rPr>
        <w:t>s</w:t>
      </w:r>
      <w:r w:rsidRPr="002C1777" w:rsidR="00146B9F">
        <w:rPr>
          <w:rFonts w:ascii="Arial" w:hAnsi="Arial" w:cs="Arial"/>
          <w:b/>
          <w:bCs/>
        </w:rPr>
        <w:t xml:space="preserve">ocial </w:t>
      </w:r>
      <w:r w:rsidRPr="002C1777">
        <w:rPr>
          <w:rFonts w:ascii="Arial" w:hAnsi="Arial" w:cs="Arial"/>
          <w:b/>
          <w:bCs/>
        </w:rPr>
        <w:t>a</w:t>
      </w:r>
      <w:r w:rsidRPr="002C1777" w:rsidR="00146B9F">
        <w:rPr>
          <w:rFonts w:ascii="Arial" w:hAnsi="Arial" w:cs="Arial"/>
          <w:b/>
          <w:bCs/>
        </w:rPr>
        <w:t>ction</w:t>
      </w:r>
    </w:p>
    <w:p w:rsidRPr="002C1777" w:rsidR="00947F03" w:rsidP="6EBABBDB" w:rsidRDefault="00146B9F" w14:paraId="7F60D63D" w14:textId="1142BC50">
      <w:pPr>
        <w:autoSpaceDE w:val="0"/>
        <w:autoSpaceDN w:val="0"/>
        <w:adjustRightInd w:val="0"/>
        <w:spacing w:after="120" w:line="240" w:lineRule="auto"/>
        <w:rPr>
          <w:rFonts w:ascii="Arial" w:hAnsi="Arial" w:cs="Arial"/>
        </w:rPr>
      </w:pPr>
      <w:r w:rsidRPr="002C1777">
        <w:rPr>
          <w:rFonts w:ascii="Arial" w:hAnsi="Arial" w:cs="Arial"/>
        </w:rPr>
        <w:t>In 2021 the National Lottery Community Fund invested i</w:t>
      </w:r>
      <w:r w:rsidRPr="002C1777" w:rsidR="00E5499C">
        <w:rPr>
          <w:rFonts w:ascii="Arial" w:hAnsi="Arial" w:cs="Arial"/>
        </w:rPr>
        <w:t xml:space="preserve">n three VCSE </w:t>
      </w:r>
      <w:r w:rsidR="007E5850">
        <w:rPr>
          <w:rFonts w:ascii="Arial" w:hAnsi="Arial" w:cs="Arial"/>
        </w:rPr>
        <w:t xml:space="preserve">sector </w:t>
      </w:r>
      <w:r w:rsidRPr="002C1777" w:rsidR="00E5499C">
        <w:rPr>
          <w:rFonts w:ascii="Arial" w:hAnsi="Arial" w:cs="Arial"/>
        </w:rPr>
        <w:t>Local Infrastructure Organisations in the North of Tyne</w:t>
      </w:r>
      <w:r w:rsidRPr="002C1777" w:rsidR="00897A55">
        <w:rPr>
          <w:rFonts w:ascii="Arial" w:hAnsi="Arial" w:cs="Arial"/>
        </w:rPr>
        <w:t xml:space="preserve"> area</w:t>
      </w:r>
      <w:r w:rsidRPr="002C1777" w:rsidR="00E5499C">
        <w:rPr>
          <w:rFonts w:ascii="Arial" w:hAnsi="Arial" w:cs="Arial"/>
        </w:rPr>
        <w:t xml:space="preserve"> to develop a </w:t>
      </w:r>
      <w:r w:rsidRPr="002C1777" w:rsidR="002F64A9">
        <w:rPr>
          <w:rFonts w:ascii="Arial" w:hAnsi="Arial" w:cs="Arial"/>
        </w:rPr>
        <w:t>North of Tyne Volunteering</w:t>
      </w:r>
      <w:r w:rsidRPr="002C1777" w:rsidR="00E5499C">
        <w:rPr>
          <w:rFonts w:ascii="Arial" w:hAnsi="Arial" w:cs="Arial"/>
        </w:rPr>
        <w:t xml:space="preserve"> </w:t>
      </w:r>
      <w:r w:rsidRPr="002C1777" w:rsidR="00CD63BE">
        <w:rPr>
          <w:rFonts w:ascii="Arial" w:hAnsi="Arial" w:cs="Arial"/>
        </w:rPr>
        <w:t>P</w:t>
      </w:r>
      <w:r w:rsidRPr="002C1777" w:rsidR="00E5499C">
        <w:rPr>
          <w:rFonts w:ascii="Arial" w:hAnsi="Arial" w:cs="Arial"/>
        </w:rPr>
        <w:t>artnership</w:t>
      </w:r>
      <w:r w:rsidRPr="002C1777" w:rsidR="00C769F5">
        <w:rPr>
          <w:rFonts w:ascii="Arial" w:hAnsi="Arial" w:cs="Arial"/>
        </w:rPr>
        <w:t>. The Partnership</w:t>
      </w:r>
      <w:r w:rsidRPr="002C1777" w:rsidR="00E5499C">
        <w:rPr>
          <w:rFonts w:ascii="Arial" w:hAnsi="Arial" w:cs="Arial"/>
        </w:rPr>
        <w:t xml:space="preserve"> work</w:t>
      </w:r>
      <w:r w:rsidRPr="002C1777" w:rsidR="00C769F5">
        <w:rPr>
          <w:rFonts w:ascii="Arial" w:hAnsi="Arial" w:cs="Arial"/>
        </w:rPr>
        <w:t>s</w:t>
      </w:r>
      <w:r w:rsidRPr="002C1777" w:rsidR="00E5499C">
        <w:rPr>
          <w:rFonts w:ascii="Arial" w:hAnsi="Arial" w:cs="Arial"/>
        </w:rPr>
        <w:t xml:space="preserve"> with key</w:t>
      </w:r>
      <w:r w:rsidRPr="002C1777" w:rsidR="002F64A9">
        <w:rPr>
          <w:rFonts w:ascii="Arial" w:hAnsi="Arial" w:cs="Arial"/>
        </w:rPr>
        <w:t xml:space="preserve"> </w:t>
      </w:r>
      <w:r w:rsidRPr="002C1777" w:rsidR="00E5499C">
        <w:rPr>
          <w:rFonts w:ascii="Arial" w:hAnsi="Arial" w:cs="Arial"/>
        </w:rPr>
        <w:t xml:space="preserve">organisations committed to establishing a volunteering area of excellence across the </w:t>
      </w:r>
      <w:r w:rsidRPr="002C1777" w:rsidR="00E866B7">
        <w:rPr>
          <w:rFonts w:ascii="Arial" w:hAnsi="Arial" w:cs="Arial"/>
        </w:rPr>
        <w:t>Combined Authority</w:t>
      </w:r>
      <w:r w:rsidRPr="002C1777" w:rsidR="00E5499C">
        <w:rPr>
          <w:rFonts w:ascii="Arial" w:hAnsi="Arial" w:cs="Arial"/>
        </w:rPr>
        <w:t xml:space="preserve"> supporting formal and informal volunteering.</w:t>
      </w:r>
      <w:r w:rsidRPr="002C1777" w:rsidR="00947F03">
        <w:rPr>
          <w:rFonts w:ascii="Arial" w:hAnsi="Arial" w:cs="Arial"/>
        </w:rPr>
        <w:t xml:space="preserve"> This </w:t>
      </w:r>
      <w:r w:rsidRPr="002C1777" w:rsidR="00785E36">
        <w:rPr>
          <w:rFonts w:ascii="Arial" w:hAnsi="Arial" w:cs="Arial"/>
        </w:rPr>
        <w:t>P</w:t>
      </w:r>
      <w:r w:rsidRPr="002C1777" w:rsidR="00947F03">
        <w:rPr>
          <w:rFonts w:ascii="Arial" w:hAnsi="Arial" w:cs="Arial"/>
        </w:rPr>
        <w:t>artnership has since grown to also include Volunteer Centre Newcastle</w:t>
      </w:r>
      <w:r w:rsidRPr="002C1777" w:rsidR="00A47A09">
        <w:rPr>
          <w:rFonts w:ascii="Arial" w:hAnsi="Arial" w:cs="Arial"/>
        </w:rPr>
        <w:t xml:space="preserve"> in addition to the founder members of Connected Voice, Northumberland</w:t>
      </w:r>
      <w:r w:rsidRPr="002C1777" w:rsidR="09F76FEA">
        <w:rPr>
          <w:rFonts w:ascii="Arial" w:hAnsi="Arial" w:cs="Arial"/>
        </w:rPr>
        <w:t xml:space="preserve"> Community and Voluntary Action</w:t>
      </w:r>
      <w:r w:rsidRPr="002C1777" w:rsidR="00A47A09">
        <w:rPr>
          <w:rFonts w:ascii="Arial" w:hAnsi="Arial" w:cs="Arial"/>
        </w:rPr>
        <w:t xml:space="preserve"> </w:t>
      </w:r>
      <w:r w:rsidRPr="002C1777" w:rsidR="00EB3521">
        <w:rPr>
          <w:rFonts w:ascii="Arial" w:hAnsi="Arial" w:cs="Arial"/>
        </w:rPr>
        <w:t>(</w:t>
      </w:r>
      <w:r w:rsidRPr="002C1777" w:rsidR="00A47A09">
        <w:rPr>
          <w:rFonts w:ascii="Arial" w:hAnsi="Arial" w:cs="Arial"/>
        </w:rPr>
        <w:t>CVA</w:t>
      </w:r>
      <w:r w:rsidRPr="002C1777" w:rsidR="00EB3521">
        <w:rPr>
          <w:rFonts w:ascii="Arial" w:hAnsi="Arial" w:cs="Arial"/>
        </w:rPr>
        <w:t>)</w:t>
      </w:r>
      <w:r w:rsidRPr="002C1777" w:rsidR="00A47A09">
        <w:rPr>
          <w:rFonts w:ascii="Arial" w:hAnsi="Arial" w:cs="Arial"/>
        </w:rPr>
        <w:t xml:space="preserve"> and </w:t>
      </w:r>
      <w:r w:rsidRPr="002C1777" w:rsidR="45702676">
        <w:rPr>
          <w:rFonts w:ascii="Arial" w:hAnsi="Arial" w:cs="Arial"/>
        </w:rPr>
        <w:t>North Tyneside Voluntary Organisations Development Agency (VODA)</w:t>
      </w:r>
      <w:r w:rsidRPr="002C1777" w:rsidR="00A47A09">
        <w:rPr>
          <w:rFonts w:ascii="Arial" w:hAnsi="Arial" w:cs="Arial"/>
        </w:rPr>
        <w:t>.</w:t>
      </w:r>
    </w:p>
    <w:p w:rsidRPr="002C1777" w:rsidR="00AD127F" w:rsidP="6EBABBDB" w:rsidRDefault="00E5499C" w14:paraId="6536E05F" w14:textId="78C64B39">
      <w:pPr>
        <w:autoSpaceDE w:val="0"/>
        <w:autoSpaceDN w:val="0"/>
        <w:adjustRightInd w:val="0"/>
        <w:spacing w:after="120" w:line="240" w:lineRule="auto"/>
        <w:rPr>
          <w:rFonts w:ascii="Arial" w:hAnsi="Arial" w:cs="Arial"/>
        </w:rPr>
      </w:pPr>
      <w:r w:rsidRPr="002C1777">
        <w:rPr>
          <w:rFonts w:ascii="Arial" w:hAnsi="Arial" w:cs="Arial"/>
        </w:rPr>
        <w:t xml:space="preserve">The </w:t>
      </w:r>
      <w:r w:rsidRPr="002C1777" w:rsidR="003E7BC6">
        <w:rPr>
          <w:rFonts w:ascii="Arial" w:hAnsi="Arial" w:cs="Arial"/>
        </w:rPr>
        <w:t xml:space="preserve">Partnership </w:t>
      </w:r>
      <w:r w:rsidRPr="002C1777" w:rsidR="00F60B1A">
        <w:rPr>
          <w:rFonts w:ascii="Arial" w:hAnsi="Arial" w:cs="Arial"/>
        </w:rPr>
        <w:t xml:space="preserve">has </w:t>
      </w:r>
      <w:r w:rsidRPr="002C1777">
        <w:rPr>
          <w:rFonts w:ascii="Arial" w:hAnsi="Arial" w:cs="Arial"/>
        </w:rPr>
        <w:t>facilitate</w:t>
      </w:r>
      <w:r w:rsidRPr="002C1777" w:rsidR="00D24161">
        <w:rPr>
          <w:rFonts w:ascii="Arial" w:hAnsi="Arial" w:cs="Arial"/>
        </w:rPr>
        <w:t>d</w:t>
      </w:r>
      <w:r w:rsidRPr="002C1777">
        <w:rPr>
          <w:rFonts w:ascii="Arial" w:hAnsi="Arial" w:cs="Arial"/>
        </w:rPr>
        <w:t xml:space="preserve"> </w:t>
      </w:r>
      <w:r w:rsidRPr="002C1777" w:rsidR="00D24161">
        <w:rPr>
          <w:rFonts w:ascii="Arial" w:hAnsi="Arial" w:cs="Arial"/>
        </w:rPr>
        <w:t xml:space="preserve">a </w:t>
      </w:r>
      <w:r w:rsidRPr="002C1777" w:rsidR="00F60B1A">
        <w:rPr>
          <w:rFonts w:ascii="Arial" w:hAnsi="Arial" w:cs="Arial"/>
        </w:rPr>
        <w:t>range of consultation activity with volunteer</w:t>
      </w:r>
      <w:r w:rsidRPr="002C1777" w:rsidR="004D0E90">
        <w:rPr>
          <w:rFonts w:ascii="Arial" w:hAnsi="Arial" w:cs="Arial"/>
        </w:rPr>
        <w:t>-</w:t>
      </w:r>
      <w:r w:rsidRPr="002C1777" w:rsidR="00F60B1A">
        <w:rPr>
          <w:rFonts w:ascii="Arial" w:hAnsi="Arial" w:cs="Arial"/>
        </w:rPr>
        <w:t xml:space="preserve">involving organisations to share </w:t>
      </w:r>
      <w:r w:rsidRPr="002C1777" w:rsidR="003F0BA3">
        <w:rPr>
          <w:rFonts w:ascii="Arial" w:hAnsi="Arial" w:cs="Arial"/>
        </w:rPr>
        <w:t>good</w:t>
      </w:r>
      <w:r w:rsidRPr="002C1777" w:rsidR="00F60B1A">
        <w:rPr>
          <w:rFonts w:ascii="Arial" w:hAnsi="Arial" w:cs="Arial"/>
        </w:rPr>
        <w:t xml:space="preserve"> practice and identify areas for further development. </w:t>
      </w:r>
      <w:r w:rsidRPr="002C1777" w:rsidR="00423F66">
        <w:rPr>
          <w:rFonts w:ascii="Arial" w:hAnsi="Arial" w:cs="Arial"/>
        </w:rPr>
        <w:t>The p</w:t>
      </w:r>
      <w:r w:rsidRPr="002C1777" w:rsidR="00D60A0D">
        <w:rPr>
          <w:rFonts w:ascii="Arial" w:hAnsi="Arial" w:cs="Arial"/>
        </w:rPr>
        <w:t xml:space="preserve">rogramme of research </w:t>
      </w:r>
      <w:r w:rsidRPr="002C1777" w:rsidR="00423F66">
        <w:rPr>
          <w:rFonts w:ascii="Arial" w:hAnsi="Arial" w:cs="Arial"/>
        </w:rPr>
        <w:t xml:space="preserve">also </w:t>
      </w:r>
      <w:r w:rsidRPr="002C1777" w:rsidR="00D60A0D">
        <w:rPr>
          <w:rFonts w:ascii="Arial" w:hAnsi="Arial" w:cs="Arial"/>
        </w:rPr>
        <w:t>focus</w:t>
      </w:r>
      <w:r w:rsidRPr="002C1777" w:rsidR="00423F66">
        <w:rPr>
          <w:rFonts w:ascii="Arial" w:hAnsi="Arial" w:cs="Arial"/>
        </w:rPr>
        <w:t xml:space="preserve">sed </w:t>
      </w:r>
      <w:r w:rsidRPr="002C1777" w:rsidR="00D60A0D">
        <w:rPr>
          <w:rFonts w:ascii="Arial" w:hAnsi="Arial" w:cs="Arial"/>
        </w:rPr>
        <w:t>on perceived barriers both</w:t>
      </w:r>
      <w:r w:rsidRPr="002C1777" w:rsidR="00423F66">
        <w:rPr>
          <w:rFonts w:ascii="Arial" w:hAnsi="Arial" w:cs="Arial"/>
        </w:rPr>
        <w:t xml:space="preserve"> </w:t>
      </w:r>
      <w:r w:rsidRPr="002C1777" w:rsidR="00D60A0D">
        <w:rPr>
          <w:rFonts w:ascii="Arial" w:hAnsi="Arial" w:cs="Arial"/>
        </w:rPr>
        <w:t>to being a volunteer and</w:t>
      </w:r>
      <w:r w:rsidRPr="002C1777" w:rsidR="00423F66">
        <w:rPr>
          <w:rFonts w:ascii="Arial" w:hAnsi="Arial" w:cs="Arial"/>
        </w:rPr>
        <w:t xml:space="preserve"> </w:t>
      </w:r>
      <w:r w:rsidRPr="002C1777" w:rsidR="00D60A0D">
        <w:rPr>
          <w:rFonts w:ascii="Arial" w:hAnsi="Arial" w:cs="Arial"/>
        </w:rPr>
        <w:t>involving volunteer</w:t>
      </w:r>
      <w:r w:rsidRPr="002C1777" w:rsidR="006408C8">
        <w:rPr>
          <w:rFonts w:ascii="Arial" w:hAnsi="Arial" w:cs="Arial"/>
        </w:rPr>
        <w:t>s</w:t>
      </w:r>
      <w:r w:rsidRPr="002C1777" w:rsidR="00D60A0D">
        <w:rPr>
          <w:rFonts w:ascii="Arial" w:hAnsi="Arial" w:cs="Arial"/>
        </w:rPr>
        <w:t xml:space="preserve"> in</w:t>
      </w:r>
      <w:r w:rsidRPr="002C1777" w:rsidR="00423F66">
        <w:rPr>
          <w:rFonts w:ascii="Arial" w:hAnsi="Arial" w:cs="Arial"/>
        </w:rPr>
        <w:t xml:space="preserve"> </w:t>
      </w:r>
      <w:r w:rsidRPr="002C1777" w:rsidR="00D60A0D">
        <w:rPr>
          <w:rFonts w:ascii="Arial" w:hAnsi="Arial" w:cs="Arial"/>
        </w:rPr>
        <w:t>an organisation.</w:t>
      </w:r>
      <w:r w:rsidRPr="002C1777" w:rsidR="004D0E90">
        <w:rPr>
          <w:rFonts w:ascii="Arial" w:hAnsi="Arial" w:cs="Arial"/>
        </w:rPr>
        <w:t xml:space="preserve"> As a result of this consultation the </w:t>
      </w:r>
      <w:r w:rsidRPr="002C1777" w:rsidR="00024677">
        <w:rPr>
          <w:rFonts w:ascii="Arial" w:hAnsi="Arial" w:cs="Arial"/>
        </w:rPr>
        <w:t>P</w:t>
      </w:r>
      <w:r w:rsidRPr="002C1777" w:rsidR="004D0E90">
        <w:rPr>
          <w:rFonts w:ascii="Arial" w:hAnsi="Arial" w:cs="Arial"/>
        </w:rPr>
        <w:t xml:space="preserve">artnership </w:t>
      </w:r>
      <w:r w:rsidRPr="002C1777" w:rsidR="006408C8">
        <w:rPr>
          <w:rFonts w:ascii="Arial" w:hAnsi="Arial" w:cs="Arial"/>
        </w:rPr>
        <w:t xml:space="preserve">has </w:t>
      </w:r>
      <w:r w:rsidRPr="002C1777" w:rsidR="004D0E90">
        <w:rPr>
          <w:rFonts w:ascii="Arial" w:hAnsi="Arial" w:cs="Arial"/>
        </w:rPr>
        <w:t xml:space="preserve">identified </w:t>
      </w:r>
      <w:r w:rsidRPr="002C1777" w:rsidR="00F2637C">
        <w:rPr>
          <w:rFonts w:ascii="Arial" w:hAnsi="Arial" w:cs="Arial"/>
        </w:rPr>
        <w:t>three areas of focus based on the needs of local volunteers and volunteer-involving organisations</w:t>
      </w:r>
      <w:r w:rsidRPr="002C1777" w:rsidR="004D0E90">
        <w:rPr>
          <w:rFonts w:ascii="Arial" w:hAnsi="Arial" w:cs="Arial"/>
        </w:rPr>
        <w:t>:</w:t>
      </w:r>
    </w:p>
    <w:p w:rsidRPr="002C1777" w:rsidR="00AD127F" w:rsidRDefault="00AD127F" w14:paraId="1397BA12" w14:textId="333DDBDB">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developing innovative systems to support the effective recruitment</w:t>
      </w:r>
      <w:r w:rsidRPr="002C1777" w:rsidR="0040381C">
        <w:rPr>
          <w:rFonts w:ascii="Arial" w:hAnsi="Arial" w:eastAsia="Arial" w:cs="Arial"/>
        </w:rPr>
        <w:t xml:space="preserve">, </w:t>
      </w:r>
      <w:r w:rsidRPr="002C1777">
        <w:rPr>
          <w:rFonts w:ascii="Arial" w:hAnsi="Arial" w:eastAsia="Arial" w:cs="Arial"/>
        </w:rPr>
        <w:t xml:space="preserve">co-ordination </w:t>
      </w:r>
      <w:r w:rsidRPr="002C1777" w:rsidR="0040381C">
        <w:rPr>
          <w:rFonts w:ascii="Arial" w:hAnsi="Arial" w:eastAsia="Arial" w:cs="Arial"/>
        </w:rPr>
        <w:t xml:space="preserve">and development </w:t>
      </w:r>
      <w:r w:rsidRPr="002C1777">
        <w:rPr>
          <w:rFonts w:ascii="Arial" w:hAnsi="Arial" w:eastAsia="Arial" w:cs="Arial"/>
        </w:rPr>
        <w:t>of</w:t>
      </w:r>
      <w:r w:rsidRPr="002C1777" w:rsidR="0040381C">
        <w:rPr>
          <w:rFonts w:ascii="Arial" w:hAnsi="Arial" w:eastAsia="Arial" w:cs="Arial"/>
        </w:rPr>
        <w:t xml:space="preserve"> </w:t>
      </w:r>
      <w:r w:rsidRPr="002C1777">
        <w:rPr>
          <w:rFonts w:ascii="Arial" w:hAnsi="Arial" w:eastAsia="Arial" w:cs="Arial"/>
        </w:rPr>
        <w:t>volunteers at scale</w:t>
      </w:r>
      <w:r w:rsidRPr="002C1777" w:rsidR="00466748">
        <w:rPr>
          <w:rFonts w:ascii="Arial" w:hAnsi="Arial" w:eastAsia="Arial" w:cs="Arial"/>
        </w:rPr>
        <w:t>;</w:t>
      </w:r>
    </w:p>
    <w:p w:rsidRPr="002C1777" w:rsidR="00AD127F" w:rsidRDefault="00AD127F" w14:paraId="6450CDBA" w14:textId="67283AFF">
      <w:pPr>
        <w:pStyle w:val="ListParagraph"/>
        <w:numPr>
          <w:ilvl w:val="0"/>
          <w:numId w:val="2"/>
        </w:numPr>
        <w:spacing w:after="120" w:line="240" w:lineRule="auto"/>
        <w:ind w:left="697" w:hanging="357"/>
        <w:contextualSpacing w:val="0"/>
        <w:rPr>
          <w:rFonts w:ascii="Arial" w:hAnsi="Arial" w:eastAsia="Arial" w:cs="Arial"/>
        </w:rPr>
      </w:pPr>
      <w:r w:rsidRPr="002C1777">
        <w:rPr>
          <w:rFonts w:ascii="Arial" w:hAnsi="Arial" w:eastAsia="Arial" w:cs="Arial"/>
        </w:rPr>
        <w:t xml:space="preserve">developing a strong system of support and collaboration for </w:t>
      </w:r>
      <w:r w:rsidRPr="002C1777" w:rsidR="00E87BAF">
        <w:rPr>
          <w:rFonts w:ascii="Arial" w:hAnsi="Arial" w:eastAsia="Arial" w:cs="Arial"/>
        </w:rPr>
        <w:t xml:space="preserve">formal volunteer-involving organisations and informal </w:t>
      </w:r>
      <w:r w:rsidRPr="002C1777">
        <w:rPr>
          <w:rFonts w:ascii="Arial" w:hAnsi="Arial" w:eastAsia="Arial" w:cs="Arial"/>
        </w:rPr>
        <w:t>neighbourhood-level mutual</w:t>
      </w:r>
      <w:r w:rsidRPr="002C1777" w:rsidR="00E87BAF">
        <w:rPr>
          <w:rFonts w:ascii="Arial" w:hAnsi="Arial" w:eastAsia="Arial" w:cs="Arial"/>
        </w:rPr>
        <w:t xml:space="preserve"> </w:t>
      </w:r>
      <w:r w:rsidRPr="002C1777">
        <w:rPr>
          <w:rFonts w:ascii="Arial" w:hAnsi="Arial" w:eastAsia="Arial" w:cs="Arial"/>
        </w:rPr>
        <w:t>aid activity</w:t>
      </w:r>
      <w:r w:rsidRPr="002C1777" w:rsidR="00466748">
        <w:rPr>
          <w:rFonts w:ascii="Arial" w:hAnsi="Arial" w:eastAsia="Arial" w:cs="Arial"/>
        </w:rPr>
        <w:t>;</w:t>
      </w:r>
    </w:p>
    <w:p w:rsidRPr="002C1777" w:rsidR="00AD127F" w:rsidP="6EBABBDB" w:rsidRDefault="00AD127F" w14:paraId="79ABBEA1" w14:textId="6C4D7E92">
      <w:pPr>
        <w:pStyle w:val="ListParagraph"/>
        <w:numPr>
          <w:ilvl w:val="0"/>
          <w:numId w:val="2"/>
        </w:numPr>
        <w:spacing w:after="120" w:line="240" w:lineRule="auto"/>
        <w:ind w:left="697" w:hanging="357"/>
        <w:rPr>
          <w:rFonts w:ascii="Arial" w:hAnsi="Arial" w:cs="Arial"/>
        </w:rPr>
      </w:pPr>
      <w:r w:rsidRPr="002C1777">
        <w:rPr>
          <w:rFonts w:ascii="Arial" w:hAnsi="Arial" w:eastAsia="Arial" w:cs="Arial"/>
        </w:rPr>
        <w:lastRenderedPageBreak/>
        <w:t>creating a strong employee-volunteering scene, enabling private sector organisations to</w:t>
      </w:r>
      <w:r w:rsidRPr="002C1777" w:rsidR="00466748">
        <w:rPr>
          <w:rFonts w:ascii="Arial" w:hAnsi="Arial" w:eastAsia="Arial" w:cs="Arial"/>
        </w:rPr>
        <w:t xml:space="preserve"> </w:t>
      </w:r>
      <w:r w:rsidRPr="002C1777">
        <w:rPr>
          <w:rFonts w:ascii="Arial" w:hAnsi="Arial" w:eastAsia="Arial" w:cs="Arial"/>
        </w:rPr>
        <w:t>easily support their local communities</w:t>
      </w:r>
      <w:r w:rsidRPr="002C1777" w:rsidR="00466748">
        <w:rPr>
          <w:rFonts w:ascii="Arial" w:hAnsi="Arial" w:eastAsia="Arial" w:cs="Arial"/>
        </w:rPr>
        <w:t>.</w:t>
      </w:r>
    </w:p>
    <w:p w:rsidRPr="002C1777" w:rsidR="17D7D02C" w:rsidP="6EBABBDB" w:rsidRDefault="17D7D02C" w14:paraId="484E3542" w14:textId="42FCB96C">
      <w:pPr>
        <w:spacing w:after="120" w:line="240" w:lineRule="auto"/>
        <w:rPr>
          <w:rFonts w:ascii="Arial" w:hAnsi="Arial" w:cs="Arial"/>
        </w:rPr>
      </w:pPr>
      <w:r w:rsidRPr="002C1777">
        <w:rPr>
          <w:rFonts w:ascii="Arial" w:hAnsi="Arial" w:cs="Arial"/>
        </w:rPr>
        <w:t>In 2022</w:t>
      </w:r>
      <w:r w:rsidRPr="002C1777" w:rsidR="164525FD">
        <w:rPr>
          <w:rFonts w:ascii="Arial" w:hAnsi="Arial" w:cs="Arial"/>
        </w:rPr>
        <w:t xml:space="preserve"> </w:t>
      </w:r>
      <w:r w:rsidRPr="002C1777" w:rsidR="75979895">
        <w:rPr>
          <w:rFonts w:ascii="Arial" w:hAnsi="Arial" w:cs="Arial"/>
        </w:rPr>
        <w:t xml:space="preserve">the </w:t>
      </w:r>
      <w:r w:rsidRPr="002C1777" w:rsidR="6D977DBB">
        <w:rPr>
          <w:rFonts w:ascii="Arial" w:hAnsi="Arial" w:cs="Arial"/>
        </w:rPr>
        <w:t>N</w:t>
      </w:r>
      <w:r w:rsidRPr="002C1777" w:rsidR="3BC39B7C">
        <w:rPr>
          <w:rFonts w:ascii="Arial" w:hAnsi="Arial" w:cs="Arial"/>
        </w:rPr>
        <w:t xml:space="preserve">orth of </w:t>
      </w:r>
      <w:r w:rsidRPr="002C1777" w:rsidR="6D977DBB">
        <w:rPr>
          <w:rFonts w:ascii="Arial" w:hAnsi="Arial" w:cs="Arial"/>
        </w:rPr>
        <w:t>T</w:t>
      </w:r>
      <w:r w:rsidRPr="002C1777" w:rsidR="7FACC2C5">
        <w:rPr>
          <w:rFonts w:ascii="Arial" w:hAnsi="Arial" w:cs="Arial"/>
        </w:rPr>
        <w:t xml:space="preserve">yne </w:t>
      </w:r>
      <w:r w:rsidRPr="002C1777" w:rsidR="6D977DBB">
        <w:rPr>
          <w:rFonts w:ascii="Arial" w:hAnsi="Arial" w:cs="Arial"/>
        </w:rPr>
        <w:t>C</w:t>
      </w:r>
      <w:r w:rsidRPr="002C1777" w:rsidR="02706641">
        <w:rPr>
          <w:rFonts w:ascii="Arial" w:hAnsi="Arial" w:cs="Arial"/>
        </w:rPr>
        <w:t xml:space="preserve">ombined </w:t>
      </w:r>
      <w:r w:rsidRPr="002C1777" w:rsidR="6D977DBB">
        <w:rPr>
          <w:rFonts w:ascii="Arial" w:hAnsi="Arial" w:cs="Arial"/>
        </w:rPr>
        <w:t>A</w:t>
      </w:r>
      <w:r w:rsidRPr="002C1777" w:rsidR="06A945F4">
        <w:rPr>
          <w:rFonts w:ascii="Arial" w:hAnsi="Arial" w:cs="Arial"/>
        </w:rPr>
        <w:t>uthority</w:t>
      </w:r>
      <w:r w:rsidRPr="002C1777" w:rsidR="6D977DBB">
        <w:rPr>
          <w:rFonts w:ascii="Arial" w:hAnsi="Arial" w:cs="Arial"/>
        </w:rPr>
        <w:t xml:space="preserve">’s VCSE sector Stakeholder Group </w:t>
      </w:r>
      <w:r w:rsidRPr="002C1777" w:rsidR="772A42C4">
        <w:rPr>
          <w:rFonts w:ascii="Arial" w:hAnsi="Arial" w:cs="Arial"/>
        </w:rPr>
        <w:t>adopted</w:t>
      </w:r>
      <w:r w:rsidRPr="002C1777" w:rsidR="6D977DBB">
        <w:rPr>
          <w:rFonts w:ascii="Arial" w:hAnsi="Arial" w:cs="Arial"/>
        </w:rPr>
        <w:t xml:space="preserve"> </w:t>
      </w:r>
      <w:r w:rsidR="00746A54">
        <w:rPr>
          <w:rFonts w:ascii="Arial" w:hAnsi="Arial" w:cs="Arial"/>
        </w:rPr>
        <w:t>‘</w:t>
      </w:r>
      <w:r w:rsidRPr="002C1777" w:rsidR="387097C4">
        <w:rPr>
          <w:rFonts w:ascii="Arial" w:hAnsi="Arial" w:cs="Arial"/>
        </w:rPr>
        <w:t>d</w:t>
      </w:r>
      <w:r w:rsidRPr="002C1777" w:rsidR="6D977DBB">
        <w:rPr>
          <w:rFonts w:ascii="Arial" w:hAnsi="Arial" w:cs="Arial"/>
        </w:rPr>
        <w:t>eveloping the North of Tyne as an area of excellence in volunteering</w:t>
      </w:r>
      <w:r w:rsidR="00746A54">
        <w:rPr>
          <w:rFonts w:ascii="Arial" w:hAnsi="Arial" w:cs="Arial"/>
        </w:rPr>
        <w:t>’</w:t>
      </w:r>
      <w:r w:rsidRPr="002C1777" w:rsidR="6D977DBB">
        <w:rPr>
          <w:rFonts w:ascii="Arial" w:hAnsi="Arial" w:cs="Arial"/>
        </w:rPr>
        <w:t xml:space="preserve"> as a key area of focus.</w:t>
      </w:r>
      <w:r w:rsidRPr="002C1777" w:rsidR="2DA8507D">
        <w:rPr>
          <w:rFonts w:ascii="Arial" w:hAnsi="Arial" w:cs="Arial"/>
        </w:rPr>
        <w:t xml:space="preserve"> The Stakeholder group contains all four members of the </w:t>
      </w:r>
      <w:r w:rsidRPr="002C1777" w:rsidR="0F4C879C">
        <w:rPr>
          <w:rFonts w:ascii="Arial" w:hAnsi="Arial" w:cs="Arial"/>
        </w:rPr>
        <w:t>V</w:t>
      </w:r>
      <w:r w:rsidRPr="002C1777" w:rsidR="2DA8507D">
        <w:rPr>
          <w:rFonts w:ascii="Arial" w:hAnsi="Arial" w:cs="Arial"/>
        </w:rPr>
        <w:t xml:space="preserve">olunteering </w:t>
      </w:r>
      <w:r w:rsidRPr="002C1777" w:rsidR="125AE629">
        <w:rPr>
          <w:rFonts w:ascii="Arial" w:hAnsi="Arial" w:cs="Arial"/>
        </w:rPr>
        <w:t>P</w:t>
      </w:r>
      <w:r w:rsidRPr="002C1777" w:rsidR="2DA8507D">
        <w:rPr>
          <w:rFonts w:ascii="Arial" w:hAnsi="Arial" w:cs="Arial"/>
        </w:rPr>
        <w:t>artnership</w:t>
      </w:r>
      <w:r w:rsidRPr="002C1777" w:rsidR="54EA0B2E">
        <w:rPr>
          <w:rFonts w:ascii="Arial" w:hAnsi="Arial" w:cs="Arial"/>
        </w:rPr>
        <w:t xml:space="preserve">, alongside Citizens Advice </w:t>
      </w:r>
      <w:r w:rsidRPr="002C1777" w:rsidR="70FACDDB">
        <w:rPr>
          <w:rFonts w:ascii="Arial" w:hAnsi="Arial" w:cs="Arial"/>
        </w:rPr>
        <w:t>Northumberland and Voluntary Organisations Network North East (VONNE) working alongs</w:t>
      </w:r>
      <w:r w:rsidRPr="002C1777" w:rsidR="6255FF8E">
        <w:rPr>
          <w:rFonts w:ascii="Arial" w:hAnsi="Arial" w:cs="Arial"/>
        </w:rPr>
        <w:t>i</w:t>
      </w:r>
      <w:r w:rsidRPr="002C1777" w:rsidR="70FACDDB">
        <w:rPr>
          <w:rFonts w:ascii="Arial" w:hAnsi="Arial" w:cs="Arial"/>
        </w:rPr>
        <w:t xml:space="preserve">de colleagues from our three constituent </w:t>
      </w:r>
      <w:r w:rsidRPr="002C1777" w:rsidR="54EA0B2E">
        <w:rPr>
          <w:rFonts w:ascii="Arial" w:hAnsi="Arial" w:cs="Arial"/>
        </w:rPr>
        <w:t>local authorit</w:t>
      </w:r>
      <w:r w:rsidRPr="002C1777" w:rsidR="7F482F69">
        <w:rPr>
          <w:rFonts w:ascii="Arial" w:hAnsi="Arial" w:cs="Arial"/>
        </w:rPr>
        <w:t>ies</w:t>
      </w:r>
      <w:r w:rsidRPr="002C1777" w:rsidR="54EA0B2E">
        <w:rPr>
          <w:rFonts w:ascii="Arial" w:hAnsi="Arial" w:cs="Arial"/>
        </w:rPr>
        <w:t>.</w:t>
      </w:r>
    </w:p>
    <w:p w:rsidRPr="002C1777" w:rsidR="6D977DBB" w:rsidP="6EBABBDB" w:rsidRDefault="6D977DBB" w14:paraId="465510CD" w14:textId="3A50C0FB">
      <w:pPr>
        <w:spacing w:after="120" w:line="240" w:lineRule="auto"/>
        <w:rPr>
          <w:rFonts w:ascii="Arial" w:hAnsi="Arial" w:eastAsia="Arial" w:cs="Arial"/>
        </w:rPr>
      </w:pPr>
      <w:r w:rsidRPr="002C1777">
        <w:rPr>
          <w:rFonts w:ascii="Arial" w:hAnsi="Arial" w:eastAsia="Arial" w:cs="Arial"/>
        </w:rPr>
        <w:t xml:space="preserve"> </w:t>
      </w:r>
    </w:p>
    <w:p w:rsidRPr="002C1777" w:rsidR="00C26B5F" w:rsidRDefault="009E701B" w14:paraId="06556F33" w14:textId="359F9612">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77" w:id="8"/>
      <w:r w:rsidRPr="002C1777">
        <w:rPr>
          <w:rFonts w:ascii="Arial" w:hAnsi="Arial" w:cs="Arial"/>
          <w:b/>
          <w:bCs/>
          <w:sz w:val="24"/>
          <w:szCs w:val="24"/>
        </w:rPr>
        <w:t>Call Parameters</w:t>
      </w:r>
      <w:bookmarkEnd w:id="8"/>
    </w:p>
    <w:tbl>
      <w:tblPr>
        <w:tblW w:w="9010" w:type="dxa"/>
        <w:tblBorders>
          <w:top w:val="outset" w:color="auto" w:sz="6" w:space="0"/>
          <w:left w:val="outset" w:color="auto" w:sz="6" w:space="0"/>
          <w:bottom w:val="outset" w:color="auto" w:sz="6" w:space="0"/>
          <w:right w:val="outset" w:color="auto" w:sz="6" w:space="0"/>
        </w:tblBorders>
        <w:tblCellMar>
          <w:top w:w="28" w:type="dxa"/>
          <w:left w:w="0" w:type="dxa"/>
          <w:bottom w:w="28" w:type="dxa"/>
          <w:right w:w="0" w:type="dxa"/>
        </w:tblCellMar>
        <w:tblLook w:val="04A0" w:firstRow="1" w:lastRow="0" w:firstColumn="1" w:lastColumn="0" w:noHBand="0" w:noVBand="1"/>
      </w:tblPr>
      <w:tblGrid>
        <w:gridCol w:w="1715"/>
        <w:gridCol w:w="7295"/>
      </w:tblGrid>
      <w:tr w:rsidRPr="002C1777" w:rsidR="00135EF7" w:rsidTr="56667ACB" w14:paraId="0A907A04" w14:textId="77777777">
        <w:trPr>
          <w:trHeight w:val="66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3B24D3DE"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Dates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0EE0B71B" w14:textId="24A05AA5">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The earliest potential start date for delivery is 1</w:t>
            </w:r>
            <w:r w:rsidRPr="002C1777">
              <w:rPr>
                <w:rFonts w:ascii="Arial" w:hAnsi="Arial" w:eastAsia="Times New Roman" w:cs="Arial"/>
                <w:vertAlign w:val="superscript"/>
                <w:lang w:eastAsia="en-GB"/>
              </w:rPr>
              <w:t>st</w:t>
            </w:r>
            <w:r w:rsidRPr="002C1777">
              <w:rPr>
                <w:rFonts w:ascii="Arial" w:hAnsi="Arial" w:eastAsia="Times New Roman" w:cs="Arial"/>
                <w:lang w:eastAsia="en-GB"/>
              </w:rPr>
              <w:t xml:space="preserve"> </w:t>
            </w:r>
            <w:r w:rsidR="006C06E3">
              <w:rPr>
                <w:rFonts w:ascii="Arial" w:hAnsi="Arial" w:eastAsia="Times New Roman" w:cs="Arial"/>
                <w:lang w:eastAsia="en-GB"/>
              </w:rPr>
              <w:t>June</w:t>
            </w:r>
            <w:r w:rsidRPr="002C1777">
              <w:rPr>
                <w:rFonts w:ascii="Arial" w:hAnsi="Arial" w:eastAsia="Times New Roman" w:cs="Arial"/>
                <w:lang w:eastAsia="en-GB"/>
              </w:rPr>
              <w:t xml:space="preserve"> 2023</w:t>
            </w:r>
          </w:p>
          <w:p w:rsidRPr="002C1777" w:rsidR="00135EF7" w:rsidP="000E3515" w:rsidRDefault="00135EF7" w14:paraId="5DDD36E9" w14:textId="619D4C9D">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All activity and spend must be complete by 31</w:t>
            </w:r>
            <w:r w:rsidRPr="002C1777">
              <w:rPr>
                <w:rFonts w:ascii="Arial" w:hAnsi="Arial" w:eastAsia="Times New Roman" w:cs="Arial"/>
                <w:vertAlign w:val="superscript"/>
                <w:lang w:eastAsia="en-GB"/>
              </w:rPr>
              <w:t>st</w:t>
            </w:r>
            <w:r w:rsidRPr="002C1777">
              <w:rPr>
                <w:rFonts w:ascii="Arial" w:hAnsi="Arial" w:eastAsia="Times New Roman" w:cs="Arial"/>
                <w:lang w:eastAsia="en-GB"/>
              </w:rPr>
              <w:t xml:space="preserve"> March 2025.</w:t>
            </w:r>
          </w:p>
        </w:tc>
      </w:tr>
      <w:tr w:rsidRPr="002C1777" w:rsidR="00135EF7" w:rsidTr="56667ACB" w14:paraId="6710426C" w14:textId="77777777">
        <w:trPr>
          <w:trHeight w:val="66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63A5981C"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Indicative Fund Allocation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E42E2F" w:rsidP="00E42E2F" w:rsidRDefault="41A87227" w14:paraId="6FE4419B" w14:textId="0E3EF6EE">
            <w:pPr>
              <w:spacing w:after="120" w:line="240" w:lineRule="auto"/>
              <w:ind w:left="57"/>
              <w:rPr>
                <w:rFonts w:ascii="Arial" w:hAnsi="Arial" w:cs="Arial"/>
              </w:rPr>
            </w:pPr>
            <w:r w:rsidRPr="002C1777">
              <w:rPr>
                <w:rFonts w:ascii="Arial" w:hAnsi="Arial" w:cs="Arial"/>
              </w:rPr>
              <w:t>We are looking to invest</w:t>
            </w:r>
            <w:r w:rsidRPr="002C1777" w:rsidR="00E42E2F">
              <w:rPr>
                <w:rFonts w:ascii="Arial" w:hAnsi="Arial" w:cs="Arial"/>
              </w:rPr>
              <w:t xml:space="preserve"> a total of £1</w:t>
            </w:r>
            <w:r w:rsidR="001B6B35">
              <w:rPr>
                <w:rFonts w:ascii="Arial" w:hAnsi="Arial" w:cs="Arial"/>
              </w:rPr>
              <w:t xml:space="preserve"> </w:t>
            </w:r>
            <w:r w:rsidRPr="002C1777" w:rsidR="00E42E2F">
              <w:rPr>
                <w:rFonts w:ascii="Arial" w:hAnsi="Arial" w:cs="Arial"/>
              </w:rPr>
              <w:t>m</w:t>
            </w:r>
            <w:r w:rsidR="001B6B35">
              <w:rPr>
                <w:rFonts w:ascii="Arial" w:hAnsi="Arial" w:cs="Arial"/>
              </w:rPr>
              <w:t>illion</w:t>
            </w:r>
            <w:r w:rsidRPr="002C1777" w:rsidR="00E42E2F">
              <w:rPr>
                <w:rFonts w:ascii="Arial" w:hAnsi="Arial" w:cs="Arial"/>
              </w:rPr>
              <w:t xml:space="preserve"> UKS</w:t>
            </w:r>
            <w:r w:rsidRPr="002C1777" w:rsidR="41CB1061">
              <w:rPr>
                <w:rFonts w:ascii="Arial" w:hAnsi="Arial" w:cs="Arial"/>
              </w:rPr>
              <w:t>PF</w:t>
            </w:r>
            <w:r w:rsidRPr="002C1777" w:rsidR="00E42E2F">
              <w:rPr>
                <w:rFonts w:ascii="Arial" w:hAnsi="Arial" w:cs="Arial"/>
              </w:rPr>
              <w:t xml:space="preserve"> in a single volunteering and social action pro</w:t>
            </w:r>
            <w:r w:rsidR="006C06E3">
              <w:rPr>
                <w:rFonts w:ascii="Arial" w:hAnsi="Arial" w:cs="Arial"/>
              </w:rPr>
              <w:t>gramme</w:t>
            </w:r>
            <w:r w:rsidRPr="002C1777" w:rsidR="59A5B8BB">
              <w:rPr>
                <w:rFonts w:ascii="Arial" w:hAnsi="Arial" w:cs="Arial"/>
              </w:rPr>
              <w:t>.</w:t>
            </w:r>
          </w:p>
          <w:p w:rsidRPr="002C1777" w:rsidR="00135EF7" w:rsidP="00E42E2F" w:rsidRDefault="00EE6292" w14:paraId="269CC3CC" w14:textId="3513EC9D">
            <w:pPr>
              <w:spacing w:after="120" w:line="240" w:lineRule="auto"/>
              <w:ind w:left="57"/>
              <w:rPr>
                <w:rFonts w:ascii="Arial" w:hAnsi="Arial" w:cs="Arial"/>
              </w:rPr>
            </w:pPr>
            <w:r w:rsidRPr="002C1777">
              <w:rPr>
                <w:rFonts w:ascii="Arial" w:hAnsi="Arial" w:cs="Arial"/>
              </w:rPr>
              <w:t xml:space="preserve">To maximise reach and deliver economies of scale, we particularly welcome applications </w:t>
            </w:r>
            <w:r w:rsidRPr="002C1777" w:rsidR="0002438B">
              <w:rPr>
                <w:rFonts w:ascii="Arial" w:hAnsi="Arial" w:cs="Arial"/>
              </w:rPr>
              <w:t>from</w:t>
            </w:r>
            <w:r w:rsidRPr="002C1777" w:rsidR="009D4B27">
              <w:rPr>
                <w:rFonts w:ascii="Arial" w:hAnsi="Arial" w:cs="Arial"/>
              </w:rPr>
              <w:t xml:space="preserve"> </w:t>
            </w:r>
            <w:r w:rsidRPr="002C1777" w:rsidR="0002438B">
              <w:rPr>
                <w:rFonts w:ascii="Arial" w:hAnsi="Arial" w:cs="Arial"/>
              </w:rPr>
              <w:t xml:space="preserve">a </w:t>
            </w:r>
            <w:r w:rsidRPr="002C1777" w:rsidR="009D4B27">
              <w:rPr>
                <w:rFonts w:ascii="Arial" w:hAnsi="Arial" w:cs="Arial"/>
              </w:rPr>
              <w:t xml:space="preserve">single </w:t>
            </w:r>
            <w:r w:rsidRPr="002C1777" w:rsidR="0002438B">
              <w:rPr>
                <w:rFonts w:ascii="Arial" w:hAnsi="Arial" w:cs="Arial"/>
              </w:rPr>
              <w:t>p</w:t>
            </w:r>
            <w:r w:rsidRPr="002C1777" w:rsidR="009D4B27">
              <w:rPr>
                <w:rFonts w:ascii="Arial" w:hAnsi="Arial" w:cs="Arial"/>
              </w:rPr>
              <w:t>rogramme lead, working with delivery partners.</w:t>
            </w:r>
          </w:p>
        </w:tc>
      </w:tr>
      <w:tr w:rsidRPr="002C1777" w:rsidR="00135EF7" w:rsidTr="56667ACB" w14:paraId="410A9851" w14:textId="7D2DB195">
        <w:trPr>
          <w:trHeight w:val="525"/>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75D116DA" w14:textId="401F77F1">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Applications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E42E2F" w:rsidRDefault="00135EF7" w14:paraId="08FF3115" w14:textId="6B642D60">
            <w:pPr>
              <w:spacing w:after="120" w:line="240" w:lineRule="auto"/>
              <w:ind w:left="57"/>
              <w:textAlignment w:val="baseline"/>
              <w:rPr>
                <w:rFonts w:ascii="Arial" w:hAnsi="Arial" w:eastAsia="Times New Roman" w:cs="Arial"/>
                <w:lang w:eastAsia="en-GB"/>
              </w:rPr>
            </w:pPr>
            <w:r w:rsidRPr="002C1777">
              <w:rPr>
                <w:rFonts w:ascii="Arial" w:hAnsi="Arial" w:eastAsia="Times New Roman" w:cs="Arial"/>
                <w:lang w:eastAsia="en-GB"/>
              </w:rPr>
              <w:t>Applicants are expected to submit proposals which demonstrate impact and additionality. UKSPF funding is not intended to replace existing funding.</w:t>
            </w:r>
          </w:p>
        </w:tc>
      </w:tr>
      <w:tr w:rsidRPr="002C1777" w:rsidR="00135EF7" w:rsidTr="56667ACB" w14:paraId="181FFBD9" w14:textId="77777777">
        <w:trPr>
          <w:trHeight w:val="21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4E824347"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Geographical Scope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FC69FA" w14:paraId="3A8EECD2" w14:textId="01A0D4A9">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 xml:space="preserve">Delivery </w:t>
            </w:r>
            <w:r w:rsidRPr="002C1777" w:rsidR="00135EF7">
              <w:rPr>
                <w:rFonts w:ascii="Arial" w:hAnsi="Arial" w:eastAsia="Times New Roman" w:cs="Arial"/>
                <w:lang w:eastAsia="en-GB"/>
              </w:rPr>
              <w:t xml:space="preserve">must </w:t>
            </w:r>
            <w:r w:rsidRPr="002C1777">
              <w:rPr>
                <w:rFonts w:ascii="Arial" w:hAnsi="Arial" w:eastAsia="Times New Roman" w:cs="Arial"/>
                <w:lang w:eastAsia="en-GB"/>
              </w:rPr>
              <w:t xml:space="preserve">cover all three Local Authority areas </w:t>
            </w:r>
            <w:r w:rsidRPr="002C1777" w:rsidR="00135EF7">
              <w:rPr>
                <w:rFonts w:ascii="Arial" w:hAnsi="Arial" w:eastAsia="Times New Roman" w:cs="Arial"/>
                <w:lang w:eastAsia="en-GB"/>
              </w:rPr>
              <w:t>within the North of Tyne Combined Authority</w:t>
            </w:r>
            <w:r w:rsidRPr="002C1777" w:rsidR="008C1A1B">
              <w:rPr>
                <w:rFonts w:ascii="Arial" w:hAnsi="Arial" w:eastAsia="Times New Roman" w:cs="Arial"/>
                <w:lang w:eastAsia="en-GB"/>
              </w:rPr>
              <w:t xml:space="preserve"> </w:t>
            </w:r>
            <w:r w:rsidRPr="002C1777" w:rsidR="00EA0D6A">
              <w:rPr>
                <w:rFonts w:ascii="Arial" w:hAnsi="Arial" w:eastAsia="Times New Roman" w:cs="Arial"/>
                <w:lang w:eastAsia="en-GB"/>
              </w:rPr>
              <w:t>– Newcastle, Northumberland and North Tyneside.</w:t>
            </w:r>
          </w:p>
        </w:tc>
      </w:tr>
      <w:tr w:rsidRPr="002C1777" w:rsidR="00135EF7" w:rsidTr="56667ACB" w14:paraId="664DD8C5" w14:textId="77777777">
        <w:trPr>
          <w:trHeight w:val="21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1E0D7938"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Deadlines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D21436" w14:paraId="05F01477" w14:textId="793A94C3">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Applications</w:t>
            </w:r>
            <w:r w:rsidRPr="002C1777" w:rsidR="00135EF7">
              <w:rPr>
                <w:rFonts w:ascii="Arial" w:hAnsi="Arial" w:eastAsia="Times New Roman" w:cs="Arial"/>
                <w:lang w:eastAsia="en-GB"/>
              </w:rPr>
              <w:t xml:space="preserve"> must be</w:t>
            </w:r>
            <w:r w:rsidRPr="002C1777">
              <w:rPr>
                <w:rFonts w:ascii="Arial" w:hAnsi="Arial" w:eastAsia="Times New Roman" w:cs="Arial"/>
                <w:lang w:eastAsia="en-GB"/>
              </w:rPr>
              <w:t xml:space="preserve"> submitted</w:t>
            </w:r>
            <w:r w:rsidRPr="002C1777" w:rsidR="00135EF7">
              <w:rPr>
                <w:rFonts w:ascii="Arial" w:hAnsi="Arial" w:eastAsia="Times New Roman" w:cs="Arial"/>
                <w:lang w:eastAsia="en-GB"/>
              </w:rPr>
              <w:t xml:space="preserve"> by noon on </w:t>
            </w:r>
            <w:r w:rsidRPr="002C1777" w:rsidR="004C5D18">
              <w:rPr>
                <w:rFonts w:ascii="Arial" w:hAnsi="Arial" w:eastAsia="Times New Roman" w:cs="Arial"/>
                <w:lang w:eastAsia="en-GB"/>
              </w:rPr>
              <w:t>3</w:t>
            </w:r>
            <w:r w:rsidRPr="002C1777" w:rsidR="004C5D18">
              <w:rPr>
                <w:rFonts w:ascii="Arial" w:hAnsi="Arial" w:eastAsia="Times New Roman" w:cs="Arial"/>
                <w:vertAlign w:val="superscript"/>
                <w:lang w:eastAsia="en-GB"/>
              </w:rPr>
              <w:t>rd</w:t>
            </w:r>
            <w:r w:rsidRPr="002C1777" w:rsidR="004C5D18">
              <w:rPr>
                <w:rFonts w:ascii="Arial" w:hAnsi="Arial" w:eastAsia="Times New Roman" w:cs="Arial"/>
                <w:lang w:eastAsia="en-GB"/>
              </w:rPr>
              <w:t xml:space="preserve"> May </w:t>
            </w:r>
            <w:r w:rsidRPr="002C1777" w:rsidR="00A26C10">
              <w:rPr>
                <w:rFonts w:ascii="Arial" w:hAnsi="Arial" w:eastAsia="Times New Roman" w:cs="Arial"/>
                <w:lang w:eastAsia="en-GB"/>
              </w:rPr>
              <w:t>2023</w:t>
            </w:r>
            <w:r w:rsidRPr="002C1777" w:rsidR="00135EF7">
              <w:rPr>
                <w:rFonts w:ascii="Arial" w:hAnsi="Arial" w:eastAsia="Times New Roman" w:cs="Arial"/>
                <w:lang w:eastAsia="en-GB"/>
              </w:rPr>
              <w:t xml:space="preserve">. Any application not fully completed and submitted </w:t>
            </w:r>
            <w:r w:rsidRPr="002C1777" w:rsidR="009F586D">
              <w:rPr>
                <w:rFonts w:ascii="Arial" w:hAnsi="Arial" w:eastAsia="Times New Roman" w:cs="Arial"/>
                <w:lang w:eastAsia="en-GB"/>
              </w:rPr>
              <w:t>by</w:t>
            </w:r>
            <w:r w:rsidRPr="002C1777" w:rsidR="00135EF7">
              <w:rPr>
                <w:rFonts w:ascii="Arial" w:hAnsi="Arial" w:eastAsia="Times New Roman" w:cs="Arial"/>
                <w:lang w:eastAsia="en-GB"/>
              </w:rPr>
              <w:t xml:space="preserve"> this date and time will be disregarded by the assessment panel.</w:t>
            </w:r>
          </w:p>
        </w:tc>
      </w:tr>
      <w:tr w:rsidRPr="002C1777" w:rsidR="00135EF7" w:rsidTr="56667ACB" w14:paraId="65CD13C7" w14:textId="726639DE">
        <w:trPr>
          <w:trHeight w:val="21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5381D89A" w14:textId="6119134C">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Application selection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375F8062" w14:textId="208D93A7">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All applications will be scored in line with the application award criteria set out in the supporting guidance.</w:t>
            </w:r>
          </w:p>
        </w:tc>
      </w:tr>
      <w:tr w:rsidRPr="002C1777" w:rsidR="00135EF7" w:rsidTr="56667ACB" w14:paraId="2B5122BD" w14:textId="77777777">
        <w:trPr>
          <w:trHeight w:val="21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077CB3E1"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Specific Funding Requirements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E42E2F" w:rsidRDefault="2D43DF66" w14:paraId="560D7882" w14:textId="4B9356B1">
            <w:pPr>
              <w:spacing w:after="120" w:line="240" w:lineRule="auto"/>
              <w:ind w:left="57"/>
              <w:textAlignment w:val="baseline"/>
              <w:rPr>
                <w:rFonts w:ascii="Arial" w:hAnsi="Arial" w:eastAsia="Times New Roman" w:cs="Arial"/>
                <w:lang w:eastAsia="en-GB"/>
              </w:rPr>
            </w:pPr>
            <w:r w:rsidRPr="002C1777">
              <w:rPr>
                <w:rFonts w:ascii="Arial" w:hAnsi="Arial" w:eastAsia="Times New Roman" w:cs="Arial"/>
                <w:lang w:eastAsia="en-GB"/>
              </w:rPr>
              <w:t xml:space="preserve">All activity </w:t>
            </w:r>
            <w:r w:rsidRPr="002C1777" w:rsidR="59E3890F">
              <w:rPr>
                <w:rFonts w:ascii="Arial" w:hAnsi="Arial" w:cs="Arial"/>
              </w:rPr>
              <w:t xml:space="preserve">should </w:t>
            </w:r>
            <w:r w:rsidRPr="002C1777" w:rsidR="0464BC29">
              <w:rPr>
                <w:rFonts w:ascii="Arial" w:hAnsi="Arial" w:cs="Arial"/>
              </w:rPr>
              <w:t xml:space="preserve">deliver </w:t>
            </w:r>
            <w:r w:rsidRPr="002C1777" w:rsidR="59E3890F">
              <w:rPr>
                <w:rFonts w:ascii="Arial" w:hAnsi="Arial" w:cs="Arial"/>
              </w:rPr>
              <w:t xml:space="preserve">the objectives, outputs and outcomes </w:t>
            </w:r>
            <w:r w:rsidRPr="002C1777" w:rsidR="606F5FCE">
              <w:rPr>
                <w:rFonts w:ascii="Arial" w:hAnsi="Arial" w:cs="Arial"/>
              </w:rPr>
              <w:t>s</w:t>
            </w:r>
            <w:r w:rsidRPr="002C1777" w:rsidR="59E3890F">
              <w:rPr>
                <w:rFonts w:ascii="Arial" w:hAnsi="Arial" w:cs="Arial"/>
              </w:rPr>
              <w:t>et out in this document.</w:t>
            </w:r>
          </w:p>
          <w:p w:rsidRPr="002C1777" w:rsidR="00135EF7" w:rsidP="00E42E2F" w:rsidRDefault="00135EF7" w14:paraId="4CD993DF" w14:textId="50C889BB">
            <w:pPr>
              <w:spacing w:after="120" w:line="240" w:lineRule="auto"/>
              <w:ind w:left="57"/>
              <w:textAlignment w:val="baseline"/>
              <w:rPr>
                <w:rFonts w:ascii="Arial" w:hAnsi="Arial" w:eastAsia="Times New Roman" w:cs="Arial"/>
                <w:lang w:eastAsia="en-GB"/>
              </w:rPr>
            </w:pPr>
            <w:r w:rsidRPr="002C1777">
              <w:rPr>
                <w:rFonts w:ascii="Arial" w:hAnsi="Arial" w:eastAsia="Times New Roman" w:cs="Arial"/>
                <w:lang w:eastAsia="en-GB"/>
              </w:rPr>
              <w:t xml:space="preserve">Proposals will </w:t>
            </w:r>
            <w:r w:rsidRPr="002C1777" w:rsidR="00B81D0D">
              <w:rPr>
                <w:rFonts w:ascii="Arial" w:hAnsi="Arial" w:eastAsia="Times New Roman" w:cs="Arial"/>
                <w:lang w:eastAsia="en-GB"/>
              </w:rPr>
              <w:t xml:space="preserve">also </w:t>
            </w:r>
            <w:r w:rsidRPr="002C1777">
              <w:rPr>
                <w:rFonts w:ascii="Arial" w:hAnsi="Arial" w:eastAsia="Times New Roman" w:cs="Arial"/>
                <w:lang w:eastAsia="en-GB"/>
              </w:rPr>
              <w:t>need to:</w:t>
            </w:r>
          </w:p>
          <w:p w:rsidRPr="002C1777" w:rsidR="00155DA1" w:rsidP="00155DA1" w:rsidRDefault="00DA5183" w14:paraId="63302E3C" w14:textId="77777777">
            <w:pPr>
              <w:pStyle w:val="ListParagraph"/>
              <w:numPr>
                <w:ilvl w:val="0"/>
                <w:numId w:val="4"/>
              </w:numPr>
              <w:spacing w:after="120" w:line="240" w:lineRule="auto"/>
              <w:ind w:left="470" w:hanging="357"/>
              <w:contextualSpacing w:val="0"/>
              <w:textAlignment w:val="baseline"/>
              <w:rPr>
                <w:rFonts w:ascii="Arial" w:hAnsi="Arial" w:eastAsia="Times New Roman" w:cs="Arial"/>
                <w:lang w:eastAsia="en-GB"/>
              </w:rPr>
            </w:pPr>
            <w:r w:rsidRPr="002C1777">
              <w:rPr>
                <w:rFonts w:ascii="Arial" w:hAnsi="Arial" w:eastAsia="Times New Roman" w:cs="Arial"/>
                <w:lang w:eastAsia="en-GB"/>
              </w:rPr>
              <w:t>a</w:t>
            </w:r>
            <w:r w:rsidRPr="002C1777" w:rsidR="00135EF7">
              <w:rPr>
                <w:rFonts w:ascii="Arial" w:hAnsi="Arial" w:eastAsia="Times New Roman" w:cs="Arial"/>
                <w:lang w:eastAsia="en-GB"/>
              </w:rPr>
              <w:t>dd value to, and align with</w:t>
            </w:r>
            <w:r w:rsidRPr="002C1777" w:rsidR="0089368E">
              <w:rPr>
                <w:rFonts w:ascii="Arial" w:hAnsi="Arial" w:eastAsia="Times New Roman" w:cs="Arial"/>
                <w:lang w:eastAsia="en-GB"/>
              </w:rPr>
              <w:t>,</w:t>
            </w:r>
            <w:r w:rsidRPr="002C1777" w:rsidR="00135EF7">
              <w:rPr>
                <w:rFonts w:ascii="Arial" w:hAnsi="Arial" w:eastAsia="Times New Roman" w:cs="Arial"/>
                <w:lang w:eastAsia="en-GB"/>
              </w:rPr>
              <w:t xml:space="preserve"> </w:t>
            </w:r>
            <w:r w:rsidRPr="002C1777" w:rsidR="00A839A0">
              <w:rPr>
                <w:rFonts w:ascii="Arial" w:hAnsi="Arial" w:eastAsia="Times New Roman" w:cs="Arial"/>
                <w:lang w:eastAsia="en-GB"/>
              </w:rPr>
              <w:t xml:space="preserve">relevant </w:t>
            </w:r>
            <w:r w:rsidRPr="002C1777" w:rsidR="00135EF7">
              <w:rPr>
                <w:rFonts w:ascii="Arial" w:hAnsi="Arial" w:eastAsia="Times New Roman" w:cs="Arial"/>
                <w:lang w:eastAsia="en-GB"/>
              </w:rPr>
              <w:t>existing activity</w:t>
            </w:r>
            <w:r w:rsidRPr="002C1777">
              <w:rPr>
                <w:rFonts w:ascii="Arial" w:hAnsi="Arial" w:eastAsia="Times New Roman" w:cs="Arial"/>
                <w:lang w:eastAsia="en-GB"/>
              </w:rPr>
              <w:t>;</w:t>
            </w:r>
          </w:p>
          <w:p w:rsidRPr="002C1777" w:rsidR="002C3689" w:rsidP="00155DA1" w:rsidRDefault="00DA5183" w14:paraId="1054B077" w14:textId="2371E378">
            <w:pPr>
              <w:pStyle w:val="ListParagraph"/>
              <w:numPr>
                <w:ilvl w:val="0"/>
                <w:numId w:val="4"/>
              </w:numPr>
              <w:spacing w:after="120" w:line="240" w:lineRule="auto"/>
              <w:ind w:left="470" w:hanging="357"/>
              <w:contextualSpacing w:val="0"/>
              <w:textAlignment w:val="baseline"/>
              <w:rPr>
                <w:rFonts w:ascii="Arial" w:hAnsi="Arial" w:eastAsia="Times New Roman" w:cs="Arial"/>
                <w:lang w:eastAsia="en-GB"/>
              </w:rPr>
            </w:pPr>
            <w:r w:rsidRPr="002C1777">
              <w:rPr>
                <w:rFonts w:ascii="Arial" w:hAnsi="Arial" w:eastAsia="Times New Roman" w:cs="Arial"/>
                <w:lang w:eastAsia="en-GB"/>
              </w:rPr>
              <w:t>d</w:t>
            </w:r>
            <w:r w:rsidRPr="002C1777" w:rsidR="00135EF7">
              <w:rPr>
                <w:rFonts w:ascii="Arial" w:hAnsi="Arial" w:eastAsia="Times New Roman" w:cs="Arial"/>
                <w:lang w:eastAsia="en-GB"/>
              </w:rPr>
              <w:t>emonstrate</w:t>
            </w:r>
            <w:r w:rsidRPr="002C1777" w:rsidR="00D44B76">
              <w:rPr>
                <w:rFonts w:ascii="Arial" w:hAnsi="Arial" w:eastAsia="Times New Roman" w:cs="Arial"/>
                <w:lang w:eastAsia="en-GB"/>
              </w:rPr>
              <w:t xml:space="preserve"> that applicants</w:t>
            </w:r>
            <w:r w:rsidRPr="002C1777" w:rsidR="00135EF7">
              <w:rPr>
                <w:rFonts w:ascii="Arial" w:hAnsi="Arial" w:eastAsia="Times New Roman" w:cs="Arial"/>
                <w:lang w:eastAsia="en-GB"/>
              </w:rPr>
              <w:t xml:space="preserve"> </w:t>
            </w:r>
            <w:r w:rsidRPr="002C1777" w:rsidR="002C3689">
              <w:rPr>
                <w:rFonts w:ascii="Arial" w:hAnsi="Arial" w:cs="Arial"/>
              </w:rPr>
              <w:t>already have volunteering infrastructure in place in local communities to ensure rapid mobilisation, activity and spend;</w:t>
            </w:r>
          </w:p>
          <w:p w:rsidRPr="002C1777" w:rsidR="00135EF7" w:rsidRDefault="00DA5183" w14:paraId="08309B54" w14:textId="2041BFC4">
            <w:pPr>
              <w:pStyle w:val="ListParagraph"/>
              <w:numPr>
                <w:ilvl w:val="0"/>
                <w:numId w:val="4"/>
              </w:numPr>
              <w:spacing w:after="120" w:line="240" w:lineRule="auto"/>
              <w:ind w:left="470" w:hanging="357"/>
              <w:contextualSpacing w:val="0"/>
              <w:textAlignment w:val="baseline"/>
              <w:rPr>
                <w:rFonts w:ascii="Arial" w:hAnsi="Arial" w:eastAsia="Times New Roman" w:cs="Arial"/>
                <w:lang w:eastAsia="en-GB"/>
              </w:rPr>
            </w:pPr>
            <w:r w:rsidRPr="002C1777">
              <w:rPr>
                <w:rFonts w:ascii="Arial" w:hAnsi="Arial" w:eastAsia="Times New Roman" w:cs="Arial"/>
                <w:lang w:eastAsia="en-GB"/>
              </w:rPr>
              <w:t>c</w:t>
            </w:r>
            <w:r w:rsidRPr="002C1777" w:rsidR="00135EF7">
              <w:rPr>
                <w:rFonts w:ascii="Arial" w:hAnsi="Arial" w:eastAsia="Times New Roman" w:cs="Arial"/>
                <w:lang w:eastAsia="en-GB"/>
              </w:rPr>
              <w:t>onsider social value within their response</w:t>
            </w:r>
            <w:r w:rsidRPr="002C1777" w:rsidR="002060A7">
              <w:rPr>
                <w:rFonts w:ascii="Arial" w:hAnsi="Arial" w:eastAsia="Times New Roman" w:cs="Arial"/>
                <w:lang w:eastAsia="en-GB"/>
              </w:rPr>
              <w:t xml:space="preserve"> (p</w:t>
            </w:r>
            <w:r w:rsidRPr="002C1777" w:rsidR="00135EF7">
              <w:rPr>
                <w:rFonts w:ascii="Arial" w:hAnsi="Arial" w:eastAsia="Times New Roman" w:cs="Arial"/>
                <w:lang w:eastAsia="en-GB"/>
              </w:rPr>
              <w:t>lease see guidance for additional information</w:t>
            </w:r>
            <w:r w:rsidRPr="002C1777" w:rsidR="002060A7">
              <w:rPr>
                <w:rFonts w:ascii="Arial" w:hAnsi="Arial" w:eastAsia="Times New Roman" w:cs="Arial"/>
                <w:lang w:eastAsia="en-GB"/>
              </w:rPr>
              <w:t>)</w:t>
            </w:r>
            <w:r w:rsidRPr="002C1777" w:rsidR="00135EF7">
              <w:rPr>
                <w:rFonts w:ascii="Arial" w:hAnsi="Arial" w:eastAsia="Times New Roman" w:cs="Arial"/>
                <w:lang w:eastAsia="en-GB"/>
              </w:rPr>
              <w:t>.</w:t>
            </w:r>
          </w:p>
          <w:p w:rsidRPr="002C1777" w:rsidR="00E42E2F" w:rsidP="00E42E2F" w:rsidRDefault="00883064" w14:paraId="4330343F" w14:textId="741F0152">
            <w:pPr>
              <w:spacing w:after="120" w:line="240" w:lineRule="auto"/>
              <w:ind w:left="57"/>
              <w:textAlignment w:val="baseline"/>
              <w:rPr>
                <w:rFonts w:ascii="Arial" w:hAnsi="Arial" w:cs="Arial"/>
              </w:rPr>
            </w:pPr>
            <w:r w:rsidRPr="002C1777">
              <w:rPr>
                <w:rFonts w:ascii="Arial" w:hAnsi="Arial" w:cs="Arial"/>
              </w:rPr>
              <w:t>T</w:t>
            </w:r>
            <w:r w:rsidRPr="002C1777" w:rsidR="00E42E2F">
              <w:rPr>
                <w:rFonts w:ascii="Arial" w:hAnsi="Arial" w:cs="Arial"/>
              </w:rPr>
              <w:t>he successful provider / partnership will be required to actively work with the three Community Partnerships</w:t>
            </w:r>
            <w:r w:rsidRPr="002C1777">
              <w:rPr>
                <w:rFonts w:ascii="Arial" w:hAnsi="Arial" w:cs="Arial"/>
              </w:rPr>
              <w:t xml:space="preserve"> </w:t>
            </w:r>
            <w:r w:rsidRPr="002C1777" w:rsidR="00E42E2F">
              <w:rPr>
                <w:rFonts w:ascii="Arial" w:hAnsi="Arial" w:cs="Arial"/>
              </w:rPr>
              <w:t>and Employment Partnerships in Newcastle, Northumberland and North Tyneside</w:t>
            </w:r>
            <w:r w:rsidRPr="002C1777">
              <w:rPr>
                <w:rFonts w:ascii="Arial" w:hAnsi="Arial" w:cs="Arial"/>
              </w:rPr>
              <w:t>,</w:t>
            </w:r>
            <w:r w:rsidRPr="002C1777" w:rsidR="00E42E2F">
              <w:rPr>
                <w:rFonts w:ascii="Arial" w:hAnsi="Arial" w:cs="Arial"/>
              </w:rPr>
              <w:t xml:space="preserve"> as well as the successful VCSE Employment Support providers to ensure UKSPF funded projects add value to, and enhance</w:t>
            </w:r>
            <w:r w:rsidRPr="002C1777" w:rsidR="009C613A">
              <w:rPr>
                <w:rFonts w:ascii="Arial" w:hAnsi="Arial" w:cs="Arial"/>
              </w:rPr>
              <w:t>,</w:t>
            </w:r>
            <w:r w:rsidRPr="002C1777" w:rsidR="00E42E2F">
              <w:rPr>
                <w:rFonts w:ascii="Arial" w:hAnsi="Arial" w:cs="Arial"/>
              </w:rPr>
              <w:t xml:space="preserve"> existing provision</w:t>
            </w:r>
            <w:r w:rsidRPr="002C1777" w:rsidR="009C613A">
              <w:rPr>
                <w:rFonts w:ascii="Arial" w:hAnsi="Arial" w:cs="Arial"/>
              </w:rPr>
              <w:t>. This might be through</w:t>
            </w:r>
            <w:r w:rsidRPr="002C1777" w:rsidR="00E42E2F">
              <w:rPr>
                <w:rFonts w:ascii="Arial" w:hAnsi="Arial" w:cs="Arial"/>
              </w:rPr>
              <w:t xml:space="preserve"> aligning activities to identified community needs, by supporting </w:t>
            </w:r>
            <w:r w:rsidRPr="002C1777" w:rsidR="00E42E2F">
              <w:rPr>
                <w:rFonts w:ascii="Arial" w:hAnsi="Arial" w:cs="Arial"/>
              </w:rPr>
              <w:lastRenderedPageBreak/>
              <w:t>local residents to access volunteering opportunities, or refer</w:t>
            </w:r>
            <w:r w:rsidRPr="002C1777" w:rsidR="00467431">
              <w:rPr>
                <w:rFonts w:ascii="Arial" w:hAnsi="Arial" w:cs="Arial"/>
              </w:rPr>
              <w:t>ring</w:t>
            </w:r>
            <w:r w:rsidRPr="002C1777" w:rsidR="00E42E2F">
              <w:rPr>
                <w:rFonts w:ascii="Arial" w:hAnsi="Arial" w:cs="Arial"/>
              </w:rPr>
              <w:t xml:space="preserve"> volunteers into relevant employability </w:t>
            </w:r>
            <w:r w:rsidRPr="002C1777" w:rsidR="00467431">
              <w:rPr>
                <w:rFonts w:ascii="Arial" w:hAnsi="Arial" w:cs="Arial"/>
              </w:rPr>
              <w:t>and</w:t>
            </w:r>
            <w:r w:rsidRPr="002C1777" w:rsidR="00E42E2F">
              <w:rPr>
                <w:rFonts w:ascii="Arial" w:hAnsi="Arial" w:cs="Arial"/>
              </w:rPr>
              <w:t xml:space="preserve"> training support.</w:t>
            </w:r>
          </w:p>
        </w:tc>
      </w:tr>
      <w:tr w:rsidRPr="002C1777" w:rsidR="00E13540" w:rsidTr="56667ACB" w14:paraId="7A2982A2" w14:textId="77777777">
        <w:trPr>
          <w:trHeight w:val="210"/>
        </w:trPr>
        <w:tc>
          <w:tcPr>
            <w:tcW w:w="1693" w:type="dxa"/>
            <w:tcBorders>
              <w:top w:val="single" w:color="auto" w:sz="6" w:space="0"/>
              <w:left w:val="single" w:color="auto" w:sz="6" w:space="0"/>
              <w:bottom w:val="single" w:color="auto" w:sz="6" w:space="0"/>
              <w:right w:val="single" w:color="auto" w:sz="6" w:space="0"/>
            </w:tcBorders>
            <w:shd w:val="clear" w:color="auto" w:fill="auto"/>
          </w:tcPr>
          <w:p w:rsidRPr="002C1777" w:rsidR="00E13540" w:rsidP="000E3515" w:rsidRDefault="00E13540" w14:paraId="35E8D664" w14:textId="389A46F2">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lastRenderedPageBreak/>
              <w:t>Definitions</w:t>
            </w:r>
          </w:p>
        </w:tc>
        <w:tc>
          <w:tcPr>
            <w:tcW w:w="7317" w:type="dxa"/>
            <w:tcBorders>
              <w:top w:val="single" w:color="auto" w:sz="6" w:space="0"/>
              <w:left w:val="single" w:color="auto" w:sz="6" w:space="0"/>
              <w:bottom w:val="single" w:color="auto" w:sz="6" w:space="0"/>
              <w:right w:val="single" w:color="auto" w:sz="6" w:space="0"/>
            </w:tcBorders>
            <w:shd w:val="clear" w:color="auto" w:fill="auto"/>
          </w:tcPr>
          <w:p w:rsidRPr="002C1777" w:rsidR="00E13540" w:rsidP="00E42E2F" w:rsidRDefault="00344E2E" w14:paraId="7411C671" w14:textId="5F4DD8D5">
            <w:pPr>
              <w:spacing w:after="120" w:line="240" w:lineRule="auto"/>
              <w:ind w:left="57"/>
              <w:rPr>
                <w:rFonts w:ascii="Arial" w:hAnsi="Arial" w:cs="Arial"/>
              </w:rPr>
            </w:pPr>
            <w:r w:rsidRPr="002C1777">
              <w:rPr>
                <w:rFonts w:ascii="Arial" w:hAnsi="Arial" w:cs="Arial"/>
              </w:rPr>
              <w:t xml:space="preserve">Volunteering is when someone </w:t>
            </w:r>
            <w:r w:rsidRPr="002C1777" w:rsidR="00D12416">
              <w:rPr>
                <w:rFonts w:ascii="Arial" w:hAnsi="Arial" w:cs="Arial"/>
              </w:rPr>
              <w:t xml:space="preserve">chooses to </w:t>
            </w:r>
            <w:r w:rsidRPr="002C1777">
              <w:rPr>
                <w:rFonts w:ascii="Arial" w:hAnsi="Arial" w:cs="Arial"/>
              </w:rPr>
              <w:t xml:space="preserve">spend </w:t>
            </w:r>
            <w:r w:rsidRPr="002C1777" w:rsidR="00D12416">
              <w:rPr>
                <w:rFonts w:ascii="Arial" w:hAnsi="Arial" w:cs="Arial"/>
              </w:rPr>
              <w:t>their</w:t>
            </w:r>
            <w:r w:rsidRPr="002C1777">
              <w:rPr>
                <w:rFonts w:ascii="Arial" w:hAnsi="Arial" w:cs="Arial"/>
              </w:rPr>
              <w:t xml:space="preserve"> time</w:t>
            </w:r>
            <w:r w:rsidRPr="002C1777" w:rsidR="00D12416">
              <w:rPr>
                <w:rFonts w:ascii="Arial" w:hAnsi="Arial" w:cs="Arial"/>
              </w:rPr>
              <w:t>, unpaid,</w:t>
            </w:r>
            <w:r w:rsidRPr="002C1777">
              <w:rPr>
                <w:rFonts w:ascii="Arial" w:hAnsi="Arial" w:cs="Arial"/>
              </w:rPr>
              <w:t xml:space="preserve"> doing something to benefit others</w:t>
            </w:r>
            <w:r w:rsidRPr="002C1777" w:rsidR="002E34C2">
              <w:rPr>
                <w:rFonts w:ascii="Arial" w:hAnsi="Arial" w:cs="Arial"/>
              </w:rPr>
              <w:t xml:space="preserve"> and/or the environment</w:t>
            </w:r>
            <w:r w:rsidRPr="002C1777">
              <w:rPr>
                <w:rFonts w:ascii="Arial" w:hAnsi="Arial" w:cs="Arial"/>
              </w:rPr>
              <w:t>.</w:t>
            </w:r>
            <w:r w:rsidRPr="002C1777" w:rsidR="00BA5A1A">
              <w:rPr>
                <w:rFonts w:ascii="Arial" w:hAnsi="Arial" w:cs="Arial"/>
              </w:rPr>
              <w:t xml:space="preserve"> </w:t>
            </w:r>
            <w:r w:rsidRPr="002C1777">
              <w:rPr>
                <w:rFonts w:ascii="Arial" w:hAnsi="Arial" w:cs="Arial"/>
              </w:rPr>
              <w:t xml:space="preserve">Helping close friends or relatives isn't volunteering. </w:t>
            </w:r>
            <w:r w:rsidRPr="002C1777" w:rsidR="005B08C1">
              <w:rPr>
                <w:rFonts w:ascii="Arial" w:hAnsi="Arial" w:cs="Arial"/>
              </w:rPr>
              <w:t>Nor is work experience or student placements.</w:t>
            </w:r>
            <w:r w:rsidRPr="002C1777" w:rsidR="00524F73">
              <w:rPr>
                <w:rFonts w:ascii="Arial" w:hAnsi="Arial" w:cs="Arial"/>
              </w:rPr>
              <w:t xml:space="preserve"> </w:t>
            </w:r>
            <w:r w:rsidRPr="002C1777" w:rsidR="00F7489E">
              <w:rPr>
                <w:rFonts w:ascii="Arial" w:hAnsi="Arial" w:cs="Arial"/>
              </w:rPr>
              <w:t xml:space="preserve">We expect volunteering opportunities to add value to existing provision and </w:t>
            </w:r>
            <w:r w:rsidRPr="002C1777" w:rsidR="00F85478">
              <w:rPr>
                <w:rFonts w:ascii="Arial" w:hAnsi="Arial" w:cs="Arial"/>
              </w:rPr>
              <w:t>to avoid</w:t>
            </w:r>
            <w:r w:rsidRPr="002C1777" w:rsidR="00F7489E">
              <w:rPr>
                <w:rFonts w:ascii="Arial" w:hAnsi="Arial" w:cs="Arial"/>
              </w:rPr>
              <w:t xml:space="preserve"> substituting paid roles and/or statutory obligations</w:t>
            </w:r>
            <w:r w:rsidRPr="002C1777" w:rsidR="00F85478">
              <w:rPr>
                <w:rFonts w:ascii="Arial" w:hAnsi="Arial" w:cs="Arial"/>
              </w:rPr>
              <w:t>.</w:t>
            </w:r>
          </w:p>
          <w:p w:rsidRPr="002C1777" w:rsidR="00E13540" w:rsidP="00E42E2F" w:rsidRDefault="00E13540" w14:paraId="7EE0F05A" w14:textId="089A554C">
            <w:pPr>
              <w:spacing w:after="120" w:line="240" w:lineRule="auto"/>
              <w:ind w:left="57"/>
              <w:textAlignment w:val="baseline"/>
              <w:rPr>
                <w:rFonts w:ascii="Arial" w:hAnsi="Arial" w:eastAsia="Times New Roman" w:cs="Arial"/>
                <w:lang w:eastAsia="en-GB"/>
              </w:rPr>
            </w:pPr>
            <w:r w:rsidRPr="002C1777">
              <w:rPr>
                <w:rFonts w:ascii="Arial" w:hAnsi="Arial" w:eastAsia="Times New Roman" w:cs="Arial"/>
                <w:lang w:eastAsia="en-GB"/>
              </w:rPr>
              <w:t>Social Action</w:t>
            </w:r>
            <w:r w:rsidRPr="002C1777" w:rsidR="002D73BA">
              <w:rPr>
                <w:rFonts w:ascii="Arial" w:hAnsi="Arial" w:eastAsia="Times New Roman" w:cs="Arial"/>
                <w:lang w:eastAsia="en-GB"/>
              </w:rPr>
              <w:t xml:space="preserve"> is about communities coming together to solve issues that are important to them. </w:t>
            </w:r>
            <w:r w:rsidRPr="002C1777" w:rsidR="00F31A54">
              <w:rPr>
                <w:rFonts w:ascii="Arial" w:hAnsi="Arial" w:eastAsia="Times New Roman" w:cs="Arial"/>
                <w:lang w:eastAsia="en-GB"/>
              </w:rPr>
              <w:t xml:space="preserve">It tends to be less formal </w:t>
            </w:r>
            <w:r w:rsidRPr="002C1777" w:rsidR="003D52EA">
              <w:rPr>
                <w:rFonts w:ascii="Arial" w:hAnsi="Arial" w:eastAsia="Times New Roman" w:cs="Arial"/>
                <w:lang w:eastAsia="en-GB"/>
              </w:rPr>
              <w:t xml:space="preserve">and </w:t>
            </w:r>
            <w:r w:rsidR="00C719C7">
              <w:rPr>
                <w:rFonts w:ascii="Arial" w:hAnsi="Arial" w:eastAsia="Times New Roman" w:cs="Arial"/>
                <w:lang w:eastAsia="en-GB"/>
              </w:rPr>
              <w:t xml:space="preserve">less </w:t>
            </w:r>
            <w:r w:rsidRPr="002C1777" w:rsidR="003D52EA">
              <w:rPr>
                <w:rFonts w:ascii="Arial" w:hAnsi="Arial" w:eastAsia="Times New Roman" w:cs="Arial"/>
                <w:lang w:eastAsia="en-GB"/>
              </w:rPr>
              <w:t xml:space="preserve">structed </w:t>
            </w:r>
            <w:r w:rsidRPr="002C1777" w:rsidR="00F31A54">
              <w:rPr>
                <w:rFonts w:ascii="Arial" w:hAnsi="Arial" w:eastAsia="Times New Roman" w:cs="Arial"/>
                <w:lang w:eastAsia="en-GB"/>
              </w:rPr>
              <w:t xml:space="preserve">than </w:t>
            </w:r>
            <w:r w:rsidRPr="002C1777" w:rsidR="00D91502">
              <w:rPr>
                <w:rFonts w:ascii="Arial" w:hAnsi="Arial" w:eastAsia="Times New Roman" w:cs="Arial"/>
                <w:lang w:eastAsia="en-GB"/>
              </w:rPr>
              <w:t xml:space="preserve">our definition of </w:t>
            </w:r>
            <w:r w:rsidRPr="002C1777" w:rsidR="00F31A54">
              <w:rPr>
                <w:rFonts w:ascii="Arial" w:hAnsi="Arial" w:eastAsia="Times New Roman" w:cs="Arial"/>
                <w:lang w:eastAsia="en-GB"/>
              </w:rPr>
              <w:t>volunteering</w:t>
            </w:r>
            <w:r w:rsidRPr="002C1777" w:rsidR="00D91502">
              <w:rPr>
                <w:rFonts w:ascii="Arial" w:hAnsi="Arial" w:eastAsia="Times New Roman" w:cs="Arial"/>
                <w:lang w:eastAsia="en-GB"/>
              </w:rPr>
              <w:t xml:space="preserve"> above</w:t>
            </w:r>
            <w:r w:rsidRPr="002C1777" w:rsidR="005C07E2">
              <w:rPr>
                <w:rFonts w:ascii="Arial" w:hAnsi="Arial" w:eastAsia="Times New Roman" w:cs="Arial"/>
                <w:lang w:eastAsia="en-GB"/>
              </w:rPr>
              <w:t>.</w:t>
            </w:r>
          </w:p>
          <w:p w:rsidRPr="002C1777" w:rsidR="00E13540" w:rsidP="00E42E2F" w:rsidRDefault="005B08C1" w14:paraId="407596DD" w14:textId="4306B578">
            <w:pPr>
              <w:spacing w:after="120" w:line="240" w:lineRule="auto"/>
              <w:ind w:left="57"/>
              <w:textAlignment w:val="baseline"/>
              <w:rPr>
                <w:rFonts w:ascii="Arial" w:hAnsi="Arial" w:eastAsia="Times New Roman" w:cs="Arial"/>
                <w:lang w:eastAsia="en-GB"/>
              </w:rPr>
            </w:pPr>
            <w:r w:rsidRPr="002C1777">
              <w:rPr>
                <w:rFonts w:ascii="Arial" w:hAnsi="Arial" w:eastAsia="Times New Roman" w:cs="Arial"/>
                <w:lang w:eastAsia="en-GB"/>
              </w:rPr>
              <w:t xml:space="preserve">The </w:t>
            </w:r>
            <w:r w:rsidRPr="002C1777" w:rsidR="002663A5">
              <w:rPr>
                <w:rFonts w:ascii="Arial" w:hAnsi="Arial" w:eastAsia="Times New Roman" w:cs="Arial"/>
                <w:lang w:eastAsia="en-GB"/>
              </w:rPr>
              <w:t>VCSE sector</w:t>
            </w:r>
            <w:r w:rsidRPr="002C1777">
              <w:rPr>
                <w:rFonts w:ascii="Arial" w:hAnsi="Arial" w:eastAsia="Times New Roman" w:cs="Arial"/>
                <w:lang w:eastAsia="en-GB"/>
              </w:rPr>
              <w:t xml:space="preserve"> is made up of </w:t>
            </w:r>
            <w:r w:rsidRPr="002C1777" w:rsidR="00982575">
              <w:rPr>
                <w:rFonts w:ascii="Arial" w:hAnsi="Arial" w:eastAsia="Times New Roman" w:cs="Arial"/>
                <w:lang w:eastAsia="en-GB"/>
              </w:rPr>
              <w:t>incorporated voluntary, community or social enterprise organisation which serve our communities.</w:t>
            </w:r>
            <w:r w:rsidRPr="002C1777" w:rsidR="001171E4">
              <w:rPr>
                <w:rFonts w:ascii="Arial" w:hAnsi="Arial" w:eastAsia="Times New Roman" w:cs="Arial"/>
                <w:lang w:eastAsia="en-GB"/>
              </w:rPr>
              <w:t xml:space="preserve"> Organisations within this sector tend to be registered charities, Community Interest Companies</w:t>
            </w:r>
            <w:r w:rsidRPr="002C1777" w:rsidR="00C224CD">
              <w:rPr>
                <w:rFonts w:ascii="Arial" w:hAnsi="Arial" w:eastAsia="Times New Roman" w:cs="Arial"/>
                <w:lang w:eastAsia="en-GB"/>
              </w:rPr>
              <w:t xml:space="preserve"> and constituted community groups.</w:t>
            </w:r>
            <w:r w:rsidRPr="002C1777" w:rsidR="001171E4">
              <w:rPr>
                <w:rFonts w:ascii="Arial" w:hAnsi="Arial" w:eastAsia="Times New Roman" w:cs="Arial"/>
                <w:lang w:eastAsia="en-GB"/>
              </w:rPr>
              <w:t xml:space="preserve"> </w:t>
            </w:r>
          </w:p>
        </w:tc>
      </w:tr>
      <w:tr w:rsidRPr="002C1777" w:rsidR="00135EF7" w:rsidTr="56667ACB" w14:paraId="46E054CA" w14:textId="77777777">
        <w:trPr>
          <w:trHeight w:val="21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62AE7BEF"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Eligible match funding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5AD56068" w14:textId="61E81C37">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NTCA welcomes pro</w:t>
            </w:r>
            <w:r w:rsidR="005253FF">
              <w:rPr>
                <w:rFonts w:ascii="Arial" w:hAnsi="Arial" w:eastAsia="Times New Roman" w:cs="Arial"/>
                <w:lang w:eastAsia="en-GB"/>
              </w:rPr>
              <w:t>gramme</w:t>
            </w:r>
            <w:r w:rsidRPr="002C1777">
              <w:rPr>
                <w:rFonts w:ascii="Arial" w:hAnsi="Arial" w:eastAsia="Times New Roman" w:cs="Arial"/>
                <w:lang w:eastAsia="en-GB"/>
              </w:rPr>
              <w:t>s that bring match funding. There is no set level of match funding required, however, NTCA expects match funding to be auditable and attributable to project expenditure. Therefore, match funding for pro</w:t>
            </w:r>
            <w:r w:rsidR="005253FF">
              <w:rPr>
                <w:rFonts w:ascii="Arial" w:hAnsi="Arial" w:eastAsia="Times New Roman" w:cs="Arial"/>
                <w:lang w:eastAsia="en-GB"/>
              </w:rPr>
              <w:t>grammes</w:t>
            </w:r>
            <w:r w:rsidRPr="002C1777">
              <w:rPr>
                <w:rFonts w:ascii="Arial" w:hAnsi="Arial" w:eastAsia="Times New Roman" w:cs="Arial"/>
                <w:lang w:eastAsia="en-GB"/>
              </w:rPr>
              <w:t xml:space="preserve"> must relate to actual pro</w:t>
            </w:r>
            <w:r w:rsidR="005253FF">
              <w:rPr>
                <w:rFonts w:ascii="Arial" w:hAnsi="Arial" w:eastAsia="Times New Roman" w:cs="Arial"/>
                <w:lang w:eastAsia="en-GB"/>
              </w:rPr>
              <w:t>gramme</w:t>
            </w:r>
            <w:r w:rsidRPr="002C1777">
              <w:rPr>
                <w:rFonts w:ascii="Arial" w:hAnsi="Arial" w:eastAsia="Times New Roman" w:cs="Arial"/>
                <w:lang w:eastAsia="en-GB"/>
              </w:rPr>
              <w:t xml:space="preserve"> expenditure. Please see guidance for additional information.</w:t>
            </w:r>
          </w:p>
        </w:tc>
      </w:tr>
      <w:tr w:rsidRPr="002C1777" w:rsidR="00135EF7" w:rsidTr="56667ACB" w14:paraId="6E619FB2" w14:textId="77777777">
        <w:trPr>
          <w:trHeight w:val="3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2721AF83"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Procurement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5256FE2B" w14:textId="5712D25E">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Applications must demonstrate that the pro</w:t>
            </w:r>
            <w:r w:rsidR="005253FF">
              <w:rPr>
                <w:rFonts w:ascii="Arial" w:hAnsi="Arial" w:eastAsia="Times New Roman" w:cs="Arial"/>
                <w:lang w:eastAsia="en-GB"/>
              </w:rPr>
              <w:t>gramme</w:t>
            </w:r>
            <w:r w:rsidRPr="002C1777">
              <w:rPr>
                <w:rFonts w:ascii="Arial" w:hAnsi="Arial" w:eastAsia="Times New Roman" w:cs="Arial"/>
                <w:lang w:eastAsia="en-GB"/>
              </w:rPr>
              <w:t xml:space="preserve"> will follow national procurement regulations (where applicable), and that procurement processes achieve best value for money for public funds.  </w:t>
            </w:r>
          </w:p>
        </w:tc>
      </w:tr>
      <w:tr w:rsidRPr="002C1777" w:rsidR="00135EF7" w:rsidTr="56667ACB" w14:paraId="169EC96F" w14:textId="77777777">
        <w:trPr>
          <w:trHeight w:val="30"/>
        </w:trPr>
        <w:tc>
          <w:tcPr>
            <w:tcW w:w="1693"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323854F8" w14:textId="77777777">
            <w:pPr>
              <w:ind w:left="127"/>
              <w:textAlignment w:val="baseline"/>
              <w:rPr>
                <w:rFonts w:ascii="Arial" w:hAnsi="Arial" w:eastAsia="Times New Roman" w:cs="Arial"/>
                <w:b/>
                <w:bCs/>
                <w:lang w:eastAsia="en-GB"/>
              </w:rPr>
            </w:pPr>
            <w:r w:rsidRPr="002C1777">
              <w:rPr>
                <w:rFonts w:ascii="Arial" w:hAnsi="Arial" w:eastAsia="Times New Roman" w:cs="Arial"/>
                <w:b/>
                <w:bCs/>
                <w:lang w:eastAsia="en-GB"/>
              </w:rPr>
              <w:t>Calculation and eligibility of costs </w:t>
            </w:r>
          </w:p>
        </w:tc>
        <w:tc>
          <w:tcPr>
            <w:tcW w:w="7317" w:type="dxa"/>
            <w:tcBorders>
              <w:top w:val="single" w:color="auto" w:sz="6" w:space="0"/>
              <w:left w:val="single" w:color="auto" w:sz="6" w:space="0"/>
              <w:bottom w:val="single" w:color="auto" w:sz="6" w:space="0"/>
              <w:right w:val="single" w:color="auto" w:sz="6" w:space="0"/>
            </w:tcBorders>
            <w:shd w:val="clear" w:color="auto" w:fill="auto"/>
            <w:hideMark/>
          </w:tcPr>
          <w:p w:rsidRPr="002C1777" w:rsidR="00135EF7" w:rsidP="000E3515" w:rsidRDefault="00135EF7" w14:paraId="362077C0" w14:textId="5A45CC19">
            <w:pPr>
              <w:spacing w:after="120"/>
              <w:ind w:left="109"/>
              <w:textAlignment w:val="baseline"/>
              <w:rPr>
                <w:rFonts w:ascii="Arial" w:hAnsi="Arial" w:eastAsia="Times New Roman" w:cs="Arial"/>
                <w:lang w:eastAsia="en-GB"/>
              </w:rPr>
            </w:pPr>
            <w:r w:rsidRPr="002C1777">
              <w:rPr>
                <w:rFonts w:ascii="Arial" w:hAnsi="Arial" w:eastAsia="Times New Roman" w:cs="Arial"/>
                <w:lang w:eastAsia="en-GB"/>
              </w:rPr>
              <w:t>Please see guidance document for additional information regarding the calculation and eligibility of costs.</w:t>
            </w:r>
          </w:p>
        </w:tc>
      </w:tr>
    </w:tbl>
    <w:p w:rsidRPr="002C1777" w:rsidR="00135EF7" w:rsidP="00135EF7" w:rsidRDefault="00135EF7" w14:paraId="40454D57" w14:textId="77777777">
      <w:pPr>
        <w:rPr>
          <w:rFonts w:ascii="Arial" w:hAnsi="Arial" w:cs="Arial"/>
          <w:color w:val="008080"/>
          <w:sz w:val="24"/>
          <w:szCs w:val="24"/>
        </w:rPr>
      </w:pPr>
    </w:p>
    <w:p w:rsidRPr="002C1777" w:rsidR="00C26B5F" w:rsidRDefault="009B55A1" w14:paraId="7485EA80" w14:textId="46DEB9BC">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78" w:id="9"/>
      <w:r w:rsidRPr="002C1777">
        <w:rPr>
          <w:rFonts w:ascii="Arial" w:hAnsi="Arial" w:cs="Arial"/>
          <w:b/>
          <w:bCs/>
          <w:sz w:val="24"/>
          <w:szCs w:val="24"/>
        </w:rPr>
        <w:t>Call o</w:t>
      </w:r>
      <w:r w:rsidRPr="002C1777" w:rsidR="00C26B5F">
        <w:rPr>
          <w:rFonts w:ascii="Arial" w:hAnsi="Arial" w:cs="Arial"/>
          <w:b/>
          <w:bCs/>
          <w:sz w:val="24"/>
          <w:szCs w:val="24"/>
        </w:rPr>
        <w:t>bjectives</w:t>
      </w:r>
      <w:bookmarkEnd w:id="9"/>
    </w:p>
    <w:p w:rsidRPr="002C1777" w:rsidR="00893E3F" w:rsidP="002D7CFF" w:rsidRDefault="00893E3F" w14:paraId="7BAD834F" w14:textId="79CACA8A">
      <w:pPr>
        <w:rPr>
          <w:rFonts w:ascii="Arial" w:hAnsi="Arial" w:cs="Arial"/>
        </w:rPr>
      </w:pPr>
      <w:r w:rsidRPr="002C1777">
        <w:rPr>
          <w:rFonts w:ascii="Arial" w:hAnsi="Arial" w:cs="Arial"/>
        </w:rPr>
        <w:t xml:space="preserve">The purpose of this programme of activity is to both better co-ordinate, and to increase the scale, scope and quality of volunteering </w:t>
      </w:r>
      <w:r w:rsidRPr="002C1777" w:rsidR="00C95FCB">
        <w:rPr>
          <w:rFonts w:ascii="Arial" w:hAnsi="Arial" w:cs="Arial"/>
        </w:rPr>
        <w:t xml:space="preserve">and social action </w:t>
      </w:r>
      <w:r w:rsidRPr="002C1777">
        <w:rPr>
          <w:rFonts w:ascii="Arial" w:hAnsi="Arial" w:cs="Arial"/>
        </w:rPr>
        <w:t>opportunities across the North of Tyne area, building on and adding to the volunteering activity currently provided by Local Infrastructure Organisations</w:t>
      </w:r>
      <w:r w:rsidRPr="002C1777" w:rsidR="00FF4471">
        <w:rPr>
          <w:rFonts w:ascii="Arial" w:hAnsi="Arial" w:cs="Arial"/>
        </w:rPr>
        <w:t xml:space="preserve"> and Volunteer Centres</w:t>
      </w:r>
      <w:r w:rsidRPr="002C1777">
        <w:rPr>
          <w:rFonts w:ascii="Arial" w:hAnsi="Arial" w:cs="Arial"/>
        </w:rPr>
        <w:t>.</w:t>
      </w:r>
    </w:p>
    <w:p w:rsidRPr="002C1777" w:rsidR="00E42E2F" w:rsidP="002D7CFF" w:rsidRDefault="00E42E2F" w14:paraId="7C92FEF1" w14:textId="0C30F11B">
      <w:pPr>
        <w:rPr>
          <w:rFonts w:ascii="Arial" w:hAnsi="Arial" w:cs="Arial"/>
        </w:rPr>
      </w:pPr>
      <w:r w:rsidRPr="002C1777">
        <w:rPr>
          <w:rFonts w:ascii="Arial" w:hAnsi="Arial" w:cs="Arial"/>
        </w:rPr>
        <w:t>We are seeking to invest in one pro</w:t>
      </w:r>
      <w:r w:rsidR="006D61E6">
        <w:rPr>
          <w:rFonts w:ascii="Arial" w:hAnsi="Arial" w:cs="Arial"/>
        </w:rPr>
        <w:t>gramme</w:t>
      </w:r>
      <w:r w:rsidRPr="002C1777">
        <w:rPr>
          <w:rFonts w:ascii="Arial" w:hAnsi="Arial" w:cs="Arial"/>
        </w:rPr>
        <w:t xml:space="preserve">, that can deliver activity across the North of Tyne area. </w:t>
      </w:r>
    </w:p>
    <w:p w:rsidRPr="002C1777" w:rsidR="00600AAE" w:rsidP="006846A9" w:rsidRDefault="00515F5D" w14:paraId="57D57A6E" w14:textId="0D59782B">
      <w:pPr>
        <w:spacing w:after="120" w:line="240" w:lineRule="auto"/>
        <w:rPr>
          <w:rFonts w:ascii="Arial" w:hAnsi="Arial" w:cs="Arial"/>
        </w:rPr>
      </w:pPr>
      <w:r w:rsidRPr="002C1777">
        <w:rPr>
          <w:rFonts w:ascii="Arial" w:hAnsi="Arial" w:cs="Arial"/>
        </w:rPr>
        <w:t>The specific objectives of th</w:t>
      </w:r>
      <w:r w:rsidRPr="002C1777" w:rsidR="00C41D73">
        <w:rPr>
          <w:rFonts w:ascii="Arial" w:hAnsi="Arial" w:cs="Arial"/>
        </w:rPr>
        <w:t>is</w:t>
      </w:r>
      <w:r w:rsidRPr="002C1777">
        <w:rPr>
          <w:rFonts w:ascii="Arial" w:hAnsi="Arial" w:cs="Arial"/>
        </w:rPr>
        <w:t xml:space="preserve"> </w:t>
      </w:r>
      <w:r w:rsidRPr="002C1777" w:rsidR="00E42E2F">
        <w:rPr>
          <w:rFonts w:ascii="Arial" w:hAnsi="Arial" w:cs="Arial"/>
        </w:rPr>
        <w:t>investment</w:t>
      </w:r>
      <w:r w:rsidRPr="002C1777">
        <w:rPr>
          <w:rFonts w:ascii="Arial" w:hAnsi="Arial" w:cs="Arial"/>
        </w:rPr>
        <w:t xml:space="preserve"> are to</w:t>
      </w:r>
      <w:r w:rsidRPr="002C1777" w:rsidR="00E42E2F">
        <w:rPr>
          <w:rFonts w:ascii="Arial" w:hAnsi="Arial" w:cs="Arial"/>
        </w:rPr>
        <w:t>:</w:t>
      </w:r>
    </w:p>
    <w:p w:rsidRPr="002C1777" w:rsidR="006F7A9E" w:rsidP="006F7A9E" w:rsidRDefault="004A7369" w14:paraId="6EC7403C" w14:textId="77777777">
      <w:pPr>
        <w:pStyle w:val="ListParagraph"/>
        <w:numPr>
          <w:ilvl w:val="0"/>
          <w:numId w:val="5"/>
        </w:numPr>
        <w:spacing w:after="120" w:line="240" w:lineRule="auto"/>
        <w:ind w:left="697" w:hanging="357"/>
        <w:contextualSpacing w:val="0"/>
        <w:rPr>
          <w:rFonts w:ascii="Arial" w:hAnsi="Arial" w:cs="Arial"/>
        </w:rPr>
      </w:pPr>
      <w:r w:rsidRPr="002C1777">
        <w:rPr>
          <w:rFonts w:ascii="Arial" w:hAnsi="Arial" w:cs="Arial"/>
        </w:rPr>
        <w:t>D</w:t>
      </w:r>
      <w:r w:rsidRPr="002C1777" w:rsidR="00ED7A2C">
        <w:rPr>
          <w:rFonts w:ascii="Arial" w:hAnsi="Arial" w:cs="Arial"/>
        </w:rPr>
        <w:t xml:space="preserve">evelop </w:t>
      </w:r>
      <w:r w:rsidRPr="002C1777" w:rsidR="002F74F0">
        <w:rPr>
          <w:rFonts w:ascii="Arial" w:hAnsi="Arial" w:cs="Arial"/>
        </w:rPr>
        <w:t xml:space="preserve">more </w:t>
      </w:r>
      <w:r w:rsidRPr="002C1777" w:rsidR="00044D17">
        <w:rPr>
          <w:rFonts w:ascii="Arial" w:hAnsi="Arial" w:cs="Arial"/>
        </w:rPr>
        <w:t>opportunitie</w:t>
      </w:r>
      <w:r w:rsidRPr="002C1777" w:rsidR="00EB4566">
        <w:rPr>
          <w:rFonts w:ascii="Arial" w:hAnsi="Arial" w:cs="Arial"/>
        </w:rPr>
        <w:t>s</w:t>
      </w:r>
      <w:r w:rsidRPr="002C1777" w:rsidR="00044D17">
        <w:rPr>
          <w:rFonts w:ascii="Arial" w:hAnsi="Arial" w:cs="Arial"/>
        </w:rPr>
        <w:t xml:space="preserve"> for </w:t>
      </w:r>
      <w:r w:rsidRPr="002C1777" w:rsidR="00643DE0">
        <w:rPr>
          <w:rFonts w:ascii="Arial" w:hAnsi="Arial" w:cs="Arial"/>
        </w:rPr>
        <w:t>North of Tyne res</w:t>
      </w:r>
      <w:r w:rsidRPr="002C1777" w:rsidR="004F33BE">
        <w:rPr>
          <w:rFonts w:ascii="Arial" w:hAnsi="Arial" w:cs="Arial"/>
        </w:rPr>
        <w:t>i</w:t>
      </w:r>
      <w:r w:rsidRPr="002C1777" w:rsidR="00643DE0">
        <w:rPr>
          <w:rFonts w:ascii="Arial" w:hAnsi="Arial" w:cs="Arial"/>
        </w:rPr>
        <w:t>dents</w:t>
      </w:r>
      <w:r w:rsidRPr="002C1777" w:rsidR="00044D17">
        <w:rPr>
          <w:rFonts w:ascii="Arial" w:hAnsi="Arial" w:cs="Arial"/>
        </w:rPr>
        <w:t xml:space="preserve"> </w:t>
      </w:r>
      <w:r w:rsidRPr="002C1777" w:rsidR="00F17A6A">
        <w:rPr>
          <w:rFonts w:ascii="Arial" w:hAnsi="Arial" w:cs="Arial"/>
        </w:rPr>
        <w:t>from all walks of life</w:t>
      </w:r>
      <w:r w:rsidRPr="002C1777" w:rsidR="00E42E2F">
        <w:rPr>
          <w:rFonts w:ascii="Arial" w:hAnsi="Arial" w:cs="Arial"/>
        </w:rPr>
        <w:t xml:space="preserve"> </w:t>
      </w:r>
      <w:r w:rsidRPr="002C1777" w:rsidR="004F33BE">
        <w:rPr>
          <w:rFonts w:ascii="Arial" w:hAnsi="Arial" w:cs="Arial"/>
        </w:rPr>
        <w:t>t</w:t>
      </w:r>
      <w:r w:rsidRPr="002C1777" w:rsidR="00F17A6A">
        <w:rPr>
          <w:rFonts w:ascii="Arial" w:hAnsi="Arial" w:cs="Arial"/>
        </w:rPr>
        <w:t xml:space="preserve">o access high-quality volunteering </w:t>
      </w:r>
      <w:r w:rsidRPr="002C1777" w:rsidR="00ED7A2C">
        <w:rPr>
          <w:rFonts w:ascii="Arial" w:hAnsi="Arial" w:cs="Arial"/>
        </w:rPr>
        <w:t>roles</w:t>
      </w:r>
      <w:r w:rsidRPr="002C1777" w:rsidR="00EB4566">
        <w:rPr>
          <w:rFonts w:ascii="Arial" w:hAnsi="Arial" w:cs="Arial"/>
        </w:rPr>
        <w:t xml:space="preserve"> </w:t>
      </w:r>
      <w:r w:rsidRPr="002C1777" w:rsidR="00CC08B5">
        <w:rPr>
          <w:rFonts w:ascii="Arial" w:hAnsi="Arial" w:cs="Arial"/>
        </w:rPr>
        <w:t>that respond to local need</w:t>
      </w:r>
      <w:r w:rsidRPr="002C1777" w:rsidR="00E42E2F">
        <w:rPr>
          <w:rFonts w:ascii="Arial" w:hAnsi="Arial" w:cs="Arial"/>
        </w:rPr>
        <w:t>.</w:t>
      </w:r>
      <w:r w:rsidRPr="002C1777">
        <w:rPr>
          <w:rFonts w:ascii="Arial" w:hAnsi="Arial" w:cs="Arial"/>
        </w:rPr>
        <w:t xml:space="preserve"> </w:t>
      </w:r>
      <w:r w:rsidRPr="002C1777" w:rsidR="00BE34DF">
        <w:rPr>
          <w:rFonts w:ascii="Arial" w:hAnsi="Arial" w:cs="Arial"/>
        </w:rPr>
        <w:t>By high quality we mean opportunities that are clearly defined, do not replace o</w:t>
      </w:r>
      <w:r w:rsidRPr="002C1777" w:rsidR="0024548F">
        <w:rPr>
          <w:rFonts w:ascii="Arial" w:hAnsi="Arial" w:cs="Arial"/>
        </w:rPr>
        <w:t>r</w:t>
      </w:r>
      <w:r w:rsidRPr="002C1777" w:rsidR="00BE34DF">
        <w:rPr>
          <w:rFonts w:ascii="Arial" w:hAnsi="Arial" w:cs="Arial"/>
        </w:rPr>
        <w:t xml:space="preserve"> duplicate paid work, </w:t>
      </w:r>
      <w:r w:rsidRPr="002C1777" w:rsidR="008759CA">
        <w:rPr>
          <w:rFonts w:ascii="Arial" w:hAnsi="Arial" w:cs="Arial"/>
        </w:rPr>
        <w:t xml:space="preserve">offer protection to volunteers via appropriate policies and procedures, </w:t>
      </w:r>
      <w:r w:rsidRPr="002C1777" w:rsidR="0024548F">
        <w:rPr>
          <w:rFonts w:ascii="Arial" w:hAnsi="Arial" w:cs="Arial"/>
        </w:rPr>
        <w:t xml:space="preserve">and </w:t>
      </w:r>
      <w:r w:rsidRPr="002C1777" w:rsidR="00037E4F">
        <w:rPr>
          <w:rFonts w:ascii="Arial" w:hAnsi="Arial" w:cs="Arial"/>
        </w:rPr>
        <w:t>offer</w:t>
      </w:r>
      <w:r w:rsidRPr="002C1777" w:rsidR="0024548F">
        <w:rPr>
          <w:rFonts w:ascii="Arial" w:hAnsi="Arial" w:cs="Arial"/>
        </w:rPr>
        <w:t xml:space="preserve"> </w:t>
      </w:r>
      <w:r w:rsidRPr="002C1777" w:rsidR="00037E4F">
        <w:rPr>
          <w:rFonts w:ascii="Arial" w:hAnsi="Arial" w:cs="Arial"/>
        </w:rPr>
        <w:t>suitable</w:t>
      </w:r>
      <w:r w:rsidRPr="002C1777" w:rsidR="0024548F">
        <w:rPr>
          <w:rFonts w:ascii="Arial" w:hAnsi="Arial" w:cs="Arial"/>
        </w:rPr>
        <w:t xml:space="preserve"> induction and training.</w:t>
      </w:r>
      <w:r w:rsidRPr="002C1777" w:rsidR="00336F67">
        <w:rPr>
          <w:rFonts w:ascii="Arial" w:hAnsi="Arial" w:cs="Arial"/>
        </w:rPr>
        <w:t xml:space="preserve"> We expect these opportunities to be accessible to residents who may face additional barriers to volunteering</w:t>
      </w:r>
      <w:r w:rsidRPr="002C1777" w:rsidR="00233DEE">
        <w:rPr>
          <w:rFonts w:ascii="Arial" w:hAnsi="Arial" w:cs="Arial"/>
        </w:rPr>
        <w:t xml:space="preserve"> due to l</w:t>
      </w:r>
      <w:r w:rsidRPr="002C1777" w:rsidR="00267596">
        <w:rPr>
          <w:rFonts w:ascii="Arial" w:hAnsi="Arial" w:cs="Arial"/>
        </w:rPr>
        <w:t>ack</w:t>
      </w:r>
      <w:r w:rsidRPr="002C1777" w:rsidR="00233DEE">
        <w:rPr>
          <w:rFonts w:ascii="Arial" w:hAnsi="Arial" w:cs="Arial"/>
        </w:rPr>
        <w:t xml:space="preserve"> of confidence, experience and/or protected characteristics. </w:t>
      </w:r>
    </w:p>
    <w:p w:rsidRPr="002C1777" w:rsidR="00440806" w:rsidP="00032CF9" w:rsidRDefault="006F7A9E" w14:paraId="449390CE" w14:textId="2FA334AD">
      <w:pPr>
        <w:pStyle w:val="ListParagraph"/>
        <w:numPr>
          <w:ilvl w:val="0"/>
          <w:numId w:val="5"/>
        </w:numPr>
        <w:spacing w:after="120" w:line="240" w:lineRule="auto"/>
        <w:ind w:left="697" w:hanging="357"/>
        <w:contextualSpacing w:val="0"/>
        <w:rPr>
          <w:rFonts w:ascii="Arial" w:hAnsi="Arial" w:cs="Arial"/>
        </w:rPr>
      </w:pPr>
      <w:r w:rsidRPr="002C1777">
        <w:rPr>
          <w:rFonts w:ascii="Arial" w:hAnsi="Arial" w:cs="Arial"/>
        </w:rPr>
        <w:t xml:space="preserve">Co-ordinate an accessible programme of free training and development opportunities for volunteers. It will be important that this offer does not duplicate the UKSPF People and Skills offer. We would expect training and development delivered within this programme to primarily be one-off non-accredited sessions that focus on the skills </w:t>
      </w:r>
      <w:r w:rsidRPr="002C1777">
        <w:rPr>
          <w:rFonts w:ascii="Arial" w:hAnsi="Arial" w:cs="Arial"/>
        </w:rPr>
        <w:lastRenderedPageBreak/>
        <w:t>and knowledge required for people to carry out volunteering roles. This might include things such as Safeguarding, Professional Boundaries, First Aid, Trustee Skills and Befriending.</w:t>
      </w:r>
    </w:p>
    <w:p w:rsidRPr="002C1777" w:rsidR="00E42E2F" w:rsidRDefault="00032CF9" w14:paraId="2E9E1F3E" w14:textId="6AAA4DCA">
      <w:pPr>
        <w:pStyle w:val="ListParagraph"/>
        <w:numPr>
          <w:ilvl w:val="0"/>
          <w:numId w:val="5"/>
        </w:numPr>
        <w:spacing w:after="120" w:line="240" w:lineRule="auto"/>
        <w:ind w:left="697" w:hanging="357"/>
        <w:contextualSpacing w:val="0"/>
        <w:rPr>
          <w:rFonts w:ascii="Arial" w:hAnsi="Arial" w:cs="Arial"/>
        </w:rPr>
      </w:pPr>
      <w:r w:rsidRPr="002C1777">
        <w:rPr>
          <w:rFonts w:ascii="Arial" w:hAnsi="Arial" w:cs="Arial"/>
        </w:rPr>
        <w:t>C</w:t>
      </w:r>
      <w:r w:rsidRPr="002C1777" w:rsidR="0076076B">
        <w:rPr>
          <w:rFonts w:ascii="Arial" w:hAnsi="Arial" w:cs="Arial"/>
        </w:rPr>
        <w:t>o-ordinate a</w:t>
      </w:r>
      <w:r w:rsidRPr="002C1777" w:rsidR="008E0322">
        <w:rPr>
          <w:rFonts w:ascii="Arial" w:hAnsi="Arial" w:cs="Arial"/>
        </w:rPr>
        <w:t>n accessible</w:t>
      </w:r>
      <w:r w:rsidRPr="002C1777" w:rsidR="0067542B">
        <w:rPr>
          <w:rFonts w:ascii="Arial" w:hAnsi="Arial" w:cs="Arial"/>
        </w:rPr>
        <w:t xml:space="preserve"> programme of</w:t>
      </w:r>
      <w:r w:rsidRPr="002C1777" w:rsidR="00985D58">
        <w:rPr>
          <w:rFonts w:ascii="Arial" w:hAnsi="Arial" w:cs="Arial"/>
        </w:rPr>
        <w:t xml:space="preserve"> support for volunteer-involving organisations</w:t>
      </w:r>
      <w:r w:rsidRPr="002C1777" w:rsidR="00E42E2F">
        <w:rPr>
          <w:rFonts w:ascii="Arial" w:hAnsi="Arial" w:cs="Arial"/>
        </w:rPr>
        <w:t xml:space="preserve"> based in the North of Tyne area,</w:t>
      </w:r>
      <w:r w:rsidRPr="002C1777" w:rsidR="0067542B">
        <w:rPr>
          <w:rFonts w:ascii="Arial" w:hAnsi="Arial" w:cs="Arial"/>
        </w:rPr>
        <w:t xml:space="preserve"> </w:t>
      </w:r>
      <w:r w:rsidRPr="002C1777" w:rsidR="00D63EE1">
        <w:rPr>
          <w:rFonts w:ascii="Arial" w:hAnsi="Arial" w:cs="Arial"/>
        </w:rPr>
        <w:t>to develop</w:t>
      </w:r>
      <w:r w:rsidRPr="002C1777" w:rsidR="00501CEC">
        <w:rPr>
          <w:rFonts w:ascii="Arial" w:hAnsi="Arial" w:cs="Arial"/>
        </w:rPr>
        <w:t xml:space="preserve"> their capacity to recruit</w:t>
      </w:r>
      <w:r w:rsidRPr="002C1777" w:rsidR="00EF2EE8">
        <w:rPr>
          <w:rFonts w:ascii="Arial" w:hAnsi="Arial" w:cs="Arial"/>
        </w:rPr>
        <w:t>, co-ordinate</w:t>
      </w:r>
      <w:r w:rsidRPr="002C1777" w:rsidR="00501CEC">
        <w:rPr>
          <w:rFonts w:ascii="Arial" w:hAnsi="Arial" w:cs="Arial"/>
        </w:rPr>
        <w:t xml:space="preserve"> and support volunteers</w:t>
      </w:r>
      <w:r w:rsidRPr="002C1777" w:rsidR="00E42E2F">
        <w:rPr>
          <w:rFonts w:ascii="Arial" w:hAnsi="Arial" w:cs="Arial"/>
        </w:rPr>
        <w:t>.</w:t>
      </w:r>
    </w:p>
    <w:p w:rsidRPr="002C1777" w:rsidR="00E42E2F" w:rsidRDefault="00D74DB2" w14:paraId="5DB1ABD1" w14:textId="15D90FA6">
      <w:pPr>
        <w:pStyle w:val="ListParagraph"/>
        <w:numPr>
          <w:ilvl w:val="0"/>
          <w:numId w:val="5"/>
        </w:numPr>
        <w:spacing w:after="120" w:line="240" w:lineRule="auto"/>
        <w:ind w:left="697" w:hanging="357"/>
        <w:contextualSpacing w:val="0"/>
        <w:rPr>
          <w:rFonts w:ascii="Arial" w:hAnsi="Arial" w:cs="Arial"/>
        </w:rPr>
      </w:pPr>
      <w:r w:rsidRPr="002C1777">
        <w:rPr>
          <w:rFonts w:ascii="Arial" w:hAnsi="Arial" w:cs="Arial"/>
        </w:rPr>
        <w:t>C</w:t>
      </w:r>
      <w:r w:rsidRPr="002C1777" w:rsidR="009643A9">
        <w:rPr>
          <w:rFonts w:ascii="Arial" w:hAnsi="Arial" w:cs="Arial"/>
        </w:rPr>
        <w:t>o-ordinate a</w:t>
      </w:r>
      <w:r w:rsidRPr="002C1777" w:rsidR="000F1406">
        <w:rPr>
          <w:rFonts w:ascii="Arial" w:hAnsi="Arial" w:cs="Arial"/>
        </w:rPr>
        <w:t>n offer of s</w:t>
      </w:r>
      <w:r w:rsidRPr="002C1777" w:rsidR="00DF5543">
        <w:rPr>
          <w:rFonts w:ascii="Arial" w:hAnsi="Arial" w:cs="Arial"/>
        </w:rPr>
        <w:t>upport</w:t>
      </w:r>
      <w:r w:rsidRPr="002C1777" w:rsidR="000F1406">
        <w:rPr>
          <w:rFonts w:ascii="Arial" w:hAnsi="Arial" w:cs="Arial"/>
        </w:rPr>
        <w:t xml:space="preserve"> for</w:t>
      </w:r>
      <w:r w:rsidRPr="002C1777" w:rsidR="00DF5543">
        <w:rPr>
          <w:rFonts w:ascii="Arial" w:hAnsi="Arial" w:cs="Arial"/>
        </w:rPr>
        <w:t xml:space="preserve"> local </w:t>
      </w:r>
      <w:r w:rsidRPr="002C1777" w:rsidR="00540F17">
        <w:rPr>
          <w:rFonts w:ascii="Arial" w:hAnsi="Arial" w:cs="Arial"/>
        </w:rPr>
        <w:t>groups</w:t>
      </w:r>
      <w:r w:rsidRPr="002C1777" w:rsidR="00E42E2F">
        <w:rPr>
          <w:rFonts w:ascii="Arial" w:hAnsi="Arial" w:cs="Arial"/>
        </w:rPr>
        <w:t xml:space="preserve"> based in the North of Tyne area,</w:t>
      </w:r>
      <w:r w:rsidRPr="002C1777" w:rsidR="00DF5543">
        <w:rPr>
          <w:rFonts w:ascii="Arial" w:hAnsi="Arial" w:cs="Arial"/>
        </w:rPr>
        <w:t xml:space="preserve"> </w:t>
      </w:r>
      <w:r w:rsidRPr="002C1777" w:rsidR="000F1406">
        <w:rPr>
          <w:rFonts w:ascii="Arial" w:hAnsi="Arial" w:cs="Arial"/>
        </w:rPr>
        <w:t xml:space="preserve">enabling them </w:t>
      </w:r>
      <w:r w:rsidRPr="002C1777" w:rsidR="00DF5543">
        <w:rPr>
          <w:rFonts w:ascii="Arial" w:hAnsi="Arial" w:cs="Arial"/>
        </w:rPr>
        <w:t>to deliver meaningful social action projects</w:t>
      </w:r>
      <w:r w:rsidRPr="002C1777">
        <w:rPr>
          <w:rFonts w:ascii="Arial" w:hAnsi="Arial" w:cs="Arial"/>
        </w:rPr>
        <w:t>. It will be important that this offer adds value to any similar place-based activity that might be delivered by Community Partnerships.</w:t>
      </w:r>
    </w:p>
    <w:p w:rsidRPr="002C1777" w:rsidR="00E6710F" w:rsidP="00E6710F" w:rsidRDefault="00D74DB2" w14:paraId="4400BAE6" w14:textId="58A51078">
      <w:pPr>
        <w:pStyle w:val="ListParagraph"/>
        <w:numPr>
          <w:ilvl w:val="0"/>
          <w:numId w:val="5"/>
        </w:numPr>
        <w:spacing w:after="120" w:line="240" w:lineRule="auto"/>
        <w:ind w:left="697" w:hanging="357"/>
        <w:contextualSpacing w:val="0"/>
        <w:rPr>
          <w:rFonts w:ascii="Arial" w:hAnsi="Arial" w:cs="Arial"/>
        </w:rPr>
      </w:pPr>
      <w:r w:rsidRPr="002C1777">
        <w:rPr>
          <w:rFonts w:ascii="Arial" w:hAnsi="Arial" w:cs="Arial"/>
        </w:rPr>
        <w:t>D</w:t>
      </w:r>
      <w:r w:rsidRPr="002C1777" w:rsidR="009643A9">
        <w:rPr>
          <w:rFonts w:ascii="Arial" w:hAnsi="Arial" w:cs="Arial"/>
        </w:rPr>
        <w:t>evelop a</w:t>
      </w:r>
      <w:r w:rsidRPr="002C1777" w:rsidR="000F1406">
        <w:rPr>
          <w:rFonts w:ascii="Arial" w:hAnsi="Arial" w:cs="Arial"/>
        </w:rPr>
        <w:t xml:space="preserve"> co-ordinated approach to </w:t>
      </w:r>
      <w:r w:rsidRPr="002C1777" w:rsidR="00E13540">
        <w:rPr>
          <w:rFonts w:ascii="Arial" w:hAnsi="Arial" w:cs="Arial"/>
        </w:rPr>
        <w:t>brokering</w:t>
      </w:r>
      <w:r w:rsidRPr="002C1777" w:rsidR="000F1406">
        <w:rPr>
          <w:rFonts w:ascii="Arial" w:hAnsi="Arial" w:cs="Arial"/>
        </w:rPr>
        <w:t xml:space="preserve"> o</w:t>
      </w:r>
      <w:r w:rsidRPr="002C1777" w:rsidR="00F17A6A">
        <w:rPr>
          <w:rFonts w:ascii="Arial" w:hAnsi="Arial" w:cs="Arial"/>
        </w:rPr>
        <w:t xml:space="preserve">pportunities for private sector organisations </w:t>
      </w:r>
      <w:r w:rsidRPr="002C1777" w:rsidR="00E42E2F">
        <w:rPr>
          <w:rFonts w:ascii="Arial" w:hAnsi="Arial" w:cs="Arial"/>
        </w:rPr>
        <w:t xml:space="preserve">in the North of Tyne area, </w:t>
      </w:r>
      <w:r w:rsidRPr="002C1777" w:rsidR="00F17A6A">
        <w:rPr>
          <w:rFonts w:ascii="Arial" w:hAnsi="Arial" w:cs="Arial"/>
        </w:rPr>
        <w:t xml:space="preserve">to </w:t>
      </w:r>
      <w:r w:rsidRPr="002C1777" w:rsidR="002F74F0">
        <w:rPr>
          <w:rFonts w:ascii="Arial" w:hAnsi="Arial" w:cs="Arial"/>
        </w:rPr>
        <w:t xml:space="preserve">meaningfully </w:t>
      </w:r>
      <w:r w:rsidRPr="002C1777" w:rsidR="003B172D">
        <w:rPr>
          <w:rFonts w:ascii="Arial" w:hAnsi="Arial" w:cs="Arial"/>
        </w:rPr>
        <w:t>support their local communities</w:t>
      </w:r>
      <w:r w:rsidRPr="002C1777" w:rsidR="009643A9">
        <w:rPr>
          <w:rFonts w:ascii="Arial" w:hAnsi="Arial" w:cs="Arial"/>
        </w:rPr>
        <w:t>.</w:t>
      </w:r>
    </w:p>
    <w:p w:rsidRPr="002C1777" w:rsidR="00E6710F" w:rsidP="00E6710F" w:rsidRDefault="00E6710F" w14:paraId="70E7A2C2" w14:textId="699A63CA">
      <w:pPr>
        <w:rPr>
          <w:rFonts w:ascii="Arial" w:hAnsi="Arial" w:cs="Arial"/>
        </w:rPr>
      </w:pPr>
      <w:r w:rsidRPr="002C1777">
        <w:rPr>
          <w:rFonts w:ascii="Arial" w:hAnsi="Arial" w:cs="Arial"/>
        </w:rPr>
        <w:t xml:space="preserve">The investment is an integral part of the Community Programmes and Partnership activity within the Communities and Place Investment Priority. As such, it is closely aligned to the work of the three Community Partnerships and to the Crowdfunding initiative (see Annex B). Whilst programme delivery is expected to cover the full combined authority geography, we would </w:t>
      </w:r>
      <w:r w:rsidR="00B615DC">
        <w:rPr>
          <w:rFonts w:ascii="Arial" w:hAnsi="Arial" w:cs="Arial"/>
        </w:rPr>
        <w:t xml:space="preserve">also </w:t>
      </w:r>
      <w:r w:rsidRPr="002C1777">
        <w:rPr>
          <w:rFonts w:ascii="Arial" w:hAnsi="Arial" w:cs="Arial"/>
        </w:rPr>
        <w:t>expect the successful provider / partnership to work closely with the three Community Partnerships (one in each Local Authority area) to:</w:t>
      </w:r>
    </w:p>
    <w:p w:rsidRPr="002C1777" w:rsidR="00E6710F" w:rsidP="00E6710F" w:rsidRDefault="00E6710F" w14:paraId="015BEC75" w14:textId="77777777">
      <w:pPr>
        <w:pStyle w:val="ListParagraph"/>
        <w:numPr>
          <w:ilvl w:val="0"/>
          <w:numId w:val="9"/>
        </w:numPr>
        <w:spacing w:after="120" w:line="240" w:lineRule="auto"/>
        <w:ind w:left="697" w:hanging="357"/>
        <w:contextualSpacing w:val="0"/>
        <w:rPr>
          <w:rFonts w:ascii="Arial" w:hAnsi="Arial" w:cs="Arial"/>
        </w:rPr>
      </w:pPr>
      <w:r w:rsidRPr="002C1777">
        <w:rPr>
          <w:rFonts w:ascii="Arial" w:hAnsi="Arial" w:cs="Arial"/>
        </w:rPr>
        <w:t xml:space="preserve">increase the number, range, and quality of volunteering opportunities available in the Community Partnership target areas, </w:t>
      </w:r>
    </w:p>
    <w:p w:rsidRPr="002C1777" w:rsidR="00E6710F" w:rsidP="00E6710F" w:rsidRDefault="00E6710F" w14:paraId="3E8B0145" w14:textId="77777777">
      <w:pPr>
        <w:pStyle w:val="ListParagraph"/>
        <w:numPr>
          <w:ilvl w:val="0"/>
          <w:numId w:val="9"/>
        </w:numPr>
        <w:spacing w:after="120" w:line="240" w:lineRule="auto"/>
        <w:ind w:left="697" w:hanging="357"/>
        <w:contextualSpacing w:val="0"/>
        <w:rPr>
          <w:rFonts w:ascii="Arial" w:hAnsi="Arial" w:cs="Arial"/>
        </w:rPr>
      </w:pPr>
      <w:r w:rsidRPr="002C1777">
        <w:rPr>
          <w:rFonts w:ascii="Arial" w:hAnsi="Arial" w:cs="Arial"/>
        </w:rPr>
        <w:t>support residents of the target areas to access and benefit from volunteering opportunities, and</w:t>
      </w:r>
    </w:p>
    <w:p w:rsidRPr="002C1777" w:rsidR="00E6710F" w:rsidP="00E6710F" w:rsidRDefault="00E6710F" w14:paraId="75BC99D1" w14:textId="77777777">
      <w:pPr>
        <w:pStyle w:val="ListParagraph"/>
        <w:numPr>
          <w:ilvl w:val="0"/>
          <w:numId w:val="9"/>
        </w:numPr>
        <w:spacing w:after="120" w:line="240" w:lineRule="auto"/>
        <w:ind w:left="697" w:hanging="357"/>
        <w:contextualSpacing w:val="0"/>
        <w:rPr>
          <w:rFonts w:ascii="Arial" w:hAnsi="Arial" w:cs="Arial"/>
        </w:rPr>
      </w:pPr>
      <w:r w:rsidRPr="002C1777">
        <w:rPr>
          <w:rFonts w:ascii="Arial" w:hAnsi="Arial" w:cs="Arial"/>
        </w:rPr>
        <w:t xml:space="preserve">collectively develop and deliver social action projects. </w:t>
      </w:r>
    </w:p>
    <w:p w:rsidRPr="002C1777" w:rsidR="00E6710F" w:rsidP="00E6710F" w:rsidRDefault="00E6710F" w14:paraId="5F65E5DA" w14:textId="390A1373">
      <w:pPr>
        <w:spacing w:after="120" w:line="240" w:lineRule="auto"/>
        <w:rPr>
          <w:rFonts w:ascii="Arial" w:hAnsi="Arial" w:cs="Arial"/>
        </w:rPr>
      </w:pPr>
      <w:r w:rsidRPr="002C1777">
        <w:rPr>
          <w:rFonts w:ascii="Arial" w:hAnsi="Arial" w:cs="Arial"/>
        </w:rPr>
        <w:t xml:space="preserve">Care must be taken to avoid double-counting of UKSPF outcomes and outputs when working with </w:t>
      </w:r>
      <w:r w:rsidR="006B2810">
        <w:rPr>
          <w:rFonts w:ascii="Arial" w:hAnsi="Arial" w:cs="Arial"/>
        </w:rPr>
        <w:t>C</w:t>
      </w:r>
      <w:r w:rsidRPr="002C1777">
        <w:rPr>
          <w:rFonts w:ascii="Arial" w:hAnsi="Arial" w:cs="Arial"/>
        </w:rPr>
        <w:t>ommunity Partnerships.</w:t>
      </w:r>
    </w:p>
    <w:p w:rsidRPr="002C1777" w:rsidR="00E6710F" w:rsidP="00E6710F" w:rsidRDefault="00E6710F" w14:paraId="632FD102" w14:textId="77777777">
      <w:pPr>
        <w:spacing w:after="120" w:line="240" w:lineRule="auto"/>
        <w:rPr>
          <w:rFonts w:ascii="Arial" w:hAnsi="Arial" w:cs="Arial"/>
        </w:rPr>
      </w:pPr>
      <w:r w:rsidRPr="002C1777">
        <w:rPr>
          <w:rFonts w:ascii="Arial" w:hAnsi="Arial" w:cs="Arial"/>
        </w:rPr>
        <w:t>In addition, we would expect the successful provider / partnership to liaise with the three Employment Partnerships (one in each Local Authority area) and successful VCSE providers of UKSPF funded employability support to ensure local residents from across the North of Tyne area can access good quality volunteering opportunities. (See Annex B for details).</w:t>
      </w:r>
    </w:p>
    <w:p w:rsidRPr="002C1777" w:rsidR="00E6710F" w:rsidP="00E6710F" w:rsidRDefault="00E6710F" w14:paraId="70BCD4F5" w14:textId="77777777">
      <w:pPr>
        <w:spacing w:after="120" w:line="240" w:lineRule="auto"/>
        <w:rPr>
          <w:rFonts w:ascii="Arial" w:hAnsi="Arial" w:cs="Arial"/>
        </w:rPr>
      </w:pPr>
    </w:p>
    <w:p w:rsidRPr="002C1777" w:rsidR="009B55A1" w:rsidP="009B55A1" w:rsidRDefault="009B55A1" w14:paraId="7B2ADE2E" w14:textId="2A389145">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79" w:id="10"/>
      <w:r w:rsidRPr="002C1777">
        <w:rPr>
          <w:rFonts w:ascii="Arial" w:hAnsi="Arial" w:cs="Arial"/>
          <w:b/>
          <w:bCs/>
          <w:sz w:val="24"/>
          <w:szCs w:val="24"/>
        </w:rPr>
        <w:t>Eligibility criteria</w:t>
      </w:r>
      <w:bookmarkEnd w:id="10"/>
    </w:p>
    <w:p w:rsidRPr="002C1777" w:rsidR="007A124E" w:rsidP="007A124E" w:rsidRDefault="007A124E" w14:paraId="00E5D2A0" w14:textId="191734A8">
      <w:pPr>
        <w:pStyle w:val="NoSpacing"/>
        <w:rPr>
          <w:rFonts w:ascii="Arial" w:hAnsi="Arial" w:cs="Arial"/>
        </w:rPr>
      </w:pPr>
      <w:r w:rsidRPr="002C1777">
        <w:rPr>
          <w:rFonts w:ascii="Arial" w:hAnsi="Arial" w:cs="Arial"/>
        </w:rPr>
        <w:t>To be eligible for funding under this open call, applicants must:</w:t>
      </w:r>
    </w:p>
    <w:p w:rsidRPr="002C1777" w:rsidR="007A124E" w:rsidP="007A124E" w:rsidRDefault="007A124E" w14:paraId="0BCDE519" w14:textId="77777777">
      <w:pPr>
        <w:pStyle w:val="NoSpacing"/>
        <w:rPr>
          <w:rFonts w:ascii="Arial" w:hAnsi="Arial" w:cs="Arial"/>
        </w:rPr>
      </w:pPr>
    </w:p>
    <w:p w:rsidRPr="002C1777" w:rsidR="007A124E" w:rsidP="007A124E" w:rsidRDefault="002B67C0" w14:paraId="0C648B71" w14:textId="74724F0C">
      <w:pPr>
        <w:pStyle w:val="ListParagraph"/>
        <w:numPr>
          <w:ilvl w:val="0"/>
          <w:numId w:val="9"/>
        </w:numPr>
        <w:spacing w:after="120" w:line="240" w:lineRule="auto"/>
        <w:ind w:left="697" w:hanging="357"/>
        <w:contextualSpacing w:val="0"/>
        <w:rPr>
          <w:rFonts w:ascii="Arial" w:hAnsi="Arial" w:cs="Arial"/>
        </w:rPr>
      </w:pPr>
      <w:r w:rsidRPr="002C1777">
        <w:rPr>
          <w:rFonts w:ascii="Arial" w:hAnsi="Arial" w:cs="Arial"/>
        </w:rPr>
        <w:t>b</w:t>
      </w:r>
      <w:r w:rsidRPr="002C1777" w:rsidR="00842791">
        <w:rPr>
          <w:rFonts w:ascii="Arial" w:hAnsi="Arial" w:cs="Arial"/>
        </w:rPr>
        <w:t>e able to d</w:t>
      </w:r>
      <w:r w:rsidRPr="002C1777" w:rsidR="007A124E">
        <w:rPr>
          <w:rFonts w:ascii="Arial" w:hAnsi="Arial" w:cs="Arial"/>
        </w:rPr>
        <w:t xml:space="preserve">eliver </w:t>
      </w:r>
      <w:r w:rsidRPr="002C1777" w:rsidR="00842791">
        <w:rPr>
          <w:rFonts w:ascii="Arial" w:hAnsi="Arial" w:cs="Arial"/>
        </w:rPr>
        <w:t>activity across</w:t>
      </w:r>
      <w:r w:rsidRPr="002C1777" w:rsidR="007A124E">
        <w:rPr>
          <w:rFonts w:ascii="Arial" w:hAnsi="Arial" w:cs="Arial"/>
        </w:rPr>
        <w:t xml:space="preserve"> the </w:t>
      </w:r>
      <w:r w:rsidRPr="002C1777" w:rsidR="00842791">
        <w:rPr>
          <w:rFonts w:ascii="Arial" w:hAnsi="Arial" w:cs="Arial"/>
        </w:rPr>
        <w:t xml:space="preserve">full </w:t>
      </w:r>
      <w:r w:rsidRPr="002C1777" w:rsidR="007A124E">
        <w:rPr>
          <w:rFonts w:ascii="Arial" w:hAnsi="Arial" w:cs="Arial"/>
        </w:rPr>
        <w:t>North of Tyne area</w:t>
      </w:r>
      <w:r w:rsidRPr="002C1777" w:rsidR="00597403">
        <w:rPr>
          <w:rFonts w:ascii="Arial" w:hAnsi="Arial" w:cs="Arial"/>
        </w:rPr>
        <w:t>;</w:t>
      </w:r>
    </w:p>
    <w:p w:rsidRPr="002C1777" w:rsidR="00842791" w:rsidP="00A9640E" w:rsidRDefault="002B67C0" w14:paraId="10842596" w14:textId="625F65C5">
      <w:pPr>
        <w:pStyle w:val="Default"/>
        <w:numPr>
          <w:ilvl w:val="0"/>
          <w:numId w:val="9"/>
        </w:numPr>
        <w:rPr>
          <w:color w:val="auto"/>
          <w:sz w:val="22"/>
          <w:szCs w:val="22"/>
        </w:rPr>
      </w:pPr>
      <w:r w:rsidRPr="002C1777">
        <w:rPr>
          <w:color w:val="auto"/>
          <w:sz w:val="22"/>
          <w:szCs w:val="22"/>
        </w:rPr>
        <w:t>a</w:t>
      </w:r>
      <w:r w:rsidRPr="002C1777" w:rsidR="00A9640E">
        <w:rPr>
          <w:color w:val="auto"/>
          <w:sz w:val="22"/>
          <w:szCs w:val="22"/>
        </w:rPr>
        <w:t>lready h</w:t>
      </w:r>
      <w:r w:rsidRPr="002C1777" w:rsidR="00842791">
        <w:rPr>
          <w:color w:val="auto"/>
          <w:sz w:val="22"/>
          <w:szCs w:val="22"/>
        </w:rPr>
        <w:t>ave volunteering infrastructure in place in local communities to ensure rapid mobilisation, activity and spend</w:t>
      </w:r>
      <w:r w:rsidRPr="002C1777" w:rsidR="00597403">
        <w:rPr>
          <w:color w:val="auto"/>
          <w:sz w:val="22"/>
          <w:szCs w:val="22"/>
        </w:rPr>
        <w:t>;</w:t>
      </w:r>
    </w:p>
    <w:p w:rsidRPr="002C1777" w:rsidR="00A9640E" w:rsidP="00A9640E" w:rsidRDefault="00A9640E" w14:paraId="29CF6E63" w14:textId="77777777">
      <w:pPr>
        <w:pStyle w:val="Default"/>
        <w:ind w:left="720"/>
        <w:rPr>
          <w:color w:val="auto"/>
          <w:sz w:val="18"/>
          <w:szCs w:val="18"/>
        </w:rPr>
      </w:pPr>
    </w:p>
    <w:p w:rsidRPr="002C1777" w:rsidR="007A124E" w:rsidP="007A124E" w:rsidRDefault="002B67C0" w14:paraId="08461BC3" w14:textId="6B322850">
      <w:pPr>
        <w:pStyle w:val="ListParagraph"/>
        <w:numPr>
          <w:ilvl w:val="0"/>
          <w:numId w:val="9"/>
        </w:numPr>
        <w:spacing w:after="120" w:line="240" w:lineRule="auto"/>
        <w:ind w:left="697" w:hanging="357"/>
        <w:contextualSpacing w:val="0"/>
        <w:rPr>
          <w:rFonts w:ascii="Arial" w:hAnsi="Arial" w:cs="Arial"/>
        </w:rPr>
      </w:pPr>
      <w:r w:rsidRPr="002C1777">
        <w:rPr>
          <w:rFonts w:ascii="Arial" w:hAnsi="Arial" w:cs="Arial"/>
        </w:rPr>
        <w:t>b</w:t>
      </w:r>
      <w:r w:rsidRPr="002C1777" w:rsidR="00A9640E">
        <w:rPr>
          <w:rFonts w:ascii="Arial" w:hAnsi="Arial" w:cs="Arial"/>
        </w:rPr>
        <w:t xml:space="preserve">e </w:t>
      </w:r>
      <w:r w:rsidR="00D9101A">
        <w:rPr>
          <w:rFonts w:ascii="Arial" w:hAnsi="Arial" w:cs="Arial"/>
        </w:rPr>
        <w:t>prepared</w:t>
      </w:r>
      <w:r w:rsidRPr="002C1777" w:rsidR="00A9640E">
        <w:rPr>
          <w:rFonts w:ascii="Arial" w:hAnsi="Arial" w:cs="Arial"/>
        </w:rPr>
        <w:t xml:space="preserve"> to w</w:t>
      </w:r>
      <w:r w:rsidRPr="002C1777" w:rsidR="007A124E">
        <w:rPr>
          <w:rFonts w:ascii="Arial" w:hAnsi="Arial" w:cs="Arial"/>
        </w:rPr>
        <w:t>ork with the Community Partnerships and Employment Partnership</w:t>
      </w:r>
      <w:r w:rsidRPr="002C1777" w:rsidR="00F3518B">
        <w:rPr>
          <w:rFonts w:ascii="Arial" w:hAnsi="Arial" w:cs="Arial"/>
        </w:rPr>
        <w:t>s</w:t>
      </w:r>
      <w:r w:rsidRPr="002C1777" w:rsidR="007A124E">
        <w:rPr>
          <w:rFonts w:ascii="Arial" w:hAnsi="Arial" w:cs="Arial"/>
        </w:rPr>
        <w:t xml:space="preserve"> (see Annex B for further details)</w:t>
      </w:r>
      <w:r w:rsidRPr="002C1777" w:rsidR="00597403">
        <w:rPr>
          <w:rFonts w:ascii="Arial" w:hAnsi="Arial" w:cs="Arial"/>
        </w:rPr>
        <w:t>.</w:t>
      </w:r>
    </w:p>
    <w:p w:rsidRPr="002C1777" w:rsidR="007A124E" w:rsidP="007A124E" w:rsidRDefault="007A124E" w14:paraId="37123780" w14:textId="77777777">
      <w:pPr>
        <w:pStyle w:val="NoSpacing"/>
        <w:rPr>
          <w:rFonts w:ascii="Arial" w:hAnsi="Arial" w:cs="Arial"/>
        </w:rPr>
      </w:pPr>
    </w:p>
    <w:p w:rsidRPr="002C1777" w:rsidR="0039484C" w:rsidP="009B55A1" w:rsidRDefault="0039484C" w14:paraId="15F91F4C" w14:textId="412D1FD4">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0" w:id="11"/>
      <w:r w:rsidRPr="002C1777">
        <w:rPr>
          <w:rFonts w:ascii="Arial" w:hAnsi="Arial" w:cs="Arial"/>
          <w:b/>
          <w:bCs/>
          <w:sz w:val="24"/>
          <w:szCs w:val="24"/>
        </w:rPr>
        <w:t>Eligible activities</w:t>
      </w:r>
      <w:bookmarkEnd w:id="11"/>
    </w:p>
    <w:p w:rsidRPr="002C1777" w:rsidR="0039484C" w:rsidP="0039484C" w:rsidRDefault="00E42E2F" w14:paraId="1132767C" w14:textId="68237E11">
      <w:pPr>
        <w:rPr>
          <w:rFonts w:ascii="Arial" w:hAnsi="Arial" w:cs="Arial"/>
        </w:rPr>
      </w:pPr>
      <w:r w:rsidRPr="002C1777">
        <w:rPr>
          <w:rFonts w:ascii="Arial" w:hAnsi="Arial" w:cs="Arial"/>
        </w:rPr>
        <w:t>Eligible activities include</w:t>
      </w:r>
      <w:r w:rsidRPr="002C1777" w:rsidR="0039484C">
        <w:rPr>
          <w:rFonts w:ascii="Arial" w:hAnsi="Arial" w:cs="Arial"/>
        </w:rPr>
        <w:t xml:space="preserve">, but are not limited to: </w:t>
      </w:r>
    </w:p>
    <w:p w:rsidRPr="002C1777" w:rsidR="003816F9" w:rsidRDefault="00C90F64" w14:paraId="3F56A745" w14:textId="6F8960CB">
      <w:pPr>
        <w:pStyle w:val="ListParagraph"/>
        <w:numPr>
          <w:ilvl w:val="0"/>
          <w:numId w:val="7"/>
        </w:numPr>
        <w:spacing w:after="120" w:line="240" w:lineRule="auto"/>
        <w:ind w:left="697" w:hanging="357"/>
        <w:contextualSpacing w:val="0"/>
        <w:rPr>
          <w:rFonts w:ascii="Arial" w:hAnsi="Arial" w:cs="Arial"/>
        </w:rPr>
      </w:pPr>
      <w:r w:rsidRPr="002C1777">
        <w:rPr>
          <w:rFonts w:ascii="Arial" w:hAnsi="Arial" w:cs="Arial"/>
        </w:rPr>
        <w:t>p</w:t>
      </w:r>
      <w:r w:rsidRPr="002C1777" w:rsidR="003816F9">
        <w:rPr>
          <w:rFonts w:ascii="Arial" w:hAnsi="Arial" w:cs="Arial"/>
        </w:rPr>
        <w:t>romotional campaigns and activities that make it easier for people to find out about volunteering opportunities</w:t>
      </w:r>
      <w:r w:rsidRPr="002C1777" w:rsidR="00944F13">
        <w:rPr>
          <w:rFonts w:ascii="Arial" w:hAnsi="Arial" w:cs="Arial"/>
        </w:rPr>
        <w:t>;</w:t>
      </w:r>
    </w:p>
    <w:p w:rsidRPr="002C1777" w:rsidR="003816F9" w:rsidRDefault="00C90F64" w14:paraId="7A5BCEA4" w14:textId="0AC938B3">
      <w:pPr>
        <w:pStyle w:val="ListParagraph"/>
        <w:numPr>
          <w:ilvl w:val="0"/>
          <w:numId w:val="7"/>
        </w:numPr>
        <w:spacing w:after="120" w:line="240" w:lineRule="auto"/>
        <w:ind w:left="697" w:hanging="357"/>
        <w:contextualSpacing w:val="0"/>
        <w:rPr>
          <w:rFonts w:ascii="Arial" w:hAnsi="Arial" w:cs="Arial"/>
        </w:rPr>
      </w:pPr>
      <w:r w:rsidRPr="002C1777">
        <w:rPr>
          <w:rFonts w:ascii="Arial" w:hAnsi="Arial" w:cs="Arial"/>
        </w:rPr>
        <w:lastRenderedPageBreak/>
        <w:t>s</w:t>
      </w:r>
      <w:r w:rsidRPr="002C1777" w:rsidR="003816F9">
        <w:rPr>
          <w:rFonts w:ascii="Arial" w:hAnsi="Arial" w:cs="Arial"/>
        </w:rPr>
        <w:t xml:space="preserve">upporting organisations to develop </w:t>
      </w:r>
      <w:r w:rsidRPr="002C1777" w:rsidR="00DF1CAA">
        <w:rPr>
          <w:rFonts w:ascii="Arial" w:hAnsi="Arial" w:cs="Arial"/>
        </w:rPr>
        <w:t xml:space="preserve">and fill </w:t>
      </w:r>
      <w:r w:rsidRPr="002C1777" w:rsidR="003816F9">
        <w:rPr>
          <w:rFonts w:ascii="Arial" w:hAnsi="Arial" w:cs="Arial"/>
        </w:rPr>
        <w:t>new volunteering opportunities</w:t>
      </w:r>
      <w:r w:rsidRPr="002C1777" w:rsidR="00944F13">
        <w:rPr>
          <w:rFonts w:ascii="Arial" w:hAnsi="Arial" w:cs="Arial"/>
        </w:rPr>
        <w:t>;</w:t>
      </w:r>
    </w:p>
    <w:p w:rsidRPr="002C1777" w:rsidR="003816F9" w:rsidRDefault="00C90F64" w14:paraId="2F135BD8" w14:textId="4F8104E7">
      <w:pPr>
        <w:pStyle w:val="ListParagraph"/>
        <w:numPr>
          <w:ilvl w:val="0"/>
          <w:numId w:val="7"/>
        </w:numPr>
        <w:spacing w:after="120" w:line="240" w:lineRule="auto"/>
        <w:ind w:left="697" w:hanging="357"/>
        <w:contextualSpacing w:val="0"/>
        <w:rPr>
          <w:rFonts w:ascii="Arial" w:hAnsi="Arial" w:cs="Arial"/>
        </w:rPr>
      </w:pPr>
      <w:r w:rsidRPr="002C1777">
        <w:rPr>
          <w:rFonts w:ascii="Arial" w:hAnsi="Arial" w:cs="Arial"/>
        </w:rPr>
        <w:t>s</w:t>
      </w:r>
      <w:r w:rsidRPr="002C1777" w:rsidR="003816F9">
        <w:rPr>
          <w:rFonts w:ascii="Arial" w:hAnsi="Arial" w:cs="Arial"/>
        </w:rPr>
        <w:t>upporting organisations to identify and address barriers to volunteering</w:t>
      </w:r>
      <w:r w:rsidRPr="002C1777" w:rsidR="006B766F">
        <w:rPr>
          <w:rFonts w:ascii="Arial" w:hAnsi="Arial" w:cs="Arial"/>
        </w:rPr>
        <w:t>;</w:t>
      </w:r>
    </w:p>
    <w:p w:rsidRPr="002C1777" w:rsidR="003816F9" w:rsidRDefault="00C90F64" w14:paraId="5B18CBEE" w14:textId="15875C5F">
      <w:pPr>
        <w:pStyle w:val="ListParagraph"/>
        <w:numPr>
          <w:ilvl w:val="0"/>
          <w:numId w:val="7"/>
        </w:numPr>
        <w:spacing w:after="120" w:line="240" w:lineRule="auto"/>
        <w:ind w:left="697" w:hanging="357"/>
        <w:contextualSpacing w:val="0"/>
        <w:rPr>
          <w:rFonts w:ascii="Arial" w:hAnsi="Arial" w:cs="Arial"/>
        </w:rPr>
      </w:pPr>
      <w:r w:rsidRPr="002C1777">
        <w:rPr>
          <w:rFonts w:ascii="Arial" w:hAnsi="Arial" w:cs="Arial"/>
        </w:rPr>
        <w:t>p</w:t>
      </w:r>
      <w:r w:rsidRPr="002C1777" w:rsidR="003816F9">
        <w:rPr>
          <w:rFonts w:ascii="Arial" w:hAnsi="Arial" w:cs="Arial"/>
        </w:rPr>
        <w:t>romoting and supporting existing training and development opportunities</w:t>
      </w:r>
      <w:r w:rsidRPr="002C1777" w:rsidR="00E9206C">
        <w:rPr>
          <w:rFonts w:ascii="Arial" w:hAnsi="Arial" w:cs="Arial"/>
        </w:rPr>
        <w:t xml:space="preserve"> available to volunteers, volunteer-involving organisations and social action groups</w:t>
      </w:r>
      <w:r w:rsidRPr="002C1777" w:rsidR="00B64609">
        <w:rPr>
          <w:rFonts w:ascii="Arial" w:hAnsi="Arial" w:cs="Arial"/>
        </w:rPr>
        <w:t xml:space="preserve"> </w:t>
      </w:r>
      <w:r w:rsidRPr="002C1777" w:rsidR="00DF1CAA">
        <w:rPr>
          <w:rFonts w:ascii="Arial" w:hAnsi="Arial" w:cs="Arial"/>
        </w:rPr>
        <w:t xml:space="preserve">and </w:t>
      </w:r>
      <w:r w:rsidRPr="002C1777" w:rsidR="00B64609">
        <w:rPr>
          <w:rFonts w:ascii="Arial" w:hAnsi="Arial" w:cs="Arial"/>
        </w:rPr>
        <w:t>d</w:t>
      </w:r>
      <w:r w:rsidRPr="002C1777" w:rsidR="003816F9">
        <w:rPr>
          <w:rFonts w:ascii="Arial" w:hAnsi="Arial" w:cs="Arial"/>
        </w:rPr>
        <w:t>eveloping additional offers where current provision does not meet need</w:t>
      </w:r>
      <w:r w:rsidRPr="002C1777" w:rsidR="006B766F">
        <w:rPr>
          <w:rFonts w:ascii="Arial" w:hAnsi="Arial" w:cs="Arial"/>
        </w:rPr>
        <w:t>;</w:t>
      </w:r>
    </w:p>
    <w:p w:rsidRPr="002C1777" w:rsidR="001E042E" w:rsidRDefault="00C90F64" w14:paraId="1F670EBE" w14:textId="6DE247FE">
      <w:pPr>
        <w:pStyle w:val="ListParagraph"/>
        <w:numPr>
          <w:ilvl w:val="0"/>
          <w:numId w:val="7"/>
        </w:numPr>
        <w:spacing w:after="120" w:line="240" w:lineRule="auto"/>
        <w:ind w:left="697" w:hanging="357"/>
        <w:contextualSpacing w:val="0"/>
        <w:rPr>
          <w:rFonts w:ascii="Arial" w:hAnsi="Arial" w:cs="Arial"/>
        </w:rPr>
      </w:pPr>
      <w:r w:rsidRPr="002C1777">
        <w:rPr>
          <w:rFonts w:ascii="Arial" w:hAnsi="Arial" w:cs="Arial"/>
        </w:rPr>
        <w:t>e</w:t>
      </w:r>
      <w:r w:rsidRPr="002C1777" w:rsidR="001E042E">
        <w:rPr>
          <w:rFonts w:ascii="Arial" w:hAnsi="Arial" w:cs="Arial"/>
        </w:rPr>
        <w:t>xploring and developing the role of digital technology to help develop more efficient ways of recruiting and co-ordinating volunteers</w:t>
      </w:r>
      <w:r w:rsidRPr="002C1777" w:rsidR="006B766F">
        <w:rPr>
          <w:rFonts w:ascii="Arial" w:hAnsi="Arial" w:cs="Arial"/>
        </w:rPr>
        <w:t>;</w:t>
      </w:r>
    </w:p>
    <w:p w:rsidRPr="002C1777" w:rsidR="009B55A1" w:rsidP="006F46E4" w:rsidRDefault="00C90F64" w14:paraId="54AAFB1E" w14:textId="11AA829F">
      <w:pPr>
        <w:pStyle w:val="ListParagraph"/>
        <w:numPr>
          <w:ilvl w:val="0"/>
          <w:numId w:val="7"/>
        </w:numPr>
        <w:spacing w:after="120" w:line="240" w:lineRule="auto"/>
        <w:ind w:left="697" w:hanging="357"/>
        <w:contextualSpacing w:val="0"/>
        <w:rPr>
          <w:rFonts w:ascii="Arial" w:hAnsi="Arial" w:cs="Arial"/>
        </w:rPr>
      </w:pPr>
      <w:r w:rsidRPr="002C1777">
        <w:rPr>
          <w:rFonts w:ascii="Arial" w:hAnsi="Arial" w:cs="Arial"/>
        </w:rPr>
        <w:t>b</w:t>
      </w:r>
      <w:r w:rsidRPr="002C1777" w:rsidR="00B64609">
        <w:rPr>
          <w:rFonts w:ascii="Arial" w:hAnsi="Arial" w:cs="Arial"/>
        </w:rPr>
        <w:t>rokering mutually beneficial relationships between private sector and VCSE sector organisations t</w:t>
      </w:r>
      <w:r w:rsidRPr="002C1777" w:rsidR="001E042E">
        <w:rPr>
          <w:rFonts w:ascii="Arial" w:hAnsi="Arial" w:cs="Arial"/>
        </w:rPr>
        <w:t>hat enable businesses to give their time to meet real community needs.</w:t>
      </w:r>
    </w:p>
    <w:p w:rsidRPr="002C1777" w:rsidR="009B55A1" w:rsidP="009B55A1" w:rsidRDefault="009B55A1" w14:paraId="5561C043" w14:textId="0E7AAEE9">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1" w:id="12"/>
      <w:r w:rsidRPr="002C1777">
        <w:rPr>
          <w:rFonts w:ascii="Arial" w:hAnsi="Arial" w:cs="Arial"/>
          <w:b/>
          <w:bCs/>
          <w:sz w:val="24"/>
          <w:szCs w:val="24"/>
        </w:rPr>
        <w:t>Outputs and outcomes</w:t>
      </w:r>
      <w:bookmarkEnd w:id="12"/>
    </w:p>
    <w:p w:rsidRPr="002C1777" w:rsidR="006F46E4" w:rsidP="006F46E4" w:rsidRDefault="005B5501" w14:paraId="6D7F620B" w14:textId="074F232B">
      <w:pPr>
        <w:rPr>
          <w:rFonts w:ascii="Arial" w:hAnsi="Arial" w:cs="Arial"/>
        </w:rPr>
      </w:pPr>
      <w:r w:rsidRPr="002C1777">
        <w:rPr>
          <w:rFonts w:ascii="Arial" w:hAnsi="Arial" w:cs="Arial"/>
        </w:rPr>
        <w:t>The following</w:t>
      </w:r>
      <w:r w:rsidRPr="002C1777" w:rsidR="00683323">
        <w:rPr>
          <w:rFonts w:ascii="Arial" w:hAnsi="Arial" w:cs="Arial"/>
        </w:rPr>
        <w:t xml:space="preserve"> </w:t>
      </w:r>
      <w:r w:rsidRPr="00596453" w:rsidR="002E1826">
        <w:rPr>
          <w:rFonts w:ascii="Arial" w:hAnsi="Arial" w:cs="Arial"/>
          <w:i/>
          <w:iCs/>
        </w:rPr>
        <w:t>minimum</w:t>
      </w:r>
      <w:r w:rsidRPr="002C1777" w:rsidR="002E1826">
        <w:rPr>
          <w:rFonts w:ascii="Arial" w:hAnsi="Arial" w:cs="Arial"/>
        </w:rPr>
        <w:t xml:space="preserve"> </w:t>
      </w:r>
      <w:r w:rsidRPr="002C1777" w:rsidR="00683323">
        <w:rPr>
          <w:rFonts w:ascii="Arial" w:hAnsi="Arial" w:cs="Arial"/>
        </w:rPr>
        <w:t>UKSPF</w:t>
      </w:r>
      <w:r w:rsidRPr="002C1777">
        <w:rPr>
          <w:rFonts w:ascii="Arial" w:hAnsi="Arial" w:cs="Arial"/>
        </w:rPr>
        <w:t xml:space="preserve"> o</w:t>
      </w:r>
      <w:r w:rsidRPr="002C1777" w:rsidR="00D26D58">
        <w:rPr>
          <w:rFonts w:ascii="Arial" w:hAnsi="Arial" w:cs="Arial"/>
        </w:rPr>
        <w:t xml:space="preserve">utputs </w:t>
      </w:r>
      <w:r w:rsidRPr="002C1777" w:rsidR="00E42E2F">
        <w:rPr>
          <w:rFonts w:ascii="Arial" w:hAnsi="Arial" w:cs="Arial"/>
        </w:rPr>
        <w:t xml:space="preserve">and outcomes </w:t>
      </w:r>
      <w:r w:rsidRPr="002C1777" w:rsidR="004A02C1">
        <w:rPr>
          <w:rFonts w:ascii="Arial" w:hAnsi="Arial" w:cs="Arial"/>
        </w:rPr>
        <w:t>must</w:t>
      </w:r>
      <w:r w:rsidRPr="002C1777">
        <w:rPr>
          <w:rFonts w:ascii="Arial" w:hAnsi="Arial" w:cs="Arial"/>
        </w:rPr>
        <w:t xml:space="preserve"> be achieved by </w:t>
      </w:r>
      <w:r w:rsidRPr="002C1777" w:rsidR="00E42E2F">
        <w:rPr>
          <w:rFonts w:ascii="Arial" w:hAnsi="Arial" w:cs="Arial"/>
        </w:rPr>
        <w:t>the end of the delivery period</w:t>
      </w:r>
      <w:r w:rsidRPr="002C1777">
        <w:rPr>
          <w:rFonts w:ascii="Arial" w:hAnsi="Arial" w:cs="Arial"/>
        </w:rPr>
        <w:t xml:space="preserve"> (March 2025). Please see Annex A for full definitions of outcomes and outputs.</w:t>
      </w:r>
    </w:p>
    <w:p w:rsidRPr="002C1777" w:rsidR="00E42E2F" w:rsidP="00E42E2F" w:rsidRDefault="00E42E2F" w14:paraId="3C30AA96" w14:textId="0FF91DB8">
      <w:pPr>
        <w:pStyle w:val="Caption"/>
        <w:rPr>
          <w:rFonts w:ascii="Arial" w:hAnsi="Arial" w:cs="Arial"/>
          <w:b/>
          <w:bCs/>
          <w:i w:val="0"/>
          <w:iCs w:val="0"/>
          <w:color w:val="auto"/>
          <w:sz w:val="22"/>
          <w:szCs w:val="22"/>
        </w:rPr>
      </w:pPr>
      <w:r w:rsidRPr="002C1777">
        <w:rPr>
          <w:rFonts w:ascii="Arial" w:hAnsi="Arial" w:cs="Arial"/>
          <w:b/>
          <w:bCs/>
          <w:i w:val="0"/>
          <w:iCs w:val="0"/>
          <w:color w:val="auto"/>
          <w:sz w:val="22"/>
          <w:szCs w:val="22"/>
        </w:rPr>
        <w:t xml:space="preserve">Table </w:t>
      </w:r>
      <w:r w:rsidRPr="002C1777">
        <w:rPr>
          <w:rFonts w:ascii="Arial" w:hAnsi="Arial" w:cs="Arial"/>
          <w:b/>
          <w:bCs/>
          <w:i w:val="0"/>
          <w:iCs w:val="0"/>
          <w:color w:val="auto"/>
          <w:sz w:val="22"/>
          <w:szCs w:val="22"/>
        </w:rPr>
        <w:fldChar w:fldCharType="begin"/>
      </w:r>
      <w:r w:rsidRPr="002C1777">
        <w:rPr>
          <w:rFonts w:ascii="Arial" w:hAnsi="Arial" w:cs="Arial"/>
          <w:b/>
          <w:bCs/>
          <w:i w:val="0"/>
          <w:iCs w:val="0"/>
          <w:color w:val="auto"/>
          <w:sz w:val="22"/>
          <w:szCs w:val="22"/>
        </w:rPr>
        <w:instrText xml:space="preserve"> SEQ Table \* ARABIC </w:instrText>
      </w:r>
      <w:r w:rsidRPr="002C1777">
        <w:rPr>
          <w:rFonts w:ascii="Arial" w:hAnsi="Arial" w:cs="Arial"/>
          <w:b/>
          <w:bCs/>
          <w:i w:val="0"/>
          <w:iCs w:val="0"/>
          <w:color w:val="auto"/>
          <w:sz w:val="22"/>
          <w:szCs w:val="22"/>
        </w:rPr>
        <w:fldChar w:fldCharType="separate"/>
      </w:r>
      <w:r w:rsidRPr="002C1777">
        <w:rPr>
          <w:rFonts w:ascii="Arial" w:hAnsi="Arial" w:cs="Arial"/>
          <w:b/>
          <w:bCs/>
          <w:i w:val="0"/>
          <w:iCs w:val="0"/>
          <w:noProof/>
          <w:color w:val="auto"/>
          <w:sz w:val="22"/>
          <w:szCs w:val="22"/>
        </w:rPr>
        <w:t>1</w:t>
      </w:r>
      <w:r w:rsidRPr="002C1777">
        <w:rPr>
          <w:rFonts w:ascii="Arial" w:hAnsi="Arial" w:cs="Arial"/>
          <w:b/>
          <w:bCs/>
          <w:i w:val="0"/>
          <w:iCs w:val="0"/>
          <w:color w:val="auto"/>
          <w:sz w:val="22"/>
          <w:szCs w:val="22"/>
        </w:rPr>
        <w:fldChar w:fldCharType="end"/>
      </w:r>
      <w:r w:rsidRPr="002C1777">
        <w:rPr>
          <w:rFonts w:ascii="Arial" w:hAnsi="Arial" w:cs="Arial"/>
          <w:b/>
          <w:bCs/>
          <w:i w:val="0"/>
          <w:iCs w:val="0"/>
          <w:color w:val="auto"/>
          <w:sz w:val="22"/>
          <w:szCs w:val="22"/>
        </w:rPr>
        <w:t>: Outputs</w:t>
      </w:r>
    </w:p>
    <w:tbl>
      <w:tblPr>
        <w:tblStyle w:val="TableGrid"/>
        <w:tblW w:w="0" w:type="auto"/>
        <w:tblCellMar>
          <w:top w:w="28" w:type="dxa"/>
          <w:bottom w:w="28" w:type="dxa"/>
        </w:tblCellMar>
        <w:tblLook w:val="04A0" w:firstRow="1" w:lastRow="0" w:firstColumn="1" w:lastColumn="0" w:noHBand="0" w:noVBand="1"/>
      </w:tblPr>
      <w:tblGrid>
        <w:gridCol w:w="2122"/>
        <w:gridCol w:w="5528"/>
        <w:gridCol w:w="1366"/>
      </w:tblGrid>
      <w:tr w:rsidRPr="002C1777" w:rsidR="00E42E2F" w:rsidTr="32A0FD23" w14:paraId="41FAC979" w14:textId="77777777">
        <w:tc>
          <w:tcPr>
            <w:tcW w:w="2122" w:type="dxa"/>
            <w:tcMar/>
          </w:tcPr>
          <w:p w:rsidRPr="002C1777" w:rsidR="00E42E2F" w:rsidP="000E3515" w:rsidRDefault="00E42E2F" w14:paraId="320D00FA" w14:textId="77777777">
            <w:pPr>
              <w:rPr>
                <w:rStyle w:val="normaltextrun"/>
                <w:rFonts w:ascii="Arial" w:hAnsi="Arial" w:cs="Arial"/>
                <w:b/>
                <w:bCs/>
              </w:rPr>
            </w:pPr>
            <w:r w:rsidRPr="002C1777">
              <w:rPr>
                <w:rStyle w:val="normaltextrun"/>
                <w:rFonts w:ascii="Arial" w:hAnsi="Arial" w:cs="Arial"/>
                <w:b/>
                <w:bCs/>
              </w:rPr>
              <w:t>UKSPF Intervention</w:t>
            </w:r>
          </w:p>
        </w:tc>
        <w:tc>
          <w:tcPr>
            <w:tcW w:w="5528" w:type="dxa"/>
            <w:tcMar/>
          </w:tcPr>
          <w:p w:rsidRPr="002C1777" w:rsidR="00E42E2F" w:rsidP="000E3515" w:rsidRDefault="00E42E2F" w14:paraId="37EB5169" w14:textId="77777777">
            <w:pPr>
              <w:rPr>
                <w:rStyle w:val="normaltextrun"/>
                <w:rFonts w:ascii="Arial" w:hAnsi="Arial" w:cs="Arial"/>
                <w:b/>
                <w:bCs/>
              </w:rPr>
            </w:pPr>
            <w:r w:rsidRPr="002C1777">
              <w:rPr>
                <w:rStyle w:val="normaltextrun"/>
                <w:rFonts w:ascii="Arial" w:hAnsi="Arial" w:cs="Arial"/>
                <w:b/>
                <w:bCs/>
              </w:rPr>
              <w:t>Outputs</w:t>
            </w:r>
          </w:p>
        </w:tc>
        <w:tc>
          <w:tcPr>
            <w:tcW w:w="1366" w:type="dxa"/>
            <w:tcMar/>
          </w:tcPr>
          <w:p w:rsidRPr="002C1777" w:rsidR="00E42E2F" w:rsidP="00E42E2F" w:rsidRDefault="00E42E2F" w14:paraId="599EF3C6" w14:textId="26999050">
            <w:pPr>
              <w:jc w:val="right"/>
              <w:rPr>
                <w:rStyle w:val="normaltextrun"/>
                <w:rFonts w:ascii="Arial" w:hAnsi="Arial" w:cs="Arial"/>
                <w:b/>
                <w:bCs/>
              </w:rPr>
            </w:pPr>
            <w:r w:rsidRPr="002C1777">
              <w:rPr>
                <w:rStyle w:val="normaltextrun"/>
                <w:rFonts w:ascii="Arial" w:hAnsi="Arial" w:cs="Arial"/>
                <w:b/>
                <w:bCs/>
              </w:rPr>
              <w:t>Target</w:t>
            </w:r>
          </w:p>
        </w:tc>
      </w:tr>
      <w:tr w:rsidRPr="002C1777" w:rsidR="00E42E2F" w:rsidTr="32A0FD23" w14:paraId="623EB380" w14:textId="77777777">
        <w:tc>
          <w:tcPr>
            <w:tcW w:w="2122" w:type="dxa"/>
            <w:tcMar/>
          </w:tcPr>
          <w:p w:rsidRPr="002C1777" w:rsidR="00E42E2F" w:rsidP="000E3515" w:rsidRDefault="00E42E2F" w14:paraId="4D0FF8EE" w14:textId="523CFDC9">
            <w:pPr>
              <w:rPr>
                <w:rFonts w:ascii="Arial" w:hAnsi="Arial" w:cs="Arial"/>
              </w:rPr>
            </w:pPr>
            <w:r w:rsidRPr="002C1777">
              <w:rPr>
                <w:rFonts w:ascii="Arial" w:hAnsi="Arial" w:cs="Arial"/>
              </w:rPr>
              <w:t xml:space="preserve">E9 </w:t>
            </w:r>
          </w:p>
        </w:tc>
        <w:tc>
          <w:tcPr>
            <w:tcW w:w="5528" w:type="dxa"/>
            <w:tcMar/>
          </w:tcPr>
          <w:p w:rsidRPr="002C1777" w:rsidR="00E42E2F" w:rsidP="000E3515" w:rsidRDefault="00E42E2F" w14:paraId="78CD915B" w14:textId="1C1E2AC4">
            <w:pPr>
              <w:rPr>
                <w:rStyle w:val="normaltextrun"/>
                <w:rFonts w:ascii="Arial" w:hAnsi="Arial" w:cs="Arial"/>
              </w:rPr>
            </w:pPr>
            <w:r w:rsidRPr="002C1777">
              <w:rPr>
                <w:rFonts w:ascii="Arial" w:hAnsi="Arial" w:cs="Arial"/>
              </w:rPr>
              <w:t>N</w:t>
            </w:r>
            <w:r w:rsidRPr="002C1777" w:rsidR="008D4D62">
              <w:rPr>
                <w:rFonts w:ascii="Arial" w:hAnsi="Arial" w:cs="Arial"/>
              </w:rPr>
              <w:t>umber</w:t>
            </w:r>
            <w:r w:rsidRPr="002C1777">
              <w:rPr>
                <w:rFonts w:ascii="Arial" w:hAnsi="Arial" w:cs="Arial"/>
              </w:rPr>
              <w:t xml:space="preserve"> of volunteering opportunities supported </w:t>
            </w:r>
          </w:p>
        </w:tc>
        <w:tc>
          <w:tcPr>
            <w:tcW w:w="1366" w:type="dxa"/>
            <w:tcMar/>
          </w:tcPr>
          <w:p w:rsidRPr="002C1777" w:rsidR="00E42E2F" w:rsidP="00E42E2F" w:rsidRDefault="00D407EC" w14:paraId="35F3BA4C" w14:textId="355D37B3">
            <w:pPr>
              <w:jc w:val="right"/>
              <w:rPr>
                <w:rStyle w:val="normaltextrun"/>
                <w:rFonts w:ascii="Arial" w:hAnsi="Arial" w:cs="Arial"/>
              </w:rPr>
            </w:pPr>
            <w:r>
              <w:rPr>
                <w:rFonts w:ascii="Arial" w:hAnsi="Arial" w:cs="Arial"/>
              </w:rPr>
              <w:t>2</w:t>
            </w:r>
            <w:r w:rsidRPr="002C1777" w:rsidR="00E42E2F">
              <w:rPr>
                <w:rFonts w:ascii="Arial" w:hAnsi="Arial" w:cs="Arial"/>
              </w:rPr>
              <w:t>50</w:t>
            </w:r>
          </w:p>
        </w:tc>
      </w:tr>
      <w:tr w:rsidRPr="002C1777" w:rsidR="00E42E2F" w:rsidTr="32A0FD23" w14:paraId="5B3512F9" w14:textId="77777777">
        <w:tc>
          <w:tcPr>
            <w:tcW w:w="2122" w:type="dxa"/>
            <w:tcMar/>
          </w:tcPr>
          <w:p w:rsidRPr="002C1777" w:rsidR="00E42E2F" w:rsidP="000E3515" w:rsidRDefault="00E42E2F" w14:paraId="1A791C28" w14:textId="77777777">
            <w:pPr>
              <w:rPr>
                <w:rFonts w:ascii="Arial" w:hAnsi="Arial" w:cs="Arial"/>
              </w:rPr>
            </w:pPr>
            <w:r w:rsidRPr="002C1777">
              <w:rPr>
                <w:rFonts w:ascii="Arial" w:hAnsi="Arial" w:cs="Arial"/>
              </w:rPr>
              <w:t>E9</w:t>
            </w:r>
          </w:p>
        </w:tc>
        <w:tc>
          <w:tcPr>
            <w:tcW w:w="5528" w:type="dxa"/>
            <w:tcMar/>
          </w:tcPr>
          <w:p w:rsidRPr="002C1777" w:rsidR="00E42E2F" w:rsidP="000E3515" w:rsidRDefault="00E42E2F" w14:paraId="3339D82A" w14:textId="77777777">
            <w:pPr>
              <w:rPr>
                <w:rFonts w:ascii="Arial" w:hAnsi="Arial" w:cs="Arial"/>
              </w:rPr>
            </w:pPr>
            <w:r w:rsidRPr="002C1777">
              <w:rPr>
                <w:rFonts w:ascii="Arial" w:hAnsi="Arial" w:cs="Arial"/>
              </w:rPr>
              <w:t>Number of organisations receiving non-financial support</w:t>
            </w:r>
          </w:p>
        </w:tc>
        <w:tc>
          <w:tcPr>
            <w:tcW w:w="1366" w:type="dxa"/>
            <w:tcMar/>
          </w:tcPr>
          <w:p w:rsidRPr="002C1777" w:rsidR="00E42E2F" w:rsidP="00E42E2F" w:rsidRDefault="007014BB" w14:paraId="4D268E7C" w14:textId="27657BC1">
            <w:pPr>
              <w:jc w:val="right"/>
              <w:rPr>
                <w:rFonts w:ascii="Arial" w:hAnsi="Arial" w:cs="Arial"/>
              </w:rPr>
            </w:pPr>
            <w:r w:rsidRPr="002C1777">
              <w:rPr>
                <w:rFonts w:ascii="Arial" w:hAnsi="Arial" w:cs="Arial"/>
              </w:rPr>
              <w:t>120</w:t>
            </w:r>
          </w:p>
        </w:tc>
      </w:tr>
      <w:tr w:rsidRPr="002C1777" w:rsidR="00217DF3" w:rsidTr="32A0FD23" w14:paraId="7D3F8DC6" w14:textId="77777777">
        <w:tc>
          <w:tcPr>
            <w:tcW w:w="2122" w:type="dxa"/>
            <w:tcMar/>
          </w:tcPr>
          <w:p w:rsidRPr="002C1777" w:rsidR="00217DF3" w:rsidP="000E3515" w:rsidRDefault="00E05485" w14:paraId="7D4CBB1A" w14:textId="43955079">
            <w:pPr>
              <w:rPr>
                <w:rFonts w:ascii="Arial" w:hAnsi="Arial" w:cs="Arial"/>
              </w:rPr>
            </w:pPr>
            <w:r w:rsidRPr="002C1777">
              <w:rPr>
                <w:rFonts w:ascii="Arial" w:hAnsi="Arial" w:cs="Arial"/>
              </w:rPr>
              <w:t>E9</w:t>
            </w:r>
          </w:p>
        </w:tc>
        <w:tc>
          <w:tcPr>
            <w:tcW w:w="5528" w:type="dxa"/>
            <w:tcMar/>
          </w:tcPr>
          <w:p w:rsidRPr="002C1777" w:rsidR="00217DF3" w:rsidP="000E3515" w:rsidRDefault="00E05485" w14:paraId="03B2C272" w14:textId="6EEB30A3">
            <w:pPr>
              <w:rPr>
                <w:rFonts w:ascii="Arial" w:hAnsi="Arial" w:cs="Arial"/>
              </w:rPr>
            </w:pPr>
            <w:r w:rsidRPr="002C1777">
              <w:rPr>
                <w:rFonts w:ascii="Arial" w:hAnsi="Arial" w:cs="Arial"/>
              </w:rPr>
              <w:t>Number of local events or activities supported</w:t>
            </w:r>
          </w:p>
        </w:tc>
        <w:tc>
          <w:tcPr>
            <w:tcW w:w="1366" w:type="dxa"/>
            <w:tcMar/>
          </w:tcPr>
          <w:p w:rsidRPr="002C1777" w:rsidR="00217DF3" w:rsidP="00E42E2F" w:rsidRDefault="00CA50A5" w14:paraId="7BDA3566" w14:textId="3729639C">
            <w:pPr>
              <w:jc w:val="right"/>
              <w:rPr>
                <w:rFonts w:ascii="Arial" w:hAnsi="Arial" w:cs="Arial"/>
              </w:rPr>
            </w:pPr>
            <w:r w:rsidRPr="002C1777">
              <w:rPr>
                <w:rFonts w:ascii="Arial" w:hAnsi="Arial" w:cs="Arial"/>
              </w:rPr>
              <w:t>15</w:t>
            </w:r>
          </w:p>
        </w:tc>
      </w:tr>
      <w:tr w:rsidRPr="002C1777" w:rsidR="00217DF3" w:rsidTr="32A0FD23" w14:paraId="6387CF4F" w14:textId="77777777">
        <w:tc>
          <w:tcPr>
            <w:tcW w:w="2122" w:type="dxa"/>
            <w:tcMar/>
          </w:tcPr>
          <w:p w:rsidRPr="002C1777" w:rsidR="00217DF3" w:rsidP="000E3515" w:rsidRDefault="00E05485" w14:paraId="377B5138" w14:textId="0F9D1C61">
            <w:pPr>
              <w:rPr>
                <w:rFonts w:ascii="Arial" w:hAnsi="Arial" w:cs="Arial"/>
              </w:rPr>
            </w:pPr>
            <w:r w:rsidRPr="002C1777">
              <w:rPr>
                <w:rFonts w:ascii="Arial" w:hAnsi="Arial" w:cs="Arial"/>
              </w:rPr>
              <w:t>E9</w:t>
            </w:r>
          </w:p>
        </w:tc>
        <w:tc>
          <w:tcPr>
            <w:tcW w:w="5528" w:type="dxa"/>
            <w:tcMar/>
          </w:tcPr>
          <w:p w:rsidRPr="002C1777" w:rsidR="00217DF3" w:rsidP="000E3515" w:rsidRDefault="00E05485" w14:paraId="10E7B3BA" w14:textId="6FDBD509">
            <w:pPr>
              <w:rPr>
                <w:rFonts w:ascii="Arial" w:hAnsi="Arial" w:cs="Arial"/>
              </w:rPr>
            </w:pPr>
            <w:r w:rsidRPr="32A0FD23" w:rsidR="00E05485">
              <w:rPr>
                <w:rFonts w:ascii="Arial" w:hAnsi="Arial" w:cs="Arial"/>
              </w:rPr>
              <w:t xml:space="preserve">Number of </w:t>
            </w:r>
            <w:r w:rsidRPr="32A0FD23" w:rsidR="340D7565">
              <w:rPr>
                <w:rFonts w:ascii="Arial" w:hAnsi="Arial" w:cs="Arial"/>
              </w:rPr>
              <w:t>projects successfully completed</w:t>
            </w:r>
          </w:p>
        </w:tc>
        <w:tc>
          <w:tcPr>
            <w:tcW w:w="1366" w:type="dxa"/>
            <w:tcMar/>
          </w:tcPr>
          <w:p w:rsidRPr="002C1777" w:rsidR="00217DF3" w:rsidP="00E42E2F" w:rsidRDefault="00CA50A5" w14:paraId="23E6AD01" w14:textId="137834E2">
            <w:pPr>
              <w:jc w:val="right"/>
              <w:rPr>
                <w:rFonts w:ascii="Arial" w:hAnsi="Arial" w:cs="Arial"/>
              </w:rPr>
            </w:pPr>
            <w:r w:rsidRPr="002C1777">
              <w:rPr>
                <w:rFonts w:ascii="Arial" w:hAnsi="Arial" w:cs="Arial"/>
              </w:rPr>
              <w:t>15</w:t>
            </w:r>
          </w:p>
        </w:tc>
      </w:tr>
      <w:tr w:rsidRPr="002C1777" w:rsidR="00E05485" w:rsidTr="32A0FD23" w14:paraId="0058694A" w14:textId="77777777">
        <w:tc>
          <w:tcPr>
            <w:tcW w:w="2122" w:type="dxa"/>
            <w:tcMar/>
          </w:tcPr>
          <w:p w:rsidRPr="002C1777" w:rsidR="00E05485" w:rsidP="000E3515" w:rsidRDefault="00E05485" w14:paraId="7512DB54" w14:textId="4E35E62F">
            <w:pPr>
              <w:rPr>
                <w:rFonts w:ascii="Arial" w:hAnsi="Arial" w:cs="Arial"/>
              </w:rPr>
            </w:pPr>
            <w:r w:rsidRPr="002C1777">
              <w:rPr>
                <w:rFonts w:ascii="Arial" w:hAnsi="Arial" w:cs="Arial"/>
              </w:rPr>
              <w:t>E11</w:t>
            </w:r>
          </w:p>
        </w:tc>
        <w:tc>
          <w:tcPr>
            <w:tcW w:w="5528" w:type="dxa"/>
            <w:tcMar/>
          </w:tcPr>
          <w:p w:rsidRPr="002C1777" w:rsidR="00E05485" w:rsidP="000E3515" w:rsidRDefault="00E05485" w14:paraId="6F7520EC" w14:textId="68245D5A">
            <w:pPr>
              <w:rPr>
                <w:rFonts w:ascii="Arial" w:hAnsi="Arial" w:cs="Arial"/>
              </w:rPr>
            </w:pPr>
            <w:r w:rsidRPr="002C1777">
              <w:rPr>
                <w:rFonts w:ascii="Arial" w:hAnsi="Arial" w:cs="Arial"/>
              </w:rPr>
              <w:t>Number of people attending training sessions</w:t>
            </w:r>
          </w:p>
        </w:tc>
        <w:tc>
          <w:tcPr>
            <w:tcW w:w="1366" w:type="dxa"/>
            <w:tcMar/>
          </w:tcPr>
          <w:p w:rsidRPr="002C1777" w:rsidR="00E05485" w:rsidP="00E42E2F" w:rsidRDefault="00CA50A5" w14:paraId="7B7CDDDD" w14:textId="3DA1781E">
            <w:pPr>
              <w:jc w:val="right"/>
              <w:rPr>
                <w:rFonts w:ascii="Arial" w:hAnsi="Arial" w:cs="Arial"/>
              </w:rPr>
            </w:pPr>
            <w:r w:rsidRPr="002C1777">
              <w:rPr>
                <w:rFonts w:ascii="Arial" w:hAnsi="Arial" w:cs="Arial"/>
              </w:rPr>
              <w:t>100</w:t>
            </w:r>
          </w:p>
        </w:tc>
      </w:tr>
    </w:tbl>
    <w:p w:rsidRPr="002C1777" w:rsidR="00E42E2F" w:rsidP="006F46E4" w:rsidRDefault="00E42E2F" w14:paraId="5A85057E" w14:textId="775F4DA8">
      <w:pPr>
        <w:rPr>
          <w:rFonts w:ascii="Arial" w:hAnsi="Arial" w:cs="Arial"/>
        </w:rPr>
      </w:pPr>
    </w:p>
    <w:p w:rsidRPr="002C1777" w:rsidR="005A721C" w:rsidP="00E42E2F" w:rsidRDefault="00E42E2F" w14:paraId="0FA513A1" w14:textId="3D4B89CB">
      <w:pPr>
        <w:pStyle w:val="Caption"/>
        <w:rPr>
          <w:rFonts w:ascii="Arial" w:hAnsi="Arial" w:cs="Arial"/>
          <w:b/>
          <w:bCs/>
          <w:i w:val="0"/>
          <w:iCs w:val="0"/>
          <w:color w:val="auto"/>
          <w:sz w:val="22"/>
          <w:szCs w:val="22"/>
        </w:rPr>
      </w:pPr>
      <w:r w:rsidRPr="002C1777">
        <w:rPr>
          <w:rFonts w:ascii="Arial" w:hAnsi="Arial" w:cs="Arial"/>
          <w:b/>
          <w:bCs/>
          <w:i w:val="0"/>
          <w:iCs w:val="0"/>
          <w:color w:val="auto"/>
          <w:sz w:val="22"/>
          <w:szCs w:val="22"/>
        </w:rPr>
        <w:t xml:space="preserve">Table </w:t>
      </w:r>
      <w:r w:rsidRPr="002C1777">
        <w:rPr>
          <w:rFonts w:ascii="Arial" w:hAnsi="Arial" w:cs="Arial"/>
          <w:b/>
          <w:bCs/>
          <w:i w:val="0"/>
          <w:iCs w:val="0"/>
          <w:color w:val="auto"/>
          <w:sz w:val="22"/>
          <w:szCs w:val="22"/>
        </w:rPr>
        <w:fldChar w:fldCharType="begin"/>
      </w:r>
      <w:r w:rsidRPr="002C1777">
        <w:rPr>
          <w:rFonts w:ascii="Arial" w:hAnsi="Arial" w:cs="Arial"/>
          <w:b/>
          <w:bCs/>
          <w:i w:val="0"/>
          <w:iCs w:val="0"/>
          <w:color w:val="auto"/>
          <w:sz w:val="22"/>
          <w:szCs w:val="22"/>
        </w:rPr>
        <w:instrText xml:space="preserve"> SEQ Table \* ARABIC </w:instrText>
      </w:r>
      <w:r w:rsidRPr="002C1777">
        <w:rPr>
          <w:rFonts w:ascii="Arial" w:hAnsi="Arial" w:cs="Arial"/>
          <w:b/>
          <w:bCs/>
          <w:i w:val="0"/>
          <w:iCs w:val="0"/>
          <w:color w:val="auto"/>
          <w:sz w:val="22"/>
          <w:szCs w:val="22"/>
        </w:rPr>
        <w:fldChar w:fldCharType="separate"/>
      </w:r>
      <w:r w:rsidRPr="002C1777">
        <w:rPr>
          <w:rFonts w:ascii="Arial" w:hAnsi="Arial" w:cs="Arial"/>
          <w:b/>
          <w:bCs/>
          <w:i w:val="0"/>
          <w:iCs w:val="0"/>
          <w:color w:val="auto"/>
          <w:sz w:val="22"/>
          <w:szCs w:val="22"/>
        </w:rPr>
        <w:t>2</w:t>
      </w:r>
      <w:r w:rsidRPr="002C1777">
        <w:rPr>
          <w:rFonts w:ascii="Arial" w:hAnsi="Arial" w:cs="Arial"/>
          <w:b/>
          <w:bCs/>
          <w:i w:val="0"/>
          <w:iCs w:val="0"/>
          <w:color w:val="auto"/>
          <w:sz w:val="22"/>
          <w:szCs w:val="22"/>
        </w:rPr>
        <w:fldChar w:fldCharType="end"/>
      </w:r>
      <w:r w:rsidRPr="002C1777">
        <w:rPr>
          <w:rFonts w:ascii="Arial" w:hAnsi="Arial" w:cs="Arial"/>
          <w:b/>
          <w:bCs/>
          <w:i w:val="0"/>
          <w:iCs w:val="0"/>
          <w:color w:val="auto"/>
          <w:sz w:val="22"/>
          <w:szCs w:val="22"/>
        </w:rPr>
        <w:t xml:space="preserve">: </w:t>
      </w:r>
      <w:r w:rsidRPr="002C1777" w:rsidR="005A721C">
        <w:rPr>
          <w:rFonts w:ascii="Arial" w:hAnsi="Arial" w:cs="Arial"/>
          <w:b/>
          <w:bCs/>
          <w:i w:val="0"/>
          <w:iCs w:val="0"/>
          <w:color w:val="auto"/>
          <w:sz w:val="22"/>
          <w:szCs w:val="22"/>
        </w:rPr>
        <w:t>Outcomes</w:t>
      </w:r>
    </w:p>
    <w:tbl>
      <w:tblPr>
        <w:tblStyle w:val="TableGrid"/>
        <w:tblW w:w="0" w:type="auto"/>
        <w:tblCellMar>
          <w:top w:w="28" w:type="dxa"/>
          <w:bottom w:w="28" w:type="dxa"/>
        </w:tblCellMar>
        <w:tblLook w:val="04A0" w:firstRow="1" w:lastRow="0" w:firstColumn="1" w:lastColumn="0" w:noHBand="0" w:noVBand="1"/>
      </w:tblPr>
      <w:tblGrid>
        <w:gridCol w:w="7366"/>
        <w:gridCol w:w="1650"/>
      </w:tblGrid>
      <w:tr w:rsidRPr="002C1777" w:rsidR="00683323" w:rsidTr="32A0FD23" w14:paraId="55AEE4FE" w14:textId="77777777">
        <w:tc>
          <w:tcPr>
            <w:tcW w:w="7366" w:type="dxa"/>
            <w:tcMar/>
          </w:tcPr>
          <w:p w:rsidRPr="002C1777" w:rsidR="00683323" w:rsidP="006F46E4" w:rsidRDefault="00683323" w14:paraId="1EEB991D" w14:textId="2AC5859E">
            <w:pPr>
              <w:rPr>
                <w:rStyle w:val="normaltextrun"/>
                <w:rFonts w:ascii="Arial" w:hAnsi="Arial" w:cs="Arial"/>
                <w:b/>
                <w:bCs/>
              </w:rPr>
            </w:pPr>
            <w:r w:rsidRPr="002C1777">
              <w:rPr>
                <w:rStyle w:val="normaltextrun"/>
                <w:rFonts w:ascii="Arial" w:hAnsi="Arial" w:cs="Arial"/>
                <w:b/>
                <w:bCs/>
              </w:rPr>
              <w:t>Outcome</w:t>
            </w:r>
          </w:p>
        </w:tc>
        <w:tc>
          <w:tcPr>
            <w:tcW w:w="1650" w:type="dxa"/>
            <w:tcMar/>
          </w:tcPr>
          <w:p w:rsidRPr="002C1777" w:rsidR="00683323" w:rsidP="00E42E2F" w:rsidRDefault="00E42E2F" w14:paraId="4F5D9F23" w14:textId="187677EF">
            <w:pPr>
              <w:jc w:val="right"/>
              <w:rPr>
                <w:rStyle w:val="normaltextrun"/>
                <w:rFonts w:ascii="Arial" w:hAnsi="Arial" w:cs="Arial"/>
                <w:b/>
                <w:bCs/>
              </w:rPr>
            </w:pPr>
            <w:r w:rsidRPr="002C1777">
              <w:rPr>
                <w:rStyle w:val="normaltextrun"/>
                <w:rFonts w:ascii="Arial" w:hAnsi="Arial" w:cs="Arial"/>
                <w:b/>
                <w:bCs/>
              </w:rPr>
              <w:t>Target</w:t>
            </w:r>
          </w:p>
        </w:tc>
      </w:tr>
      <w:tr w:rsidRPr="002C1777" w:rsidR="00683323" w:rsidTr="32A0FD23" w14:paraId="5BB7EEEC" w14:textId="77777777">
        <w:tc>
          <w:tcPr>
            <w:tcW w:w="7366" w:type="dxa"/>
            <w:tcMar/>
          </w:tcPr>
          <w:p w:rsidRPr="002C1777" w:rsidR="00683323" w:rsidP="32A0FD23" w:rsidRDefault="00683323" w14:paraId="3193D7F7" w14:textId="70A9DAEB">
            <w:pPr>
              <w:rPr>
                <w:rFonts w:ascii="Arial" w:hAnsi="Arial" w:cs="Arial"/>
              </w:rPr>
            </w:pPr>
            <w:r w:rsidRPr="32A0FD23" w:rsidR="00683323">
              <w:rPr>
                <w:rFonts w:ascii="Arial" w:hAnsi="Arial" w:cs="Arial"/>
              </w:rPr>
              <w:t>Number of volunteering opportunities created as a result of support</w:t>
            </w:r>
          </w:p>
        </w:tc>
        <w:tc>
          <w:tcPr>
            <w:tcW w:w="1650" w:type="dxa"/>
            <w:tcMar/>
          </w:tcPr>
          <w:p w:rsidRPr="002C1777" w:rsidR="00683323" w:rsidP="00E42E2F" w:rsidRDefault="00956D60" w14:paraId="0FD0E398" w14:textId="630A1050">
            <w:pPr>
              <w:jc w:val="right"/>
              <w:rPr>
                <w:rStyle w:val="normaltextrun"/>
                <w:rFonts w:ascii="Arial" w:hAnsi="Arial" w:cs="Arial"/>
              </w:rPr>
            </w:pPr>
            <w:r w:rsidRPr="002C1777">
              <w:rPr>
                <w:rFonts w:ascii="Arial" w:hAnsi="Arial" w:cs="Arial"/>
              </w:rPr>
              <w:t>250</w:t>
            </w:r>
          </w:p>
        </w:tc>
      </w:tr>
    </w:tbl>
    <w:p w:rsidRPr="002C1777" w:rsidR="00BF6FDE" w:rsidP="00E42E2F" w:rsidRDefault="00BF6FDE" w14:paraId="2FC4B553" w14:textId="4FEFF4AE">
      <w:pPr>
        <w:spacing w:after="0" w:line="240" w:lineRule="auto"/>
        <w:rPr>
          <w:rFonts w:ascii="Arial" w:hAnsi="Arial" w:cs="Arial"/>
          <w:color w:val="008080"/>
          <w:sz w:val="24"/>
          <w:szCs w:val="24"/>
        </w:rPr>
      </w:pPr>
    </w:p>
    <w:p w:rsidRPr="002C1777" w:rsidR="00A96B7E" w:rsidRDefault="0041574B" w14:paraId="617F006D" w14:textId="169E6FEE">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2" w:id="13"/>
      <w:r w:rsidRPr="002C1777">
        <w:rPr>
          <w:rFonts w:ascii="Arial" w:hAnsi="Arial" w:cs="Arial"/>
          <w:b/>
          <w:bCs/>
          <w:sz w:val="24"/>
          <w:szCs w:val="24"/>
        </w:rPr>
        <w:t>Fundin</w:t>
      </w:r>
      <w:r w:rsidRPr="002C1777" w:rsidR="00564946">
        <w:rPr>
          <w:rFonts w:ascii="Arial" w:hAnsi="Arial" w:cs="Arial"/>
          <w:b/>
          <w:bCs/>
          <w:sz w:val="24"/>
          <w:szCs w:val="24"/>
        </w:rPr>
        <w:t>g</w:t>
      </w:r>
      <w:bookmarkEnd w:id="13"/>
    </w:p>
    <w:p w:rsidRPr="002C1777" w:rsidR="00A96B7E" w:rsidP="001A0A85" w:rsidRDefault="00E42E2F" w14:paraId="172E2CF2" w14:textId="44E13367">
      <w:pPr>
        <w:rPr>
          <w:rFonts w:ascii="Arial" w:hAnsi="Arial" w:cs="Arial"/>
          <w:sz w:val="24"/>
          <w:szCs w:val="24"/>
        </w:rPr>
      </w:pPr>
      <w:r w:rsidRPr="002C1777">
        <w:rPr>
          <w:rFonts w:ascii="Arial" w:hAnsi="Arial" w:cs="Arial"/>
        </w:rPr>
        <w:t>There is a maximum of £1</w:t>
      </w:r>
      <w:r w:rsidR="00383A1B">
        <w:rPr>
          <w:rFonts w:ascii="Arial" w:hAnsi="Arial" w:cs="Arial"/>
        </w:rPr>
        <w:t xml:space="preserve"> </w:t>
      </w:r>
      <w:r w:rsidRPr="002C1777">
        <w:rPr>
          <w:rFonts w:ascii="Arial" w:hAnsi="Arial" w:cs="Arial"/>
        </w:rPr>
        <w:t>m</w:t>
      </w:r>
      <w:r w:rsidR="00383A1B">
        <w:rPr>
          <w:rFonts w:ascii="Arial" w:hAnsi="Arial" w:cs="Arial"/>
        </w:rPr>
        <w:t>illion</w:t>
      </w:r>
      <w:r w:rsidRPr="002C1777">
        <w:rPr>
          <w:rFonts w:ascii="Arial" w:hAnsi="Arial" w:cs="Arial"/>
        </w:rPr>
        <w:t xml:space="preserve"> UKSPF revenue funding available</w:t>
      </w:r>
      <w:r w:rsidRPr="002C1777" w:rsidR="00A257EB">
        <w:rPr>
          <w:rFonts w:ascii="Arial" w:hAnsi="Arial" w:cs="Arial"/>
        </w:rPr>
        <w:t>.</w:t>
      </w:r>
    </w:p>
    <w:p w:rsidRPr="002C1777" w:rsidR="005D4770" w:rsidRDefault="00E42E2F" w14:paraId="489AE36B" w14:textId="5B69CB89">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3" w:id="14"/>
      <w:r w:rsidRPr="002C1777">
        <w:rPr>
          <w:rFonts w:ascii="Arial" w:hAnsi="Arial" w:cs="Arial"/>
          <w:b/>
          <w:bCs/>
          <w:sz w:val="24"/>
          <w:szCs w:val="24"/>
        </w:rPr>
        <w:t>Geographical coverage</w:t>
      </w:r>
      <w:bookmarkEnd w:id="14"/>
    </w:p>
    <w:p w:rsidRPr="002C1777" w:rsidR="00E42E2F" w:rsidP="00E42E2F" w:rsidRDefault="00E42E2F" w14:paraId="04B22D80" w14:textId="4F8806DD">
      <w:pPr>
        <w:rPr>
          <w:rFonts w:ascii="Arial" w:hAnsi="Arial" w:cs="Arial"/>
        </w:rPr>
      </w:pPr>
      <w:r w:rsidRPr="002C1777">
        <w:rPr>
          <w:rFonts w:ascii="Arial" w:hAnsi="Arial" w:cs="Arial"/>
        </w:rPr>
        <w:t>We are looking for a single project to deliver activity across the full North of Tyne Combined Authority area. This includes the following Local Authority areas:</w:t>
      </w:r>
    </w:p>
    <w:p w:rsidRPr="002C1777" w:rsidR="00E42E2F" w:rsidRDefault="00E42E2F" w14:paraId="40DD3770" w14:textId="4DB1E228">
      <w:pPr>
        <w:pStyle w:val="ListParagraph"/>
        <w:numPr>
          <w:ilvl w:val="0"/>
          <w:numId w:val="11"/>
        </w:numPr>
        <w:spacing w:after="120" w:line="240" w:lineRule="auto"/>
        <w:ind w:left="697" w:hanging="357"/>
        <w:contextualSpacing w:val="0"/>
        <w:rPr>
          <w:rFonts w:ascii="Arial" w:hAnsi="Arial" w:cs="Arial"/>
        </w:rPr>
      </w:pPr>
      <w:r w:rsidRPr="002C1777">
        <w:rPr>
          <w:rFonts w:ascii="Arial" w:hAnsi="Arial" w:cs="Arial"/>
        </w:rPr>
        <w:t>Newcastle City Council</w:t>
      </w:r>
    </w:p>
    <w:p w:rsidRPr="002C1777" w:rsidR="00E42E2F" w:rsidRDefault="00E42E2F" w14:paraId="3C3DEC27" w14:textId="233296E1">
      <w:pPr>
        <w:pStyle w:val="ListParagraph"/>
        <w:numPr>
          <w:ilvl w:val="0"/>
          <w:numId w:val="11"/>
        </w:numPr>
        <w:spacing w:after="120" w:line="240" w:lineRule="auto"/>
        <w:ind w:left="697" w:hanging="357"/>
        <w:contextualSpacing w:val="0"/>
        <w:rPr>
          <w:rFonts w:ascii="Arial" w:hAnsi="Arial" w:cs="Arial"/>
        </w:rPr>
      </w:pPr>
      <w:r w:rsidRPr="002C1777">
        <w:rPr>
          <w:rFonts w:ascii="Arial" w:hAnsi="Arial" w:cs="Arial"/>
        </w:rPr>
        <w:t>Northumberland County Council</w:t>
      </w:r>
    </w:p>
    <w:p w:rsidRPr="002C1777" w:rsidR="00E42E2F" w:rsidRDefault="00E42E2F" w14:paraId="66D2F247" w14:textId="307C3A95">
      <w:pPr>
        <w:pStyle w:val="ListParagraph"/>
        <w:numPr>
          <w:ilvl w:val="0"/>
          <w:numId w:val="11"/>
        </w:numPr>
        <w:spacing w:after="120" w:line="240" w:lineRule="auto"/>
        <w:ind w:left="697" w:hanging="357"/>
        <w:contextualSpacing w:val="0"/>
        <w:rPr>
          <w:rFonts w:ascii="Arial" w:hAnsi="Arial" w:cs="Arial"/>
        </w:rPr>
      </w:pPr>
      <w:r w:rsidRPr="002C1777">
        <w:rPr>
          <w:rFonts w:ascii="Arial" w:hAnsi="Arial" w:cs="Arial"/>
        </w:rPr>
        <w:t>North Tyneside Council</w:t>
      </w:r>
    </w:p>
    <w:p w:rsidR="00E42E2F" w:rsidP="00E42E2F" w:rsidRDefault="00E42E2F" w14:paraId="28E027FE" w14:textId="0E7DDA60">
      <w:pPr>
        <w:rPr>
          <w:rFonts w:ascii="Arial" w:hAnsi="Arial" w:cs="Arial"/>
        </w:rPr>
      </w:pPr>
      <w:r w:rsidRPr="002C1777">
        <w:rPr>
          <w:rFonts w:ascii="Arial" w:hAnsi="Arial" w:cs="Arial"/>
        </w:rPr>
        <w:t>Volunteer opportunities created must be based in the North of Tyne area, and accessible to volunteers who are also North of Tyne residents.</w:t>
      </w:r>
    </w:p>
    <w:p w:rsidR="00383A1B" w:rsidP="00E42E2F" w:rsidRDefault="00383A1B" w14:paraId="6BBDA1EE" w14:textId="77777777">
      <w:pPr>
        <w:rPr>
          <w:rFonts w:ascii="Arial" w:hAnsi="Arial" w:cs="Arial"/>
        </w:rPr>
      </w:pPr>
    </w:p>
    <w:p w:rsidRPr="002C1777" w:rsidR="00383A1B" w:rsidP="00E42E2F" w:rsidRDefault="00383A1B" w14:paraId="6BE77578" w14:textId="77777777">
      <w:pPr>
        <w:rPr>
          <w:rFonts w:ascii="Arial" w:hAnsi="Arial" w:cs="Arial"/>
        </w:rPr>
      </w:pPr>
    </w:p>
    <w:p w:rsidRPr="002C1777" w:rsidR="00765D48" w:rsidRDefault="00765D48" w14:paraId="107C9EA9" w14:textId="26DB63D7">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4" w:id="15"/>
      <w:r w:rsidRPr="002C1777">
        <w:rPr>
          <w:rFonts w:ascii="Arial" w:hAnsi="Arial" w:cs="Arial"/>
          <w:b/>
          <w:bCs/>
          <w:sz w:val="24"/>
          <w:szCs w:val="24"/>
        </w:rPr>
        <w:lastRenderedPageBreak/>
        <w:t>Timesc</w:t>
      </w:r>
      <w:r w:rsidRPr="002C1777" w:rsidR="00D36428">
        <w:rPr>
          <w:rFonts w:ascii="Arial" w:hAnsi="Arial" w:cs="Arial"/>
          <w:b/>
          <w:bCs/>
          <w:sz w:val="24"/>
          <w:szCs w:val="24"/>
        </w:rPr>
        <w:t>a</w:t>
      </w:r>
      <w:r w:rsidRPr="002C1777">
        <w:rPr>
          <w:rFonts w:ascii="Arial" w:hAnsi="Arial" w:cs="Arial"/>
          <w:b/>
          <w:bCs/>
          <w:sz w:val="24"/>
          <w:szCs w:val="24"/>
        </w:rPr>
        <w:t>les</w:t>
      </w:r>
      <w:bookmarkEnd w:id="15"/>
    </w:p>
    <w:tbl>
      <w:tblPr>
        <w:tblStyle w:val="TableGrid"/>
        <w:tblW w:w="0" w:type="auto"/>
        <w:tblCellMar>
          <w:top w:w="28" w:type="dxa"/>
          <w:bottom w:w="28" w:type="dxa"/>
        </w:tblCellMar>
        <w:tblLook w:val="04A0" w:firstRow="1" w:lastRow="0" w:firstColumn="1" w:lastColumn="0" w:noHBand="0" w:noVBand="1"/>
      </w:tblPr>
      <w:tblGrid>
        <w:gridCol w:w="2547"/>
        <w:gridCol w:w="6379"/>
      </w:tblGrid>
      <w:tr w:rsidRPr="002C1777" w:rsidR="00765D48" w:rsidTr="00E42E2F" w14:paraId="5210502F" w14:textId="77777777">
        <w:tc>
          <w:tcPr>
            <w:tcW w:w="2547" w:type="dxa"/>
          </w:tcPr>
          <w:p w:rsidRPr="002C1777" w:rsidR="00765D48" w:rsidP="000E3515" w:rsidRDefault="00765D48" w14:paraId="17DF7185" w14:textId="77777777">
            <w:pPr>
              <w:rPr>
                <w:rFonts w:ascii="Arial" w:hAnsi="Arial" w:cs="Arial"/>
                <w:b/>
                <w:bCs/>
              </w:rPr>
            </w:pPr>
            <w:r w:rsidRPr="002C1777">
              <w:rPr>
                <w:rFonts w:ascii="Arial" w:hAnsi="Arial" w:cs="Arial"/>
                <w:b/>
                <w:bCs/>
              </w:rPr>
              <w:t>Date</w:t>
            </w:r>
          </w:p>
        </w:tc>
        <w:tc>
          <w:tcPr>
            <w:tcW w:w="6379" w:type="dxa"/>
          </w:tcPr>
          <w:p w:rsidRPr="002C1777" w:rsidR="00765D48" w:rsidP="000E3515" w:rsidRDefault="00765D48" w14:paraId="7212B0AA" w14:textId="77777777">
            <w:pPr>
              <w:rPr>
                <w:rFonts w:ascii="Arial" w:hAnsi="Arial" w:cs="Arial"/>
                <w:b/>
                <w:bCs/>
              </w:rPr>
            </w:pPr>
            <w:r w:rsidRPr="002C1777">
              <w:rPr>
                <w:rFonts w:ascii="Arial" w:hAnsi="Arial" w:cs="Arial"/>
                <w:b/>
                <w:bCs/>
              </w:rPr>
              <w:t>Activity</w:t>
            </w:r>
          </w:p>
        </w:tc>
      </w:tr>
      <w:tr w:rsidRPr="002C1777" w:rsidR="002F0437" w:rsidTr="00E42E2F" w14:paraId="5273E1DF" w14:textId="77777777">
        <w:tc>
          <w:tcPr>
            <w:tcW w:w="2547" w:type="dxa"/>
          </w:tcPr>
          <w:p w:rsidRPr="00623443" w:rsidR="002F0437" w:rsidP="000E3515" w:rsidRDefault="00DA1880" w14:paraId="3FF2AE92" w14:textId="6675B4BD">
            <w:pPr>
              <w:rPr>
                <w:rFonts w:ascii="Arial" w:hAnsi="Arial" w:cs="Arial"/>
              </w:rPr>
            </w:pPr>
            <w:r w:rsidRPr="00623443">
              <w:rPr>
                <w:rFonts w:ascii="Arial" w:hAnsi="Arial" w:cs="Arial"/>
              </w:rPr>
              <w:t>22</w:t>
            </w:r>
            <w:r w:rsidRPr="00623443">
              <w:rPr>
                <w:rFonts w:ascii="Arial" w:hAnsi="Arial" w:cs="Arial"/>
                <w:vertAlign w:val="superscript"/>
              </w:rPr>
              <w:t>nd</w:t>
            </w:r>
            <w:r w:rsidRPr="00623443">
              <w:rPr>
                <w:rFonts w:ascii="Arial" w:hAnsi="Arial" w:cs="Arial"/>
              </w:rPr>
              <w:t xml:space="preserve"> March 2023</w:t>
            </w:r>
          </w:p>
        </w:tc>
        <w:tc>
          <w:tcPr>
            <w:tcW w:w="6379" w:type="dxa"/>
          </w:tcPr>
          <w:p w:rsidRPr="002C1777" w:rsidR="002F0437" w:rsidP="000E3515" w:rsidRDefault="002F0437" w14:paraId="5C1FFE83" w14:textId="5E61028D">
            <w:pPr>
              <w:rPr>
                <w:rFonts w:ascii="Arial" w:hAnsi="Arial" w:cs="Arial"/>
              </w:rPr>
            </w:pPr>
            <w:r w:rsidRPr="002C1777">
              <w:rPr>
                <w:rFonts w:ascii="Arial" w:hAnsi="Arial" w:cs="Arial"/>
              </w:rPr>
              <w:t xml:space="preserve">Open call published </w:t>
            </w:r>
          </w:p>
        </w:tc>
      </w:tr>
      <w:tr w:rsidRPr="002C1777" w:rsidR="00765D48" w:rsidTr="00E42E2F" w14:paraId="4B375CDA" w14:textId="77777777">
        <w:tc>
          <w:tcPr>
            <w:tcW w:w="2547" w:type="dxa"/>
          </w:tcPr>
          <w:p w:rsidRPr="00623443" w:rsidR="00765D48" w:rsidP="000E3515" w:rsidRDefault="00DA1880" w14:paraId="686F9C75" w14:textId="23FE0907">
            <w:pPr>
              <w:rPr>
                <w:rFonts w:ascii="Arial" w:hAnsi="Arial" w:cs="Arial"/>
              </w:rPr>
            </w:pPr>
            <w:r w:rsidRPr="00623443">
              <w:rPr>
                <w:rFonts w:ascii="Arial" w:hAnsi="Arial" w:cs="Arial"/>
              </w:rPr>
              <w:t>Noon 3</w:t>
            </w:r>
            <w:r w:rsidRPr="00623443">
              <w:rPr>
                <w:rFonts w:ascii="Arial" w:hAnsi="Arial" w:cs="Arial"/>
                <w:vertAlign w:val="superscript"/>
              </w:rPr>
              <w:t>rd</w:t>
            </w:r>
            <w:r w:rsidRPr="00623443">
              <w:rPr>
                <w:rFonts w:ascii="Arial" w:hAnsi="Arial" w:cs="Arial"/>
              </w:rPr>
              <w:t xml:space="preserve"> May 2023</w:t>
            </w:r>
          </w:p>
        </w:tc>
        <w:tc>
          <w:tcPr>
            <w:tcW w:w="6379" w:type="dxa"/>
          </w:tcPr>
          <w:p w:rsidRPr="002C1777" w:rsidR="00765D48" w:rsidP="000E3515" w:rsidRDefault="00E42E2F" w14:paraId="4445F791" w14:textId="5249285F">
            <w:pPr>
              <w:rPr>
                <w:rFonts w:ascii="Arial" w:hAnsi="Arial" w:cs="Arial"/>
              </w:rPr>
            </w:pPr>
            <w:r w:rsidRPr="002C1777">
              <w:rPr>
                <w:rFonts w:ascii="Arial" w:hAnsi="Arial" w:cs="Arial"/>
              </w:rPr>
              <w:t>Deadline for submission of bids</w:t>
            </w:r>
          </w:p>
        </w:tc>
      </w:tr>
      <w:tr w:rsidRPr="002C1777" w:rsidR="00E42E2F" w:rsidTr="00E42E2F" w14:paraId="6B98C4FF" w14:textId="77777777">
        <w:tc>
          <w:tcPr>
            <w:tcW w:w="2547" w:type="dxa"/>
          </w:tcPr>
          <w:p w:rsidRPr="00623443" w:rsidR="00E42E2F" w:rsidP="000E3515" w:rsidRDefault="00E957EF" w14:paraId="62E7982E" w14:textId="3AE9B56F">
            <w:pPr>
              <w:rPr>
                <w:rFonts w:ascii="Arial" w:hAnsi="Arial" w:cs="Arial"/>
              </w:rPr>
            </w:pPr>
            <w:r w:rsidRPr="00623443">
              <w:rPr>
                <w:rFonts w:ascii="Arial" w:hAnsi="Arial" w:cs="Arial"/>
              </w:rPr>
              <w:t>Week commencing 8</w:t>
            </w:r>
            <w:r w:rsidRPr="00623443">
              <w:rPr>
                <w:rFonts w:ascii="Arial" w:hAnsi="Arial" w:cs="Arial"/>
                <w:vertAlign w:val="superscript"/>
              </w:rPr>
              <w:t>th</w:t>
            </w:r>
            <w:r w:rsidRPr="00623443">
              <w:rPr>
                <w:rFonts w:ascii="Arial" w:hAnsi="Arial" w:cs="Arial"/>
              </w:rPr>
              <w:t xml:space="preserve"> May 2023</w:t>
            </w:r>
          </w:p>
        </w:tc>
        <w:tc>
          <w:tcPr>
            <w:tcW w:w="6379" w:type="dxa"/>
          </w:tcPr>
          <w:p w:rsidRPr="002C1777" w:rsidR="00E42E2F" w:rsidP="000E3515" w:rsidRDefault="00E42E2F" w14:paraId="69C5FD71" w14:textId="42294B19">
            <w:pPr>
              <w:rPr>
                <w:rFonts w:ascii="Arial" w:hAnsi="Arial" w:cs="Arial"/>
              </w:rPr>
            </w:pPr>
            <w:r w:rsidRPr="002C1777">
              <w:rPr>
                <w:rFonts w:ascii="Arial" w:hAnsi="Arial" w:cs="Arial"/>
              </w:rPr>
              <w:t>Assessment Panel meets</w:t>
            </w:r>
          </w:p>
        </w:tc>
      </w:tr>
      <w:tr w:rsidRPr="002C1777" w:rsidR="00765D48" w:rsidTr="00E42E2F" w14:paraId="7866EE73" w14:textId="77777777">
        <w:tc>
          <w:tcPr>
            <w:tcW w:w="2547" w:type="dxa"/>
          </w:tcPr>
          <w:p w:rsidRPr="002C1777" w:rsidR="00765D48" w:rsidP="000E3515" w:rsidRDefault="00F36587" w14:paraId="04C8078F" w14:textId="461F315E">
            <w:pPr>
              <w:rPr>
                <w:rFonts w:ascii="Arial" w:hAnsi="Arial" w:cs="Arial"/>
              </w:rPr>
            </w:pPr>
            <w:r w:rsidRPr="002C1777">
              <w:rPr>
                <w:rFonts w:ascii="Arial" w:hAnsi="Arial" w:cs="Arial"/>
              </w:rPr>
              <w:t>1</w:t>
            </w:r>
            <w:r w:rsidRPr="002C1777">
              <w:rPr>
                <w:rFonts w:ascii="Arial" w:hAnsi="Arial" w:cs="Arial"/>
                <w:vertAlign w:val="superscript"/>
              </w:rPr>
              <w:t xml:space="preserve">st </w:t>
            </w:r>
            <w:r w:rsidRPr="002C1777">
              <w:rPr>
                <w:rFonts w:ascii="Arial" w:hAnsi="Arial" w:cs="Arial"/>
              </w:rPr>
              <w:t>June 2</w:t>
            </w:r>
            <w:r w:rsidRPr="002C1777" w:rsidR="00765D48">
              <w:rPr>
                <w:rFonts w:ascii="Arial" w:hAnsi="Arial" w:cs="Arial"/>
              </w:rPr>
              <w:t>023</w:t>
            </w:r>
            <w:r w:rsidRPr="002C1777" w:rsidR="00BF1597">
              <w:rPr>
                <w:rFonts w:ascii="Arial" w:hAnsi="Arial" w:cs="Arial"/>
              </w:rPr>
              <w:t xml:space="preserve"> –</w:t>
            </w:r>
            <w:r w:rsidR="00F56A25">
              <w:rPr>
                <w:rFonts w:ascii="Arial" w:hAnsi="Arial" w:cs="Arial"/>
              </w:rPr>
              <w:t xml:space="preserve"> </w:t>
            </w:r>
            <w:r w:rsidRPr="002C1777" w:rsidR="00BF1597">
              <w:rPr>
                <w:rFonts w:ascii="Arial" w:hAnsi="Arial" w:cs="Arial"/>
              </w:rPr>
              <w:t>March 2025</w:t>
            </w:r>
          </w:p>
        </w:tc>
        <w:tc>
          <w:tcPr>
            <w:tcW w:w="6379" w:type="dxa"/>
          </w:tcPr>
          <w:p w:rsidRPr="002C1777" w:rsidR="00765D48" w:rsidP="000E3515" w:rsidRDefault="005D4770" w14:paraId="2DE9AB8C" w14:textId="59B9E8FB">
            <w:pPr>
              <w:rPr>
                <w:rFonts w:ascii="Arial" w:hAnsi="Arial" w:cs="Arial"/>
              </w:rPr>
            </w:pPr>
            <w:r w:rsidRPr="002C1777">
              <w:rPr>
                <w:rFonts w:ascii="Arial" w:hAnsi="Arial" w:cs="Arial"/>
              </w:rPr>
              <w:t>D</w:t>
            </w:r>
            <w:r w:rsidRPr="002C1777" w:rsidR="00C60188">
              <w:rPr>
                <w:rFonts w:ascii="Arial" w:hAnsi="Arial" w:cs="Arial"/>
              </w:rPr>
              <w:t>elivery</w:t>
            </w:r>
            <w:r w:rsidRPr="002C1777">
              <w:rPr>
                <w:rFonts w:ascii="Arial" w:hAnsi="Arial" w:cs="Arial"/>
              </w:rPr>
              <w:t xml:space="preserve"> of activity</w:t>
            </w:r>
          </w:p>
        </w:tc>
      </w:tr>
      <w:tr w:rsidRPr="002C1777" w:rsidR="00765D48" w:rsidTr="00E42E2F" w14:paraId="20536502" w14:textId="77777777">
        <w:tc>
          <w:tcPr>
            <w:tcW w:w="2547" w:type="dxa"/>
          </w:tcPr>
          <w:p w:rsidRPr="002C1777" w:rsidR="00765D48" w:rsidP="000E3515" w:rsidRDefault="00765D48" w14:paraId="1FD6B4C1" w14:textId="77777777">
            <w:pPr>
              <w:rPr>
                <w:rFonts w:ascii="Arial" w:hAnsi="Arial" w:cs="Arial"/>
              </w:rPr>
            </w:pPr>
            <w:r w:rsidRPr="002C1777">
              <w:rPr>
                <w:rFonts w:ascii="Arial" w:hAnsi="Arial" w:cs="Arial"/>
              </w:rPr>
              <w:t>31</w:t>
            </w:r>
            <w:r w:rsidRPr="002C1777">
              <w:rPr>
                <w:rFonts w:ascii="Arial" w:hAnsi="Arial" w:cs="Arial"/>
                <w:vertAlign w:val="superscript"/>
              </w:rPr>
              <w:t>st</w:t>
            </w:r>
            <w:r w:rsidRPr="002C1777">
              <w:rPr>
                <w:rFonts w:ascii="Arial" w:hAnsi="Arial" w:cs="Arial"/>
              </w:rPr>
              <w:t xml:space="preserve"> March 2025</w:t>
            </w:r>
          </w:p>
        </w:tc>
        <w:tc>
          <w:tcPr>
            <w:tcW w:w="6379" w:type="dxa"/>
          </w:tcPr>
          <w:p w:rsidRPr="002C1777" w:rsidR="00765D48" w:rsidP="000E3515" w:rsidRDefault="00765D48" w14:paraId="783EE7E6" w14:textId="1ABBD196">
            <w:pPr>
              <w:rPr>
                <w:rFonts w:ascii="Arial" w:hAnsi="Arial" w:cs="Arial"/>
              </w:rPr>
            </w:pPr>
            <w:r w:rsidRPr="002C1777">
              <w:rPr>
                <w:rFonts w:ascii="Arial" w:hAnsi="Arial" w:cs="Arial"/>
              </w:rPr>
              <w:t xml:space="preserve">All activities completed and budget fully </w:t>
            </w:r>
            <w:r w:rsidRPr="002C1777" w:rsidR="00120F06">
              <w:rPr>
                <w:rFonts w:ascii="Arial" w:hAnsi="Arial" w:cs="Arial"/>
              </w:rPr>
              <w:t>spent</w:t>
            </w:r>
          </w:p>
        </w:tc>
      </w:tr>
    </w:tbl>
    <w:p w:rsidRPr="002C1777" w:rsidR="002E2A3A" w:rsidP="00726955" w:rsidRDefault="002E2A3A" w14:paraId="74DAC917" w14:textId="77777777">
      <w:pPr>
        <w:pStyle w:val="NoSpacing"/>
        <w:rPr>
          <w:rFonts w:ascii="Arial" w:hAnsi="Arial" w:cs="Arial"/>
          <w:b/>
          <w:bCs/>
          <w:lang w:eastAsia="en-GB"/>
        </w:rPr>
      </w:pPr>
    </w:p>
    <w:p w:rsidRPr="002C1777" w:rsidR="002E2A3A" w:rsidP="00726955" w:rsidRDefault="002E2A3A" w14:paraId="4BD76F7F" w14:textId="77777777">
      <w:pPr>
        <w:pStyle w:val="NoSpacing"/>
        <w:rPr>
          <w:rFonts w:ascii="Arial" w:hAnsi="Arial" w:cs="Arial"/>
          <w:b/>
          <w:bCs/>
          <w:lang w:eastAsia="en-GB"/>
        </w:rPr>
      </w:pPr>
    </w:p>
    <w:p w:rsidRPr="002C1777" w:rsidR="00726955" w:rsidRDefault="00726955" w14:paraId="19C57701" w14:textId="77777777">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5" w:id="16"/>
      <w:r w:rsidRPr="002C1777">
        <w:rPr>
          <w:rFonts w:ascii="Arial" w:hAnsi="Arial" w:cs="Arial"/>
          <w:b/>
          <w:bCs/>
          <w:sz w:val="24"/>
          <w:szCs w:val="24"/>
        </w:rPr>
        <w:t>Data submissions and quarterly monitoring arrangements </w:t>
      </w:r>
      <w:bookmarkEnd w:id="16"/>
      <w:r w:rsidRPr="002C1777">
        <w:rPr>
          <w:rFonts w:ascii="Arial" w:hAnsi="Arial" w:cs="Arial"/>
          <w:b/>
          <w:bCs/>
          <w:sz w:val="24"/>
          <w:szCs w:val="24"/>
        </w:rPr>
        <w:t> </w:t>
      </w:r>
    </w:p>
    <w:p w:rsidRPr="002C1777" w:rsidR="00726955" w:rsidP="56667ACB" w:rsidRDefault="00726955" w14:paraId="47731A62" w14:textId="59EDB4D8">
      <w:pPr>
        <w:pStyle w:val="paragraph"/>
        <w:spacing w:before="0" w:beforeAutospacing="0" w:after="120" w:afterAutospacing="0"/>
        <w:textAlignment w:val="baseline"/>
        <w:rPr>
          <w:rFonts w:ascii="Arial" w:hAnsi="Arial" w:cs="Arial"/>
          <w:sz w:val="18"/>
          <w:szCs w:val="18"/>
        </w:rPr>
      </w:pPr>
      <w:r w:rsidRPr="002C1777">
        <w:rPr>
          <w:rStyle w:val="normaltextrun"/>
          <w:rFonts w:ascii="Arial" w:hAnsi="Arial" w:cs="Arial"/>
          <w:sz w:val="22"/>
          <w:szCs w:val="22"/>
        </w:rPr>
        <w:t>NTCA’s claim process operates quarterly in arrears with pro</w:t>
      </w:r>
      <w:r w:rsidR="00927AE5">
        <w:rPr>
          <w:rStyle w:val="normaltextrun"/>
          <w:rFonts w:ascii="Arial" w:hAnsi="Arial" w:cs="Arial"/>
          <w:sz w:val="22"/>
          <w:szCs w:val="22"/>
        </w:rPr>
        <w:t>grammes</w:t>
      </w:r>
      <w:r w:rsidRPr="002C1777">
        <w:rPr>
          <w:rStyle w:val="normaltextrun"/>
          <w:rFonts w:ascii="Arial" w:hAnsi="Arial" w:cs="Arial"/>
          <w:sz w:val="22"/>
          <w:szCs w:val="22"/>
        </w:rPr>
        <w:t xml:space="preserve"> able to claim for actual expenditure on pro</w:t>
      </w:r>
      <w:r w:rsidR="00927AE5">
        <w:rPr>
          <w:rStyle w:val="normaltextrun"/>
          <w:rFonts w:ascii="Arial" w:hAnsi="Arial" w:cs="Arial"/>
          <w:sz w:val="22"/>
          <w:szCs w:val="22"/>
        </w:rPr>
        <w:t>gramme</w:t>
      </w:r>
      <w:r w:rsidRPr="002C1777">
        <w:rPr>
          <w:rStyle w:val="normaltextrun"/>
          <w:rFonts w:ascii="Arial" w:hAnsi="Arial" w:cs="Arial"/>
          <w:sz w:val="22"/>
          <w:szCs w:val="22"/>
        </w:rPr>
        <w:t xml:space="preserve"> activities on a quarterly basis after the money has been spent. Applicant organisations are required to cashflow the project prior to receiving the first claim payment; this needs to be factored into pro</w:t>
      </w:r>
      <w:r w:rsidR="00B23375">
        <w:rPr>
          <w:rStyle w:val="normaltextrun"/>
          <w:rFonts w:ascii="Arial" w:hAnsi="Arial" w:cs="Arial"/>
          <w:sz w:val="22"/>
          <w:szCs w:val="22"/>
        </w:rPr>
        <w:t>gramme</w:t>
      </w:r>
      <w:r w:rsidRPr="002C1777">
        <w:rPr>
          <w:rStyle w:val="normaltextrun"/>
          <w:rFonts w:ascii="Arial" w:hAnsi="Arial" w:cs="Arial"/>
          <w:sz w:val="22"/>
          <w:szCs w:val="22"/>
        </w:rPr>
        <w:t xml:space="preserve"> planning and financial profiles included within the business case. Once a complete claim is received against eligible expenditure as described in the business case, NTCA will pay the grant to pro</w:t>
      </w:r>
      <w:r w:rsidR="00B23375">
        <w:rPr>
          <w:rStyle w:val="normaltextrun"/>
          <w:rFonts w:ascii="Arial" w:hAnsi="Arial" w:cs="Arial"/>
          <w:sz w:val="22"/>
          <w:szCs w:val="22"/>
        </w:rPr>
        <w:t>gramme</w:t>
      </w:r>
      <w:r w:rsidRPr="002C1777">
        <w:rPr>
          <w:rStyle w:val="normaltextrun"/>
          <w:rFonts w:ascii="Arial" w:hAnsi="Arial" w:cs="Arial"/>
          <w:sz w:val="22"/>
          <w:szCs w:val="22"/>
        </w:rPr>
        <w:t xml:space="preserve"> based on the pro</w:t>
      </w:r>
      <w:r w:rsidR="00B23375">
        <w:rPr>
          <w:rStyle w:val="normaltextrun"/>
          <w:rFonts w:ascii="Arial" w:hAnsi="Arial" w:cs="Arial"/>
          <w:sz w:val="22"/>
          <w:szCs w:val="22"/>
        </w:rPr>
        <w:t>gramme</w:t>
      </w:r>
      <w:r w:rsidRPr="002C1777">
        <w:rPr>
          <w:rStyle w:val="normaltextrun"/>
          <w:rFonts w:ascii="Arial" w:hAnsi="Arial" w:cs="Arial"/>
          <w:sz w:val="22"/>
          <w:szCs w:val="22"/>
        </w:rPr>
        <w:t xml:space="preserve"> intervention rate. For example, a pro</w:t>
      </w:r>
      <w:r w:rsidR="00B23375">
        <w:rPr>
          <w:rStyle w:val="normaltextrun"/>
          <w:rFonts w:ascii="Arial" w:hAnsi="Arial" w:cs="Arial"/>
          <w:sz w:val="22"/>
          <w:szCs w:val="22"/>
        </w:rPr>
        <w:t>gramme</w:t>
      </w:r>
      <w:r w:rsidRPr="002C1777">
        <w:rPr>
          <w:rStyle w:val="normaltextrun"/>
          <w:rFonts w:ascii="Arial" w:hAnsi="Arial" w:cs="Arial"/>
          <w:sz w:val="22"/>
          <w:szCs w:val="22"/>
        </w:rPr>
        <w:t xml:space="preserve"> with a total value of £1m with £500,000 NTCA investment would have a 50% intervention rate. If a pro</w:t>
      </w:r>
      <w:r w:rsidR="00B23375">
        <w:rPr>
          <w:rStyle w:val="normaltextrun"/>
          <w:rFonts w:ascii="Arial" w:hAnsi="Arial" w:cs="Arial"/>
          <w:sz w:val="22"/>
          <w:szCs w:val="22"/>
        </w:rPr>
        <w:t>gramme</w:t>
      </w:r>
      <w:r w:rsidRPr="002C1777">
        <w:rPr>
          <w:rStyle w:val="normaltextrun"/>
          <w:rFonts w:ascii="Arial" w:hAnsi="Arial" w:cs="Arial"/>
          <w:sz w:val="22"/>
          <w:szCs w:val="22"/>
        </w:rPr>
        <w:t xml:space="preserve"> submitted a claim for £200,000 of eligible expenditure, then NTCA would pay 50% of those costs (£100,000). In exceptional circumstances NTCA may agree to adjust the profile of financial drawdown, this should be agreed as part of the </w:t>
      </w:r>
      <w:r w:rsidRPr="002C1777" w:rsidR="005C04D8">
        <w:rPr>
          <w:rStyle w:val="normaltextrun"/>
          <w:rFonts w:ascii="Arial" w:hAnsi="Arial" w:cs="Arial"/>
          <w:sz w:val="22"/>
          <w:szCs w:val="22"/>
        </w:rPr>
        <w:t>contract discussions.</w:t>
      </w:r>
      <w:r w:rsidRPr="002C1777" w:rsidR="00D443DC">
        <w:rPr>
          <w:rFonts w:ascii="Arial" w:hAnsi="Arial" w:cs="Arial"/>
          <w:sz w:val="18"/>
          <w:szCs w:val="18"/>
        </w:rPr>
        <w:t xml:space="preserve"> </w:t>
      </w:r>
    </w:p>
    <w:p w:rsidRPr="002C1777" w:rsidR="00726955" w:rsidP="00E42E2F" w:rsidRDefault="00726955" w14:paraId="25C80436" w14:textId="21B1ED01">
      <w:pPr>
        <w:pStyle w:val="paragraph"/>
        <w:spacing w:before="0" w:beforeAutospacing="0" w:after="120" w:afterAutospacing="0"/>
        <w:textAlignment w:val="baseline"/>
        <w:rPr>
          <w:rStyle w:val="normaltextrun"/>
          <w:rFonts w:ascii="Arial" w:hAnsi="Arial" w:cs="Arial"/>
          <w:sz w:val="22"/>
          <w:szCs w:val="22"/>
        </w:rPr>
      </w:pPr>
      <w:r w:rsidRPr="002C1777">
        <w:rPr>
          <w:rStyle w:val="normaltextrun"/>
          <w:rFonts w:ascii="Arial" w:hAnsi="Arial" w:cs="Arial"/>
          <w:sz w:val="22"/>
          <w:szCs w:val="22"/>
        </w:rPr>
        <w:t>Claims will be paid when:</w:t>
      </w:r>
    </w:p>
    <w:p w:rsidRPr="002C1777" w:rsidR="00726955" w:rsidRDefault="00D8544D" w14:paraId="05564098" w14:textId="60FA21D3">
      <w:pPr>
        <w:pStyle w:val="paragraph"/>
        <w:numPr>
          <w:ilvl w:val="0"/>
          <w:numId w:val="10"/>
        </w:numPr>
        <w:spacing w:before="0" w:beforeAutospacing="0" w:after="120" w:afterAutospacing="0"/>
        <w:textAlignment w:val="baseline"/>
        <w:rPr>
          <w:rFonts w:ascii="Arial" w:hAnsi="Arial" w:cs="Arial"/>
          <w:sz w:val="18"/>
          <w:szCs w:val="18"/>
        </w:rPr>
      </w:pPr>
      <w:r>
        <w:rPr>
          <w:rStyle w:val="normaltextrun"/>
          <w:rFonts w:ascii="Arial" w:hAnsi="Arial" w:cs="Arial"/>
          <w:sz w:val="22"/>
          <w:szCs w:val="22"/>
        </w:rPr>
        <w:t>a</w:t>
      </w:r>
      <w:r w:rsidRPr="002C1777" w:rsidR="00726955">
        <w:rPr>
          <w:rStyle w:val="normaltextrun"/>
          <w:rFonts w:ascii="Arial" w:hAnsi="Arial" w:cs="Arial"/>
          <w:sz w:val="22"/>
          <w:szCs w:val="22"/>
        </w:rPr>
        <w:t xml:space="preserve"> fully completed claim form has been approved by NTCA together with supporting information (including a detailed transaction list from which information will be sampled and evidence of defrayment required); </w:t>
      </w:r>
      <w:r w:rsidRPr="002C1777" w:rsidR="00726955">
        <w:rPr>
          <w:rStyle w:val="eop"/>
          <w:rFonts w:ascii="Arial" w:hAnsi="Arial" w:cs="Arial"/>
          <w:sz w:val="22"/>
          <w:szCs w:val="22"/>
        </w:rPr>
        <w:t> </w:t>
      </w:r>
    </w:p>
    <w:p w:rsidRPr="002C1777" w:rsidR="00726955" w:rsidRDefault="00D8544D" w14:paraId="58F8CACE" w14:textId="0464B718">
      <w:pPr>
        <w:pStyle w:val="paragraph"/>
        <w:numPr>
          <w:ilvl w:val="0"/>
          <w:numId w:val="10"/>
        </w:numPr>
        <w:spacing w:before="0" w:beforeAutospacing="0" w:after="120" w:afterAutospacing="0"/>
        <w:textAlignment w:val="baseline"/>
        <w:rPr>
          <w:rFonts w:ascii="Arial" w:hAnsi="Arial" w:cs="Arial"/>
          <w:sz w:val="18"/>
          <w:szCs w:val="18"/>
        </w:rPr>
      </w:pPr>
      <w:r>
        <w:rPr>
          <w:rStyle w:val="normaltextrun"/>
          <w:rFonts w:ascii="Arial" w:hAnsi="Arial" w:cs="Arial"/>
          <w:sz w:val="22"/>
          <w:szCs w:val="22"/>
        </w:rPr>
        <w:t>a</w:t>
      </w:r>
      <w:r w:rsidRPr="002C1777" w:rsidR="00726955">
        <w:rPr>
          <w:rStyle w:val="normaltextrun"/>
          <w:rFonts w:ascii="Arial" w:hAnsi="Arial" w:cs="Arial"/>
          <w:sz w:val="22"/>
          <w:szCs w:val="22"/>
        </w:rPr>
        <w:t>ny pro</w:t>
      </w:r>
      <w:r w:rsidR="00B23375">
        <w:rPr>
          <w:rStyle w:val="normaltextrun"/>
          <w:rFonts w:ascii="Arial" w:hAnsi="Arial" w:cs="Arial"/>
          <w:sz w:val="22"/>
          <w:szCs w:val="22"/>
        </w:rPr>
        <w:t>gramme</w:t>
      </w:r>
      <w:r w:rsidRPr="002C1777" w:rsidR="00726955">
        <w:rPr>
          <w:rStyle w:val="normaltextrun"/>
          <w:rFonts w:ascii="Arial" w:hAnsi="Arial" w:cs="Arial"/>
          <w:sz w:val="22"/>
          <w:szCs w:val="22"/>
        </w:rPr>
        <w:t xml:space="preserve"> specific funding conditions have been complied with; </w:t>
      </w:r>
      <w:r w:rsidRPr="002C1777" w:rsidR="00726955">
        <w:rPr>
          <w:rStyle w:val="eop"/>
          <w:rFonts w:ascii="Arial" w:hAnsi="Arial" w:cs="Arial"/>
          <w:sz w:val="22"/>
          <w:szCs w:val="22"/>
        </w:rPr>
        <w:t> </w:t>
      </w:r>
    </w:p>
    <w:p w:rsidRPr="002C1777" w:rsidR="00726955" w:rsidRDefault="00D8544D" w14:paraId="5B891488" w14:textId="3031F4F6">
      <w:pPr>
        <w:pStyle w:val="paragraph"/>
        <w:numPr>
          <w:ilvl w:val="0"/>
          <w:numId w:val="10"/>
        </w:numPr>
        <w:spacing w:before="0" w:beforeAutospacing="0" w:after="120" w:afterAutospacing="0"/>
        <w:textAlignment w:val="baseline"/>
        <w:rPr>
          <w:rFonts w:ascii="Arial" w:hAnsi="Arial" w:cs="Arial"/>
          <w:sz w:val="18"/>
          <w:szCs w:val="18"/>
        </w:rPr>
      </w:pPr>
      <w:r>
        <w:rPr>
          <w:rStyle w:val="normaltextrun"/>
          <w:rFonts w:ascii="Arial" w:hAnsi="Arial" w:cs="Arial"/>
          <w:sz w:val="22"/>
          <w:szCs w:val="22"/>
        </w:rPr>
        <w:t>f</w:t>
      </w:r>
      <w:r w:rsidRPr="002C1777" w:rsidR="00726955">
        <w:rPr>
          <w:rStyle w:val="normaltextrun"/>
          <w:rFonts w:ascii="Arial" w:hAnsi="Arial" w:cs="Arial"/>
          <w:sz w:val="22"/>
          <w:szCs w:val="22"/>
        </w:rPr>
        <w:t>inancial, output, milestone, risk and progress information has been uploaded correctly onto the NE OPS portal.   </w:t>
      </w:r>
      <w:r w:rsidRPr="002C1777" w:rsidR="00726955">
        <w:rPr>
          <w:rStyle w:val="eop"/>
          <w:rFonts w:ascii="Arial" w:hAnsi="Arial" w:cs="Arial"/>
          <w:sz w:val="22"/>
          <w:szCs w:val="22"/>
        </w:rPr>
        <w:t> </w:t>
      </w:r>
    </w:p>
    <w:p w:rsidRPr="002C1777" w:rsidR="00726955" w:rsidP="00726955" w:rsidRDefault="00726955" w14:paraId="34E57B20" w14:textId="77777777">
      <w:pPr>
        <w:pStyle w:val="NoSpacing"/>
        <w:spacing w:after="120"/>
        <w:rPr>
          <w:rFonts w:ascii="Arial" w:hAnsi="Arial" w:cs="Arial"/>
          <w:b/>
          <w:bCs/>
          <w:lang w:eastAsia="en-GB"/>
        </w:rPr>
      </w:pPr>
      <w:r w:rsidRPr="002C1777">
        <w:rPr>
          <w:rStyle w:val="normaltextrun"/>
          <w:rFonts w:ascii="Arial" w:hAnsi="Arial" w:cs="Arial"/>
        </w:rPr>
        <w:t>Claims will be due one month following the quarter end. For example, a Q1 April-June 2023 claim will be due by 31st July 2023.  </w:t>
      </w:r>
      <w:r w:rsidRPr="002C1777">
        <w:rPr>
          <w:rStyle w:val="eop"/>
          <w:rFonts w:ascii="Arial" w:hAnsi="Arial" w:cs="Arial"/>
        </w:rPr>
        <w:t> </w:t>
      </w:r>
    </w:p>
    <w:p w:rsidRPr="002C1777" w:rsidR="00726955" w:rsidRDefault="00726955" w14:paraId="62B14CAB" w14:textId="77777777">
      <w:pPr>
        <w:pStyle w:val="ListParagraph"/>
        <w:numPr>
          <w:ilvl w:val="0"/>
          <w:numId w:val="8"/>
        </w:numPr>
        <w:autoSpaceDE w:val="0"/>
        <w:autoSpaceDN w:val="0"/>
        <w:adjustRightInd w:val="0"/>
        <w:spacing w:after="120" w:line="240" w:lineRule="auto"/>
        <w:ind w:left="357" w:hanging="357"/>
        <w:contextualSpacing w:val="0"/>
        <w:outlineLvl w:val="0"/>
        <w:rPr>
          <w:rFonts w:ascii="Arial" w:hAnsi="Arial" w:cs="Arial"/>
          <w:b/>
          <w:bCs/>
          <w:sz w:val="24"/>
          <w:szCs w:val="24"/>
        </w:rPr>
      </w:pPr>
      <w:bookmarkStart w:name="_Toc128644086" w:id="17"/>
      <w:r w:rsidRPr="002C1777">
        <w:rPr>
          <w:rFonts w:ascii="Arial" w:hAnsi="Arial" w:cs="Arial"/>
          <w:b/>
          <w:bCs/>
          <w:sz w:val="24"/>
          <w:szCs w:val="24"/>
        </w:rPr>
        <w:t>Evaluation, Research and Data Collection </w:t>
      </w:r>
      <w:bookmarkEnd w:id="17"/>
      <w:r w:rsidRPr="002C1777">
        <w:rPr>
          <w:rFonts w:ascii="Arial" w:hAnsi="Arial" w:cs="Arial"/>
          <w:b/>
          <w:bCs/>
          <w:sz w:val="24"/>
          <w:szCs w:val="24"/>
        </w:rPr>
        <w:t> </w:t>
      </w:r>
    </w:p>
    <w:p w:rsidRPr="002C1777" w:rsidR="00726955" w:rsidP="00E42E2F" w:rsidRDefault="00726955" w14:paraId="46D7385A" w14:textId="77777777">
      <w:pPr>
        <w:pStyle w:val="paragraph"/>
        <w:spacing w:before="0" w:beforeAutospacing="0" w:after="120" w:afterAutospacing="0"/>
        <w:textAlignment w:val="baseline"/>
        <w:rPr>
          <w:rStyle w:val="eop"/>
          <w:rFonts w:ascii="Arial" w:hAnsi="Arial" w:cs="Arial"/>
          <w:sz w:val="22"/>
          <w:szCs w:val="22"/>
        </w:rPr>
      </w:pPr>
      <w:r w:rsidRPr="002C1777">
        <w:rPr>
          <w:rStyle w:val="normaltextrun"/>
          <w:rFonts w:ascii="Arial" w:hAnsi="Arial" w:cs="Arial"/>
          <w:sz w:val="22"/>
          <w:szCs w:val="22"/>
        </w:rPr>
        <w:t>The evaluation of the UKSPF programme is vital as it will help to inform the future direction and longevity of the policy. All participating organisations must commit to participate in research and evaluation by collecting and providing data, taking part in qualitative interviews, completing surveys and allowing their data to be processed and analysed for this purpose.  </w:t>
      </w:r>
      <w:r w:rsidRPr="002C1777">
        <w:rPr>
          <w:rStyle w:val="eop"/>
          <w:rFonts w:ascii="Arial" w:hAnsi="Arial" w:cs="Arial"/>
          <w:sz w:val="22"/>
          <w:szCs w:val="22"/>
        </w:rPr>
        <w:t> </w:t>
      </w:r>
    </w:p>
    <w:p w:rsidRPr="002C1777" w:rsidR="00E42E2F" w:rsidRDefault="0088299A" w14:paraId="37DC8D08" w14:textId="5848CD34">
      <w:pPr>
        <w:rPr>
          <w:rFonts w:ascii="Arial" w:hAnsi="Arial" w:cs="Arial"/>
        </w:rPr>
      </w:pPr>
      <w:r w:rsidRPr="002C1777">
        <w:rPr>
          <w:rFonts w:ascii="Arial" w:hAnsi="Arial" w:cs="Arial"/>
        </w:rPr>
        <w:t xml:space="preserve">The Department for Levelling Up, Housing and Communities has recently published </w:t>
      </w:r>
      <w:hyperlink w:history="1" r:id="rId15">
        <w:r w:rsidRPr="002C1777" w:rsidR="00F3250C">
          <w:rPr>
            <w:rStyle w:val="Hyperlink"/>
            <w:rFonts w:ascii="Arial" w:hAnsi="Arial" w:cs="Arial"/>
          </w:rPr>
          <w:t>this</w:t>
        </w:r>
      </w:hyperlink>
      <w:r w:rsidRPr="002C1777" w:rsidR="00F3250C">
        <w:rPr>
          <w:rFonts w:ascii="Arial" w:hAnsi="Arial" w:cs="Arial"/>
        </w:rPr>
        <w:t xml:space="preserve"> </w:t>
      </w:r>
      <w:r w:rsidRPr="002C1777">
        <w:rPr>
          <w:rFonts w:ascii="Arial" w:hAnsi="Arial" w:cs="Arial"/>
        </w:rPr>
        <w:t xml:space="preserve">guidance </w:t>
      </w:r>
      <w:r w:rsidRPr="002C1777" w:rsidR="00F3250C">
        <w:rPr>
          <w:rFonts w:ascii="Arial" w:hAnsi="Arial" w:cs="Arial"/>
        </w:rPr>
        <w:t>setting out</w:t>
      </w:r>
      <w:r w:rsidRPr="002C1777">
        <w:rPr>
          <w:rFonts w:ascii="Arial" w:hAnsi="Arial" w:cs="Arial"/>
        </w:rPr>
        <w:t xml:space="preserve"> their UKSPF evaluation strategy.</w:t>
      </w:r>
      <w:r w:rsidRPr="002C1777" w:rsidR="00E42E2F">
        <w:rPr>
          <w:rFonts w:ascii="Arial" w:hAnsi="Arial" w:cs="Arial"/>
        </w:rPr>
        <w:br w:type="page"/>
      </w:r>
    </w:p>
    <w:p w:rsidRPr="002C1777" w:rsidR="00E75DF7" w:rsidP="00E42E2F" w:rsidRDefault="00E75DF7" w14:paraId="135179FA" w14:textId="4991E581">
      <w:pPr>
        <w:pStyle w:val="Heading1"/>
        <w:spacing w:before="0" w:after="120" w:line="240" w:lineRule="auto"/>
        <w:rPr>
          <w:rFonts w:ascii="Arial" w:hAnsi="Arial" w:cs="Arial"/>
          <w:b/>
          <w:bCs/>
          <w:color w:val="000000" w:themeColor="text1"/>
          <w:sz w:val="24"/>
          <w:szCs w:val="24"/>
        </w:rPr>
      </w:pPr>
      <w:bookmarkStart w:name="_Toc128644087" w:id="18"/>
      <w:r w:rsidRPr="002C1777">
        <w:rPr>
          <w:rFonts w:ascii="Arial" w:hAnsi="Arial" w:cs="Arial"/>
          <w:b/>
          <w:bCs/>
          <w:color w:val="000000" w:themeColor="text1"/>
          <w:sz w:val="24"/>
          <w:szCs w:val="24"/>
        </w:rPr>
        <w:lastRenderedPageBreak/>
        <w:t>Annex A</w:t>
      </w:r>
      <w:r w:rsidRPr="002C1777" w:rsidR="007309C4">
        <w:rPr>
          <w:rFonts w:ascii="Arial" w:hAnsi="Arial" w:cs="Arial"/>
          <w:b/>
          <w:bCs/>
          <w:color w:val="000000" w:themeColor="text1"/>
          <w:sz w:val="24"/>
          <w:szCs w:val="24"/>
        </w:rPr>
        <w:t xml:space="preserve">: </w:t>
      </w:r>
      <w:r w:rsidRPr="002C1777">
        <w:rPr>
          <w:rFonts w:ascii="Arial" w:hAnsi="Arial" w:cs="Arial"/>
          <w:b/>
          <w:bCs/>
          <w:color w:val="000000" w:themeColor="text1"/>
          <w:sz w:val="24"/>
          <w:szCs w:val="24"/>
        </w:rPr>
        <w:t>Output and outcome definitions</w:t>
      </w:r>
      <w:bookmarkEnd w:id="18"/>
    </w:p>
    <w:p w:rsidRPr="002C1777" w:rsidR="000A2B4B" w:rsidP="001A0A85" w:rsidRDefault="00000000" w14:paraId="41E85EA1" w14:textId="4911DE04">
      <w:pPr>
        <w:rPr>
          <w:rFonts w:ascii="Arial" w:hAnsi="Arial" w:cs="Arial"/>
        </w:rPr>
      </w:pPr>
      <w:hyperlink w:history="1" r:id="rId16">
        <w:r w:rsidRPr="002C1777" w:rsidR="000A2B4B">
          <w:rPr>
            <w:rStyle w:val="Hyperlink"/>
            <w:rFonts w:ascii="Arial" w:hAnsi="Arial" w:cs="Arial"/>
          </w:rPr>
          <w:t>https://www.gov.uk/guidance/uk-shared-prosperity-fund-outputs-and-outcomes-definitions-2</w:t>
        </w:r>
      </w:hyperlink>
    </w:p>
    <w:tbl>
      <w:tblPr>
        <w:tblStyle w:val="TableGrid"/>
        <w:tblW w:w="9634" w:type="dxa"/>
        <w:tblCellMar>
          <w:top w:w="28" w:type="dxa"/>
          <w:bottom w:w="28" w:type="dxa"/>
        </w:tblCellMar>
        <w:tblLook w:val="04A0" w:firstRow="1" w:lastRow="0" w:firstColumn="1" w:lastColumn="0" w:noHBand="0" w:noVBand="1"/>
      </w:tblPr>
      <w:tblGrid>
        <w:gridCol w:w="3005"/>
        <w:gridCol w:w="6629"/>
      </w:tblGrid>
      <w:tr w:rsidRPr="002C1777" w:rsidR="006F533E" w:rsidTr="00E42E2F" w14:paraId="0988913D" w14:textId="77777777">
        <w:tc>
          <w:tcPr>
            <w:tcW w:w="3005" w:type="dxa"/>
          </w:tcPr>
          <w:p w:rsidRPr="002C1777" w:rsidR="006F533E" w:rsidP="001A0A85" w:rsidRDefault="006F533E" w14:paraId="7B5ED3E1" w14:textId="3BF00334">
            <w:pPr>
              <w:rPr>
                <w:rFonts w:ascii="Arial" w:hAnsi="Arial" w:cs="Arial"/>
                <w:b/>
                <w:bCs/>
              </w:rPr>
            </w:pPr>
            <w:r w:rsidRPr="002C1777">
              <w:rPr>
                <w:rFonts w:ascii="Arial" w:hAnsi="Arial" w:cs="Arial"/>
                <w:b/>
                <w:bCs/>
              </w:rPr>
              <w:t>Output/Outcome</w:t>
            </w:r>
          </w:p>
        </w:tc>
        <w:tc>
          <w:tcPr>
            <w:tcW w:w="6629" w:type="dxa"/>
          </w:tcPr>
          <w:p w:rsidRPr="002C1777" w:rsidR="006F533E" w:rsidP="001A0A85" w:rsidRDefault="006F533E" w14:paraId="7FF36707" w14:textId="27A396E9">
            <w:pPr>
              <w:rPr>
                <w:rFonts w:ascii="Arial" w:hAnsi="Arial" w:cs="Arial"/>
                <w:b/>
                <w:bCs/>
              </w:rPr>
            </w:pPr>
            <w:r w:rsidRPr="002C1777">
              <w:rPr>
                <w:rFonts w:ascii="Arial" w:hAnsi="Arial" w:cs="Arial"/>
                <w:b/>
                <w:bCs/>
              </w:rPr>
              <w:t>Definition</w:t>
            </w:r>
          </w:p>
        </w:tc>
      </w:tr>
      <w:tr w:rsidRPr="002C1777" w:rsidR="00A75EB4" w:rsidTr="00E42E2F" w14:paraId="2BDD2884" w14:textId="77777777">
        <w:tc>
          <w:tcPr>
            <w:tcW w:w="3005" w:type="dxa"/>
          </w:tcPr>
          <w:p w:rsidRPr="002C1777" w:rsidR="00A75EB4" w:rsidP="00A75EB4" w:rsidRDefault="00A75EB4" w14:paraId="2850CC68" w14:textId="4E22C1B8">
            <w:pPr>
              <w:rPr>
                <w:rFonts w:ascii="Arial" w:hAnsi="Arial" w:cs="Arial"/>
              </w:rPr>
            </w:pPr>
            <w:r w:rsidRPr="002C1777">
              <w:rPr>
                <w:rFonts w:ascii="Arial" w:hAnsi="Arial" w:cs="Arial"/>
              </w:rPr>
              <w:t>No of volunteering opportunities supported </w:t>
            </w:r>
          </w:p>
        </w:tc>
        <w:tc>
          <w:tcPr>
            <w:tcW w:w="6629" w:type="dxa"/>
          </w:tcPr>
          <w:p w:rsidRPr="002C1777" w:rsidR="00A75EB4" w:rsidP="00A75EB4" w:rsidRDefault="0017720B" w14:paraId="3EBE76B7" w14:textId="34FD22B4">
            <w:pPr>
              <w:rPr>
                <w:rFonts w:ascii="Arial" w:hAnsi="Arial" w:cs="Arial"/>
              </w:rPr>
            </w:pPr>
            <w:r w:rsidRPr="002C1777">
              <w:rPr>
                <w:rFonts w:ascii="Arial" w:hAnsi="Arial" w:cs="Arial"/>
                <w:color w:val="000000"/>
                <w:lang w:eastAsia="en-GB"/>
              </w:rPr>
              <w:t>Number of organised volunteering roles supported as a direct result of the intervention. This includes opportunities for people to volunteer on a regular basis, and opportunities for one-off volunteering.</w:t>
            </w:r>
            <w:r w:rsidRPr="002C1777">
              <w:rPr>
                <w:rFonts w:ascii="Arial" w:hAnsi="Arial" w:cs="Arial"/>
                <w:color w:val="000000"/>
                <w:lang w:eastAsia="en-GB"/>
              </w:rPr>
              <w:br/>
            </w:r>
            <w:r w:rsidRPr="002C1777">
              <w:rPr>
                <w:rFonts w:ascii="Arial" w:hAnsi="Arial" w:cs="Arial"/>
                <w:color w:val="000000"/>
                <w:lang w:eastAsia="en-GB"/>
              </w:rPr>
              <w:t>- Formal volunteering refers to those who have given unpaid help via a group, club, or organisation: for example, leading a group, administrative support or befriending or mentoring people.</w:t>
            </w:r>
          </w:p>
        </w:tc>
      </w:tr>
      <w:tr w:rsidRPr="002C1777" w:rsidR="00A75EB4" w:rsidTr="00E42E2F" w14:paraId="4A00B5FE" w14:textId="77777777">
        <w:tc>
          <w:tcPr>
            <w:tcW w:w="3005" w:type="dxa"/>
          </w:tcPr>
          <w:p w:rsidRPr="002C1777" w:rsidR="00A75EB4" w:rsidP="00A75EB4" w:rsidRDefault="00A75EB4" w14:paraId="72CB4CEE" w14:textId="2315F77E">
            <w:pPr>
              <w:rPr>
                <w:rFonts w:ascii="Arial" w:hAnsi="Arial" w:cs="Arial"/>
              </w:rPr>
            </w:pPr>
            <w:r w:rsidRPr="002C1777">
              <w:rPr>
                <w:rFonts w:ascii="Arial" w:hAnsi="Arial" w:cs="Arial"/>
              </w:rPr>
              <w:t xml:space="preserve">Number of </w:t>
            </w:r>
            <w:r w:rsidR="00960A2A">
              <w:rPr>
                <w:rFonts w:ascii="Arial" w:hAnsi="Arial" w:cs="Arial"/>
              </w:rPr>
              <w:t xml:space="preserve">new </w:t>
            </w:r>
            <w:r w:rsidRPr="002C1777">
              <w:rPr>
                <w:rFonts w:ascii="Arial" w:hAnsi="Arial" w:cs="Arial"/>
              </w:rPr>
              <w:t>volunteering opportunities created as a result of support</w:t>
            </w:r>
          </w:p>
        </w:tc>
        <w:tc>
          <w:tcPr>
            <w:tcW w:w="6629" w:type="dxa"/>
          </w:tcPr>
          <w:p w:rsidRPr="002C1777" w:rsidR="00A75EB4" w:rsidP="00A75EB4" w:rsidRDefault="00A75EB4" w14:paraId="053F1157" w14:textId="77CC5279">
            <w:pPr>
              <w:rPr>
                <w:rFonts w:ascii="Arial" w:hAnsi="Arial" w:cs="Arial"/>
              </w:rPr>
            </w:pPr>
            <w:r w:rsidRPr="002C1777">
              <w:rPr>
                <w:rFonts w:ascii="Arial" w:hAnsi="Arial" w:cs="Arial"/>
              </w:rPr>
              <w:t xml:space="preserve">The number of </w:t>
            </w:r>
            <w:r w:rsidR="00423B1A">
              <w:rPr>
                <w:rFonts w:ascii="Arial" w:hAnsi="Arial" w:cs="Arial"/>
              </w:rPr>
              <w:t xml:space="preserve">new </w:t>
            </w:r>
            <w:r w:rsidRPr="002C1777">
              <w:rPr>
                <w:rFonts w:ascii="Arial" w:hAnsi="Arial" w:cs="Arial"/>
              </w:rPr>
              <w:t>organised volunteering roles created as a direct result of the intervention. This includes opportunities for people to volunteer on a regular basis, and opportunities for one-off volunteering.</w:t>
            </w:r>
          </w:p>
          <w:p w:rsidRPr="002C1777" w:rsidR="00A75EB4" w:rsidP="00A75EB4" w:rsidRDefault="00A75EB4" w14:paraId="179D7285" w14:textId="77777777">
            <w:pPr>
              <w:rPr>
                <w:rFonts w:ascii="Arial" w:hAnsi="Arial" w:cs="Arial"/>
              </w:rPr>
            </w:pPr>
            <w:r w:rsidRPr="002C1777">
              <w:rPr>
                <w:rFonts w:ascii="Arial" w:hAnsi="Arial" w:cs="Arial"/>
              </w:rPr>
              <w:t>- Formal volunteering refers to those who have given unpaid help via a group, club, or organisation: for example, leading a group, administrative support or befriending or mentoring people.</w:t>
            </w:r>
          </w:p>
          <w:p w:rsidRPr="002C1777" w:rsidR="00A75EB4" w:rsidP="00A75EB4" w:rsidRDefault="00A75EB4" w14:paraId="7C53313C" w14:textId="03DB8582">
            <w:pPr>
              <w:rPr>
                <w:rFonts w:ascii="Arial" w:hAnsi="Arial" w:cs="Arial"/>
              </w:rPr>
            </w:pPr>
          </w:p>
        </w:tc>
      </w:tr>
      <w:tr w:rsidRPr="002C1777" w:rsidR="00A75EB4" w:rsidTr="00E42E2F" w14:paraId="325BBC0E" w14:textId="77777777">
        <w:tc>
          <w:tcPr>
            <w:tcW w:w="3005" w:type="dxa"/>
          </w:tcPr>
          <w:p w:rsidRPr="002C1777" w:rsidR="00A75EB4" w:rsidP="00A75EB4" w:rsidRDefault="00A75EB4" w14:paraId="1531C997" w14:textId="00106DBC">
            <w:pPr>
              <w:rPr>
                <w:rFonts w:ascii="Arial" w:hAnsi="Arial" w:cs="Arial"/>
              </w:rPr>
            </w:pPr>
            <w:r w:rsidRPr="002C1777">
              <w:rPr>
                <w:rFonts w:ascii="Arial" w:hAnsi="Arial" w:cs="Arial"/>
              </w:rPr>
              <w:t>Number of organisations receiving non-financial support</w:t>
            </w:r>
          </w:p>
        </w:tc>
        <w:tc>
          <w:tcPr>
            <w:tcW w:w="6629" w:type="dxa"/>
          </w:tcPr>
          <w:p w:rsidRPr="002C1777" w:rsidR="00A75EB4" w:rsidP="00A75EB4" w:rsidRDefault="00A75EB4" w14:paraId="432625A2" w14:textId="77777777">
            <w:pPr>
              <w:rPr>
                <w:rFonts w:ascii="Arial" w:hAnsi="Arial" w:cs="Arial"/>
              </w:rPr>
            </w:pPr>
            <w:r w:rsidRPr="002C1777">
              <w:rPr>
                <w:rFonts w:ascii="Arial" w:hAnsi="Arial" w:cs="Arial"/>
              </w:rPr>
              <w:t xml:space="preserve">Number of organisations receiving non-financial support with the intention of improving performance. </w:t>
            </w:r>
          </w:p>
          <w:p w:rsidRPr="002C1777" w:rsidR="00A75EB4" w:rsidP="00A75EB4" w:rsidRDefault="00A75EB4" w14:paraId="297E8C13" w14:textId="77777777">
            <w:pPr>
              <w:rPr>
                <w:rFonts w:ascii="Arial" w:hAnsi="Arial" w:cs="Arial"/>
              </w:rPr>
            </w:pPr>
          </w:p>
          <w:p w:rsidRPr="002C1777" w:rsidR="00A75EB4" w:rsidP="00A75EB4" w:rsidRDefault="00A75EB4" w14:paraId="76D06EAB" w14:textId="77777777">
            <w:pPr>
              <w:rPr>
                <w:rFonts w:ascii="Arial" w:hAnsi="Arial" w:cs="Arial"/>
              </w:rPr>
            </w:pPr>
            <w:r w:rsidRPr="002C1777">
              <w:rPr>
                <w:rFonts w:ascii="Arial" w:hAnsi="Arial" w:cs="Arial"/>
              </w:rPr>
              <w:t>Organisations here will either be:</w:t>
            </w:r>
          </w:p>
          <w:p w:rsidRPr="002C1777" w:rsidR="00A75EB4" w:rsidP="00A75EB4" w:rsidRDefault="00A75EB4" w14:paraId="3532980C" w14:textId="77777777">
            <w:pPr>
              <w:rPr>
                <w:rFonts w:ascii="Arial" w:hAnsi="Arial" w:cs="Arial"/>
              </w:rPr>
            </w:pPr>
            <w:r w:rsidRPr="002C1777">
              <w:rPr>
                <w:rFonts w:ascii="Arial" w:hAnsi="Arial" w:cs="Arial"/>
              </w:rPr>
              <w:t>- The end beneficiary is the recipient of the award itself, for example, a local authority, higher education institute or an organisation representing specific sector who may be undertaking a feasibility study.</w:t>
            </w:r>
          </w:p>
          <w:p w:rsidRPr="002C1777" w:rsidR="00A75EB4" w:rsidP="00A75EB4" w:rsidRDefault="00A75EB4" w14:paraId="70FFDCFF" w14:textId="77777777">
            <w:pPr>
              <w:rPr>
                <w:rFonts w:ascii="Arial" w:hAnsi="Arial" w:cs="Arial"/>
              </w:rPr>
            </w:pPr>
            <w:r w:rsidRPr="002C1777">
              <w:rPr>
                <w:rFonts w:ascii="Arial" w:hAnsi="Arial" w:cs="Arial"/>
              </w:rPr>
              <w:t>- An organisation that is an end beneficiary and does not fit into the above description nor can be classified under the business output indicators, for example, a charitable organisation.</w:t>
            </w:r>
          </w:p>
          <w:p w:rsidRPr="002C1777" w:rsidR="00A75EB4" w:rsidP="00A75EB4" w:rsidRDefault="00A75EB4" w14:paraId="22CE1E45" w14:textId="77777777">
            <w:pPr>
              <w:rPr>
                <w:rFonts w:ascii="Arial" w:hAnsi="Arial" w:cs="Arial"/>
              </w:rPr>
            </w:pPr>
            <w:r w:rsidRPr="002C1777">
              <w:rPr>
                <w:rFonts w:ascii="Arial" w:hAnsi="Arial" w:cs="Arial"/>
              </w:rPr>
              <w:t xml:space="preserve">- Non-financial support means business advice, guidance, mentoring and training. This must involve some form of direct interaction with members of the enterprises - in other words it cannot be broadcasted advice. Support may be on-going.  </w:t>
            </w:r>
          </w:p>
          <w:p w:rsidRPr="002C1777" w:rsidR="00A75EB4" w:rsidP="00A75EB4" w:rsidRDefault="00A75EB4" w14:paraId="320F62A0" w14:textId="586C0BD1">
            <w:pPr>
              <w:rPr>
                <w:rFonts w:ascii="Arial" w:hAnsi="Arial" w:cs="Arial"/>
              </w:rPr>
            </w:pPr>
            <w:r w:rsidRPr="002C1777">
              <w:rPr>
                <w:rFonts w:ascii="Arial" w:hAnsi="Arial" w:cs="Arial"/>
              </w:rPr>
              <w:t xml:space="preserve">- Improved performance means reductions in costs or increases turnover/profit.          </w:t>
            </w:r>
          </w:p>
        </w:tc>
      </w:tr>
      <w:tr w:rsidRPr="002C1777" w:rsidR="00C17565" w:rsidTr="00E42E2F" w14:paraId="184CA4A8" w14:textId="77777777">
        <w:tc>
          <w:tcPr>
            <w:tcW w:w="3005" w:type="dxa"/>
          </w:tcPr>
          <w:p w:rsidRPr="002C1777" w:rsidR="00C17565" w:rsidP="00C17565" w:rsidRDefault="00C17565" w14:paraId="6BB2DE16" w14:textId="68D6390E">
            <w:pPr>
              <w:rPr>
                <w:rFonts w:ascii="Arial" w:hAnsi="Arial" w:cs="Arial"/>
              </w:rPr>
            </w:pPr>
            <w:r w:rsidRPr="002C1777">
              <w:rPr>
                <w:rFonts w:ascii="Arial" w:hAnsi="Arial" w:cs="Arial"/>
              </w:rPr>
              <w:t>Number of local events or activities supported</w:t>
            </w:r>
          </w:p>
        </w:tc>
        <w:tc>
          <w:tcPr>
            <w:tcW w:w="6629" w:type="dxa"/>
          </w:tcPr>
          <w:p w:rsidRPr="002C1777" w:rsidR="00C17565" w:rsidP="00C17565" w:rsidRDefault="00C17565" w14:paraId="7D57CA2A" w14:textId="77777777">
            <w:pPr>
              <w:rPr>
                <w:rFonts w:ascii="Arial" w:hAnsi="Arial" w:cs="Arial"/>
              </w:rPr>
            </w:pPr>
            <w:r w:rsidRPr="002C1777">
              <w:rPr>
                <w:rFonts w:ascii="Arial" w:hAnsi="Arial" w:cs="Arial"/>
              </w:rPr>
              <w:t>Number of local events or activities supported. An event refers to planned activities. These should fall into the below categories:</w:t>
            </w:r>
          </w:p>
          <w:p w:rsidRPr="002C1777" w:rsidR="00C17565" w:rsidP="00C17565" w:rsidRDefault="00C17565" w14:paraId="2BF3A5AB" w14:textId="77777777">
            <w:pPr>
              <w:rPr>
                <w:rFonts w:ascii="Arial" w:hAnsi="Arial" w:cs="Arial"/>
              </w:rPr>
            </w:pPr>
            <w:r w:rsidRPr="002C1777">
              <w:rPr>
                <w:rFonts w:ascii="Arial" w:hAnsi="Arial" w:cs="Arial"/>
              </w:rPr>
              <w:t xml:space="preserve">- Those related to: (1) Film, TV, Music, Radio (2) Heritage (3) Arts, Museums and Libraries. </w:t>
            </w:r>
          </w:p>
          <w:p w:rsidRPr="002C1777" w:rsidR="00C17565" w:rsidP="00C17565" w:rsidRDefault="00C17565" w14:paraId="47FEE2B9" w14:textId="3D276710">
            <w:pPr>
              <w:rPr>
                <w:rFonts w:ascii="Arial" w:hAnsi="Arial" w:cs="Arial"/>
              </w:rPr>
            </w:pPr>
            <w:r w:rsidRPr="002C1777">
              <w:rPr>
                <w:rFonts w:ascii="Arial" w:hAnsi="Arial" w:cs="Arial"/>
              </w:rPr>
              <w:t>- Other activities and events include, for example but not limited to, sports, volunteering, tourism and social action.</w:t>
            </w:r>
          </w:p>
        </w:tc>
      </w:tr>
      <w:tr w:rsidRPr="002C1777" w:rsidR="00FE6A41" w:rsidTr="00E42E2F" w14:paraId="7FAE64DD" w14:textId="77777777">
        <w:tc>
          <w:tcPr>
            <w:tcW w:w="3005" w:type="dxa"/>
          </w:tcPr>
          <w:p w:rsidRPr="002C1777" w:rsidR="00FE6A41" w:rsidP="00FE6A41" w:rsidRDefault="00FE6A41" w14:paraId="60197FE4" w14:textId="654D53FC">
            <w:pPr>
              <w:rPr>
                <w:rFonts w:ascii="Arial" w:hAnsi="Arial" w:cs="Arial"/>
              </w:rPr>
            </w:pPr>
            <w:r w:rsidRPr="002C1777">
              <w:rPr>
                <w:rFonts w:ascii="Arial" w:hAnsi="Arial" w:cs="Arial"/>
              </w:rPr>
              <w:t>Number of projects successfully completed</w:t>
            </w:r>
          </w:p>
        </w:tc>
        <w:tc>
          <w:tcPr>
            <w:tcW w:w="6629" w:type="dxa"/>
          </w:tcPr>
          <w:p w:rsidRPr="002C1777" w:rsidR="00FE6A41" w:rsidP="00FE6A41" w:rsidRDefault="00FE6A41" w14:paraId="629BD073" w14:textId="77777777">
            <w:pPr>
              <w:rPr>
                <w:rFonts w:ascii="Arial" w:hAnsi="Arial" w:cs="Arial"/>
              </w:rPr>
            </w:pPr>
            <w:r w:rsidRPr="002C1777">
              <w:rPr>
                <w:rFonts w:ascii="Arial" w:hAnsi="Arial" w:cs="Arial"/>
              </w:rPr>
              <w:t>The number of individual projects completed in the last 6 month period.</w:t>
            </w:r>
          </w:p>
          <w:p w:rsidRPr="002C1777" w:rsidR="00FE6A41" w:rsidP="00FE6A41" w:rsidRDefault="00FE6A41" w14:paraId="4D4C3587" w14:textId="0E98A6D2">
            <w:pPr>
              <w:rPr>
                <w:rFonts w:ascii="Arial" w:hAnsi="Arial" w:cs="Arial"/>
              </w:rPr>
            </w:pPr>
            <w:r w:rsidRPr="002C1777">
              <w:rPr>
                <w:rFonts w:ascii="Arial" w:hAnsi="Arial" w:cs="Arial"/>
              </w:rPr>
              <w:t>- Completed means that all project activities have been completed and all further contractual obligations have been met.</w:t>
            </w:r>
          </w:p>
        </w:tc>
      </w:tr>
      <w:tr w:rsidRPr="002C1777" w:rsidR="00FE6A41" w:rsidTr="00E42E2F" w14:paraId="28D7B3AB" w14:textId="77777777">
        <w:tc>
          <w:tcPr>
            <w:tcW w:w="3005" w:type="dxa"/>
          </w:tcPr>
          <w:p w:rsidRPr="002C1777" w:rsidR="00FE6A41" w:rsidP="00FE6A41" w:rsidRDefault="00FE6A41" w14:paraId="765EE61F" w14:textId="11446E01">
            <w:pPr>
              <w:rPr>
                <w:rFonts w:ascii="Arial" w:hAnsi="Arial" w:cs="Arial"/>
              </w:rPr>
            </w:pPr>
            <w:r w:rsidRPr="002C1777">
              <w:rPr>
                <w:rFonts w:ascii="Arial" w:hAnsi="Arial" w:cs="Arial"/>
              </w:rPr>
              <w:t>Number of people attending training sessions</w:t>
            </w:r>
          </w:p>
        </w:tc>
        <w:tc>
          <w:tcPr>
            <w:tcW w:w="6629" w:type="dxa"/>
          </w:tcPr>
          <w:p w:rsidRPr="002C1777" w:rsidR="00FE6A41" w:rsidP="00FE6A41" w:rsidRDefault="00FE6A41" w14:paraId="093CDA2F" w14:textId="77777777">
            <w:pPr>
              <w:rPr>
                <w:rFonts w:ascii="Arial" w:hAnsi="Arial" w:cs="Arial"/>
              </w:rPr>
            </w:pPr>
            <w:r w:rsidRPr="002C1777">
              <w:rPr>
                <w:rFonts w:ascii="Arial" w:hAnsi="Arial" w:cs="Arial"/>
              </w:rPr>
              <w:t xml:space="preserve">Number of people attending training sessions. </w:t>
            </w:r>
          </w:p>
          <w:p w:rsidRPr="002C1777" w:rsidR="00FE6A41" w:rsidP="00FE6A41" w:rsidRDefault="00FE6A41" w14:paraId="31AF302B" w14:textId="7E8AEAED">
            <w:pPr>
              <w:rPr>
                <w:rFonts w:ascii="Arial" w:hAnsi="Arial" w:cs="Arial"/>
              </w:rPr>
            </w:pPr>
            <w:r w:rsidRPr="002C1777">
              <w:rPr>
                <w:rFonts w:ascii="Arial" w:hAnsi="Arial" w:cs="Arial"/>
              </w:rPr>
              <w:t>-Training sessions include, but are not limited to: training focusing on digital, management, leadership, collaboration, networking and lower-carbon alternatives skills.</w:t>
            </w:r>
          </w:p>
        </w:tc>
      </w:tr>
    </w:tbl>
    <w:p w:rsidRPr="002C1777" w:rsidR="00E75DF7" w:rsidP="001A0A85" w:rsidRDefault="00E75DF7" w14:paraId="078BF072" w14:textId="472F2455">
      <w:pPr>
        <w:rPr>
          <w:rFonts w:ascii="Arial" w:hAnsi="Arial" w:cs="Arial"/>
        </w:rPr>
      </w:pPr>
    </w:p>
    <w:p w:rsidRPr="002C1777" w:rsidR="001A4626" w:rsidP="007A53FC" w:rsidRDefault="001A4626" w14:paraId="03B1B6F2" w14:textId="77777777">
      <w:pPr>
        <w:rPr>
          <w:rFonts w:ascii="Arial" w:hAnsi="Arial" w:cs="Arial"/>
          <w:color w:val="008080"/>
          <w:sz w:val="24"/>
          <w:szCs w:val="24"/>
        </w:rPr>
      </w:pPr>
    </w:p>
    <w:p w:rsidRPr="002C1777" w:rsidR="007A53FC" w:rsidP="00704386" w:rsidRDefault="00DB254E" w14:paraId="4B6C3C3E" w14:textId="08458A35">
      <w:pPr>
        <w:rPr>
          <w:rFonts w:ascii="Arial" w:hAnsi="Arial" w:cs="Arial"/>
          <w:color w:val="008080"/>
          <w:sz w:val="24"/>
          <w:szCs w:val="24"/>
        </w:rPr>
      </w:pPr>
      <w:r w:rsidRPr="002C1777">
        <w:rPr>
          <w:rFonts w:ascii="Arial" w:hAnsi="Arial" w:cs="Arial"/>
          <w:color w:val="008080"/>
          <w:sz w:val="24"/>
          <w:szCs w:val="24"/>
        </w:rPr>
        <w:br w:type="page"/>
      </w:r>
      <w:bookmarkStart w:name="_Toc128644088" w:id="19"/>
      <w:r w:rsidRPr="002C1777" w:rsidR="007A53FC">
        <w:rPr>
          <w:rFonts w:ascii="Arial" w:hAnsi="Arial" w:cs="Arial"/>
          <w:b/>
          <w:bCs/>
          <w:color w:val="000000" w:themeColor="text1"/>
          <w:sz w:val="24"/>
          <w:szCs w:val="24"/>
        </w:rPr>
        <w:lastRenderedPageBreak/>
        <w:t>Annex B Details of other UKSPF programmes:</w:t>
      </w:r>
      <w:bookmarkEnd w:id="19"/>
    </w:p>
    <w:p w:rsidRPr="002C1777" w:rsidR="00E874DB" w:rsidP="00E42E2F" w:rsidRDefault="00E874DB" w14:paraId="173DEACF" w14:textId="0F28C0EA">
      <w:pPr>
        <w:spacing w:after="120" w:line="240" w:lineRule="auto"/>
        <w:textAlignment w:val="baseline"/>
        <w:rPr>
          <w:rFonts w:ascii="Arial" w:hAnsi="Arial" w:eastAsia="Times New Roman" w:cs="Arial"/>
          <w:lang w:eastAsia="en-GB"/>
        </w:rPr>
      </w:pPr>
      <w:r w:rsidRPr="002C1777">
        <w:rPr>
          <w:rFonts w:ascii="Arial" w:hAnsi="Arial" w:cs="Arial"/>
        </w:rPr>
        <w:t xml:space="preserve">Volunteering and Social Action activity will be expected to </w:t>
      </w:r>
      <w:r w:rsidRPr="002C1777">
        <w:rPr>
          <w:rFonts w:ascii="Arial" w:hAnsi="Arial" w:eastAsia="Times New Roman" w:cs="Arial"/>
          <w:lang w:eastAsia="en-GB"/>
        </w:rPr>
        <w:t>add value to, and not duplicate, existing NTCA-supported activity. This includes:</w:t>
      </w:r>
    </w:p>
    <w:p w:rsidRPr="002C1777" w:rsidR="00E874DB" w:rsidP="00E874DB" w:rsidRDefault="00A24165" w14:paraId="0349E9EE" w14:textId="200004D0">
      <w:pPr>
        <w:rPr>
          <w:rFonts w:ascii="Arial" w:hAnsi="Arial" w:cs="Arial"/>
          <w:b/>
        </w:rPr>
      </w:pPr>
      <w:r w:rsidRPr="002C1777">
        <w:rPr>
          <w:rFonts w:ascii="Arial" w:hAnsi="Arial" w:cs="Arial"/>
          <w:b/>
        </w:rPr>
        <w:t>Community Partnerships</w:t>
      </w:r>
    </w:p>
    <w:p w:rsidRPr="002C1777" w:rsidR="00D470CB" w:rsidP="00D470CB" w:rsidRDefault="00D470CB" w14:paraId="3AE1ECB2" w14:textId="55AA1727">
      <w:pPr>
        <w:rPr>
          <w:rFonts w:ascii="Arial" w:hAnsi="Arial" w:cs="Arial"/>
        </w:rPr>
      </w:pPr>
      <w:r w:rsidRPr="002C1777">
        <w:rPr>
          <w:rFonts w:ascii="Arial" w:hAnsi="Arial" w:cs="Arial"/>
        </w:rPr>
        <w:t>Community Partnerships are a key element within the UKSPF Community and Place programmes of activity. They will take a place-based approach to supporting activity that increases the strength of communities, relationships, and trust. Investment will support communities to develop local solutions in response to needs and opportunities, which will result in stronger local economies and more prosperous and resilient places.</w:t>
      </w:r>
    </w:p>
    <w:p w:rsidRPr="002C1777" w:rsidR="00D470CB" w:rsidP="00D470CB" w:rsidRDefault="00D470CB" w14:paraId="08423D43" w14:textId="77777777">
      <w:pPr>
        <w:rPr>
          <w:rFonts w:ascii="Arial" w:hAnsi="Arial" w:cs="Arial"/>
        </w:rPr>
      </w:pPr>
      <w:r w:rsidRPr="002C1777">
        <w:rPr>
          <w:rFonts w:ascii="Arial" w:hAnsi="Arial" w:cs="Arial"/>
        </w:rPr>
        <w:t>A place-based Community Partnership will be established in each of the three North of Tyne constituent local authority areas (Newcastle, Northumberland, and North Tyneside).</w:t>
      </w:r>
    </w:p>
    <w:p w:rsidRPr="002C1777" w:rsidR="00D470CB" w:rsidP="00D470CB" w:rsidRDefault="00D470CB" w14:paraId="7034E996" w14:textId="77777777">
      <w:pPr>
        <w:rPr>
          <w:rFonts w:ascii="Arial" w:hAnsi="Arial" w:cs="Arial"/>
        </w:rPr>
      </w:pPr>
      <w:r w:rsidRPr="002C1777">
        <w:rPr>
          <w:rFonts w:ascii="Arial" w:hAnsi="Arial" w:cs="Arial"/>
        </w:rPr>
        <w:t>The purpose of the Partnerships will be to support and co-ordinate a programme of activity in each area. The three objectives</w:t>
      </w:r>
      <w:r w:rsidRPr="002C1777">
        <w:rPr>
          <w:rFonts w:ascii="Arial" w:hAnsi="Arial" w:cs="Arial"/>
          <w:b/>
          <w:bCs/>
        </w:rPr>
        <w:t xml:space="preserve"> </w:t>
      </w:r>
      <w:r w:rsidRPr="002C1777">
        <w:rPr>
          <w:rFonts w:ascii="Arial" w:hAnsi="Arial" w:cs="Arial"/>
        </w:rPr>
        <w:t>of the Partnerships are</w:t>
      </w:r>
    </w:p>
    <w:p w:rsidRPr="002C1777" w:rsidR="00D470CB" w:rsidRDefault="00D470CB" w14:paraId="38F20CD0" w14:textId="77777777">
      <w:pPr>
        <w:pStyle w:val="ListParagraph"/>
        <w:numPr>
          <w:ilvl w:val="0"/>
          <w:numId w:val="3"/>
        </w:numPr>
        <w:spacing w:after="120" w:line="240" w:lineRule="auto"/>
        <w:ind w:left="357" w:hanging="357"/>
        <w:contextualSpacing w:val="0"/>
        <w:rPr>
          <w:rFonts w:ascii="Arial" w:hAnsi="Arial" w:cs="Arial"/>
        </w:rPr>
      </w:pPr>
      <w:r w:rsidRPr="002C1777">
        <w:rPr>
          <w:rFonts w:ascii="Arial" w:hAnsi="Arial" w:cs="Arial"/>
        </w:rPr>
        <w:t>Connected</w:t>
      </w:r>
      <w:r w:rsidRPr="002C1777">
        <w:rPr>
          <w:rFonts w:ascii="Arial" w:hAnsi="Arial" w:cs="Arial"/>
          <w:b/>
          <w:bCs/>
        </w:rPr>
        <w:t>:</w:t>
      </w:r>
      <w:r w:rsidRPr="002C1777">
        <w:rPr>
          <w:rFonts w:ascii="Arial" w:hAnsi="Arial" w:cs="Arial"/>
        </w:rPr>
        <w:t xml:space="preserve"> Increase opportunities for people to come together to build strong and trusting relationships.</w:t>
      </w:r>
    </w:p>
    <w:p w:rsidRPr="002C1777" w:rsidR="00D470CB" w:rsidRDefault="00D470CB" w14:paraId="38E26200" w14:textId="77777777">
      <w:pPr>
        <w:numPr>
          <w:ilvl w:val="0"/>
          <w:numId w:val="3"/>
        </w:numPr>
        <w:spacing w:after="120" w:line="240" w:lineRule="auto"/>
        <w:ind w:left="357" w:hanging="357"/>
        <w:rPr>
          <w:rFonts w:ascii="Arial" w:hAnsi="Arial" w:cs="Arial"/>
        </w:rPr>
      </w:pPr>
      <w:r w:rsidRPr="002C1777">
        <w:rPr>
          <w:rFonts w:ascii="Arial" w:hAnsi="Arial" w:cs="Arial"/>
        </w:rPr>
        <w:t>Organised</w:t>
      </w:r>
      <w:r w:rsidRPr="002C1777">
        <w:rPr>
          <w:rFonts w:ascii="Arial" w:hAnsi="Arial" w:cs="Arial"/>
          <w:b/>
          <w:bCs/>
        </w:rPr>
        <w:t>:</w:t>
      </w:r>
      <w:r w:rsidRPr="002C1777">
        <w:rPr>
          <w:rFonts w:ascii="Arial" w:hAnsi="Arial" w:cs="Arial"/>
        </w:rPr>
        <w:t xml:space="preserve"> Strengthen the capacity of VCSE sector organisations to meet the needs of the local community.</w:t>
      </w:r>
    </w:p>
    <w:p w:rsidRPr="002C1777" w:rsidR="00D470CB" w:rsidRDefault="00D470CB" w14:paraId="5FD67D0E" w14:textId="77777777">
      <w:pPr>
        <w:numPr>
          <w:ilvl w:val="0"/>
          <w:numId w:val="3"/>
        </w:numPr>
        <w:spacing w:after="120" w:line="240" w:lineRule="auto"/>
        <w:ind w:left="357" w:hanging="357"/>
        <w:rPr>
          <w:rFonts w:ascii="Arial" w:hAnsi="Arial" w:cs="Arial"/>
        </w:rPr>
      </w:pPr>
      <w:r w:rsidRPr="002C1777">
        <w:rPr>
          <w:rFonts w:ascii="Arial" w:hAnsi="Arial" w:cs="Arial"/>
        </w:rPr>
        <w:t>Participative</w:t>
      </w:r>
      <w:r w:rsidRPr="002C1777">
        <w:rPr>
          <w:rFonts w:ascii="Arial" w:hAnsi="Arial" w:cs="Arial"/>
          <w:b/>
          <w:bCs/>
        </w:rPr>
        <w:t>:</w:t>
      </w:r>
      <w:r w:rsidRPr="002C1777">
        <w:rPr>
          <w:rFonts w:ascii="Arial" w:hAnsi="Arial" w:cs="Arial"/>
        </w:rPr>
        <w:t xml:space="preserve"> Support the community to play a stronger role in shaping and making decisions on local activities and developments, so that change can come from the grassroots.</w:t>
      </w:r>
    </w:p>
    <w:p w:rsidRPr="002C1777" w:rsidR="00E874DB" w:rsidP="00E874DB" w:rsidRDefault="00E874DB" w14:paraId="1341EB6B" w14:textId="1D2E0FD5">
      <w:pPr>
        <w:rPr>
          <w:rFonts w:ascii="Arial" w:hAnsi="Arial" w:cs="Arial"/>
        </w:rPr>
      </w:pPr>
      <w:r w:rsidRPr="002C1777">
        <w:rPr>
          <w:rFonts w:ascii="Arial" w:hAnsi="Arial" w:cs="Arial"/>
        </w:rPr>
        <w:t>For more information contact</w:t>
      </w:r>
      <w:r w:rsidRPr="002C1777" w:rsidR="00616B05">
        <w:rPr>
          <w:rFonts w:ascii="Arial" w:hAnsi="Arial" w:cs="Arial"/>
        </w:rPr>
        <w:t>:</w:t>
      </w:r>
    </w:p>
    <w:p w:rsidRPr="002C1777" w:rsidR="00637CB4" w:rsidP="00637CB4" w:rsidRDefault="00637CB4" w14:paraId="4FB6B937" w14:textId="77777777">
      <w:pPr>
        <w:pStyle w:val="ListParagraph"/>
        <w:numPr>
          <w:ilvl w:val="0"/>
          <w:numId w:val="13"/>
        </w:numPr>
        <w:spacing w:after="0" w:line="240" w:lineRule="auto"/>
        <w:contextualSpacing w:val="0"/>
        <w:rPr>
          <w:rFonts w:ascii="Arial" w:hAnsi="Arial" w:eastAsia="Times New Roman" w:cs="Arial"/>
        </w:rPr>
      </w:pPr>
      <w:r w:rsidRPr="002C1777">
        <w:rPr>
          <w:rFonts w:ascii="Arial" w:hAnsi="Arial" w:eastAsia="Times New Roman" w:cs="Arial"/>
        </w:rPr>
        <w:t xml:space="preserve">Newcastle: </w:t>
      </w:r>
      <w:hyperlink w:history="1" r:id="rId17">
        <w:r w:rsidRPr="002C1777">
          <w:rPr>
            <w:rStyle w:val="Hyperlink"/>
            <w:rFonts w:ascii="Arial" w:hAnsi="Arial" w:eastAsia="Times New Roman" w:cs="Arial"/>
          </w:rPr>
          <w:t>joanna.lompart.chlasciak@newcastle.gov.uk</w:t>
        </w:r>
      </w:hyperlink>
    </w:p>
    <w:p w:rsidRPr="002C1777" w:rsidR="00637CB4" w:rsidP="00637CB4" w:rsidRDefault="00637CB4" w14:paraId="2FEC585C" w14:textId="77777777">
      <w:pPr>
        <w:pStyle w:val="ListParagraph"/>
        <w:numPr>
          <w:ilvl w:val="0"/>
          <w:numId w:val="13"/>
        </w:numPr>
        <w:spacing w:after="0" w:line="240" w:lineRule="auto"/>
        <w:contextualSpacing w:val="0"/>
        <w:rPr>
          <w:rFonts w:ascii="Arial" w:hAnsi="Arial" w:eastAsia="Times New Roman" w:cs="Arial"/>
        </w:rPr>
      </w:pPr>
      <w:r w:rsidRPr="002C1777">
        <w:rPr>
          <w:rFonts w:ascii="Arial" w:hAnsi="Arial" w:eastAsia="Times New Roman" w:cs="Arial"/>
        </w:rPr>
        <w:t xml:space="preserve">Northumberland: </w:t>
      </w:r>
      <w:hyperlink w:history="1" r:id="rId18">
        <w:r w:rsidRPr="002C1777">
          <w:rPr>
            <w:rStyle w:val="Hyperlink"/>
            <w:rFonts w:ascii="Arial" w:hAnsi="Arial" w:eastAsia="Times New Roman" w:cs="Arial"/>
          </w:rPr>
          <w:t>Kevin.Higgins@northumberland.gov.uk</w:t>
        </w:r>
      </w:hyperlink>
    </w:p>
    <w:p w:rsidRPr="002C1777" w:rsidR="00637CB4" w:rsidP="00637CB4" w:rsidRDefault="00637CB4" w14:paraId="1906920C" w14:textId="77777777">
      <w:pPr>
        <w:pStyle w:val="ListParagraph"/>
        <w:numPr>
          <w:ilvl w:val="0"/>
          <w:numId w:val="13"/>
        </w:numPr>
        <w:spacing w:after="0" w:line="240" w:lineRule="auto"/>
        <w:contextualSpacing w:val="0"/>
        <w:rPr>
          <w:rFonts w:ascii="Arial" w:hAnsi="Arial" w:eastAsia="Times New Roman" w:cs="Arial"/>
        </w:rPr>
      </w:pPr>
      <w:r w:rsidRPr="002C1777">
        <w:rPr>
          <w:rFonts w:ascii="Arial" w:hAnsi="Arial" w:eastAsia="Times New Roman" w:cs="Arial"/>
        </w:rPr>
        <w:t xml:space="preserve">North Tyneside: </w:t>
      </w:r>
      <w:hyperlink w:history="1" r:id="rId19">
        <w:r w:rsidRPr="002C1777">
          <w:rPr>
            <w:rStyle w:val="Hyperlink"/>
            <w:rFonts w:ascii="Arial" w:hAnsi="Arial" w:eastAsia="Times New Roman" w:cs="Arial"/>
          </w:rPr>
          <w:t>Anya.Lawrence@northtyneside.gov.uk</w:t>
        </w:r>
      </w:hyperlink>
    </w:p>
    <w:p w:rsidRPr="002C1777" w:rsidR="00616B05" w:rsidP="00E874DB" w:rsidRDefault="00616B05" w14:paraId="0B22141B" w14:textId="77777777">
      <w:pPr>
        <w:rPr>
          <w:rFonts w:ascii="Arial" w:hAnsi="Arial" w:cs="Arial"/>
        </w:rPr>
      </w:pPr>
    </w:p>
    <w:p w:rsidRPr="002C1777" w:rsidR="00E874DB" w:rsidP="00E874DB" w:rsidRDefault="00E874DB" w14:paraId="5531C855" w14:textId="77777777">
      <w:pPr>
        <w:rPr>
          <w:rFonts w:ascii="Arial" w:hAnsi="Arial" w:cs="Arial"/>
        </w:rPr>
      </w:pPr>
      <w:r w:rsidRPr="002C1777">
        <w:rPr>
          <w:rFonts w:ascii="Arial" w:hAnsi="Arial" w:cs="Arial"/>
          <w:b/>
          <w:bCs/>
        </w:rPr>
        <w:t>Crowdfund North of Tyne</w:t>
      </w:r>
    </w:p>
    <w:p w:rsidRPr="002C1777" w:rsidR="00E874DB" w:rsidP="00E874DB" w:rsidRDefault="00E874DB" w14:paraId="71DF4D67" w14:textId="77777777">
      <w:pPr>
        <w:rPr>
          <w:rFonts w:ascii="Arial" w:hAnsi="Arial" w:cs="Arial"/>
          <w:color w:val="080F21"/>
        </w:rPr>
      </w:pPr>
      <w:r w:rsidRPr="002C1777">
        <w:rPr>
          <w:rFonts w:ascii="Arial" w:hAnsi="Arial" w:cs="Arial"/>
        </w:rPr>
        <w:t xml:space="preserve">As part of the UKSPF Community Programmes and Partnerships theme, NTCA will be investing in the existing Crowdfund North of Tyne programme bringing people together to create vibrant communities.  Through this programme </w:t>
      </w:r>
      <w:r w:rsidRPr="002C1777">
        <w:rPr>
          <w:rFonts w:ascii="Arial" w:hAnsi="Arial" w:cs="Arial"/>
          <w:color w:val="080F21"/>
        </w:rPr>
        <w:t>local people and organisations can pitch their initiatives to NTCA for investment but must also crowdfund part of their costs to demonstrate public support for their project. Ideas are judged on the number of community backers – and not the amount of money raised.</w:t>
      </w:r>
    </w:p>
    <w:p w:rsidRPr="002C1777" w:rsidR="00E874DB" w:rsidP="00E874DB" w:rsidRDefault="00E874DB" w14:paraId="090BFF6C" w14:textId="608FF048">
      <w:pPr>
        <w:rPr>
          <w:rFonts w:ascii="Arial" w:hAnsi="Arial" w:cs="Arial"/>
        </w:rPr>
      </w:pPr>
      <w:r w:rsidRPr="002C1777">
        <w:rPr>
          <w:rFonts w:ascii="Arial" w:hAnsi="Arial" w:cs="Arial"/>
        </w:rPr>
        <w:t xml:space="preserve">Visit the </w:t>
      </w:r>
      <w:hyperlink w:history="1" r:id="rId20">
        <w:r w:rsidRPr="002C1777">
          <w:rPr>
            <w:rStyle w:val="Hyperlink"/>
            <w:rFonts w:ascii="Arial" w:hAnsi="Arial" w:cs="Arial"/>
          </w:rPr>
          <w:t>Crowdfund North of Tyne website</w:t>
        </w:r>
      </w:hyperlink>
      <w:r w:rsidRPr="002C1777">
        <w:rPr>
          <w:rFonts w:ascii="Arial" w:hAnsi="Arial" w:cs="Arial"/>
        </w:rPr>
        <w:t xml:space="preserve"> to find out more or contact</w:t>
      </w:r>
      <w:r w:rsidRPr="002C1777" w:rsidR="00E034C2">
        <w:rPr>
          <w:rFonts w:ascii="Arial" w:hAnsi="Arial" w:cs="Arial"/>
        </w:rPr>
        <w:t xml:space="preserve"> </w:t>
      </w:r>
      <w:hyperlink w:history="1" r:id="rId21">
        <w:r w:rsidRPr="002C1777" w:rsidR="00E034C2">
          <w:rPr>
            <w:rStyle w:val="Hyperlink"/>
            <w:rFonts w:ascii="Arial" w:hAnsi="Arial" w:cs="Arial"/>
          </w:rPr>
          <w:t>emma.patterson@northoftyne-ca.gov.uk</w:t>
        </w:r>
      </w:hyperlink>
    </w:p>
    <w:p w:rsidRPr="002C1777" w:rsidR="00E874DB" w:rsidP="00E874DB" w:rsidRDefault="00E874DB" w14:paraId="498B2551" w14:textId="77777777">
      <w:pPr>
        <w:rPr>
          <w:rFonts w:ascii="Arial" w:hAnsi="Arial" w:cs="Arial"/>
          <w:b/>
          <w:bCs/>
        </w:rPr>
      </w:pPr>
      <w:r w:rsidRPr="002C1777">
        <w:rPr>
          <w:rFonts w:ascii="Arial" w:hAnsi="Arial" w:cs="Arial"/>
          <w:b/>
          <w:bCs/>
        </w:rPr>
        <w:t>Employment Partnerships</w:t>
      </w:r>
    </w:p>
    <w:p w:rsidRPr="002C1777" w:rsidR="00E874DB" w:rsidP="00E874DB" w:rsidRDefault="00E874DB" w14:paraId="7A236B7D" w14:textId="77777777">
      <w:pPr>
        <w:rPr>
          <w:rFonts w:ascii="Arial" w:hAnsi="Arial" w:cs="Arial"/>
        </w:rPr>
      </w:pPr>
      <w:r w:rsidRPr="002C1777">
        <w:rPr>
          <w:rFonts w:ascii="Arial" w:hAnsi="Arial" w:cs="Arial"/>
        </w:rPr>
        <w:t>To support the North of Tyne Employability Plan, NTCA has invested in Employment Partnerships in each local authority area. These partnerships help close the unemployment gap by supporting interventions to remove the barriers which make it difficult for people to take up employment and training opportunities and increase awareness and understanding of the local labour market.</w:t>
      </w:r>
    </w:p>
    <w:p w:rsidRPr="002C1777" w:rsidR="00E874DB" w:rsidP="00E874DB" w:rsidRDefault="00E874DB" w14:paraId="3BDF9D29" w14:textId="77777777">
      <w:pPr>
        <w:rPr>
          <w:rFonts w:ascii="Arial" w:hAnsi="Arial" w:eastAsia="Arial" w:cs="Arial"/>
        </w:rPr>
      </w:pPr>
      <w:r w:rsidRPr="002C1777">
        <w:rPr>
          <w:rFonts w:ascii="Arial" w:hAnsi="Arial" w:cs="Arial"/>
        </w:rPr>
        <w:t xml:space="preserve">Community Partnerships will be expected to actively work with their local Employment Partnership to ensure their proposed activity adds value to, and does not duplicate, existing interventions. This could include sharing local intelligence to help address gaps and </w:t>
      </w:r>
      <w:r w:rsidRPr="002C1777">
        <w:rPr>
          <w:rFonts w:ascii="Arial" w:hAnsi="Arial" w:cs="Arial"/>
        </w:rPr>
        <w:lastRenderedPageBreak/>
        <w:t>identified needs, as well as providing regular progress updates and cross-referrals of participants to ensure they can access the most appropriate support for their needs.</w:t>
      </w:r>
    </w:p>
    <w:p w:rsidR="0070353E" w:rsidP="00E874DB" w:rsidRDefault="00E874DB" w14:paraId="58331C29" w14:textId="77777777">
      <w:pPr>
        <w:rPr>
          <w:lang w:val="en-US" w:eastAsia="en-GB"/>
        </w:rPr>
      </w:pPr>
      <w:r w:rsidRPr="002C1777">
        <w:rPr>
          <w:rFonts w:ascii="Arial" w:hAnsi="Arial" w:cs="Arial"/>
        </w:rPr>
        <w:t xml:space="preserve">Newcastle: </w:t>
      </w:r>
      <w:hyperlink w:history="1" r:id="rId22">
        <w:r w:rsidRPr="0070353E" w:rsidR="0070353E">
          <w:rPr>
            <w:rStyle w:val="Hyperlink"/>
            <w:rFonts w:ascii="Arial" w:hAnsi="Arial" w:cs="Arial"/>
            <w:lang w:val="en-US" w:eastAsia="en-GB"/>
          </w:rPr>
          <w:t>Chris.Ord@newcastle.gov.u</w:t>
        </w:r>
        <w:r w:rsidR="0070353E">
          <w:rPr>
            <w:rStyle w:val="Hyperlink"/>
            <w:lang w:val="en-US" w:eastAsia="en-GB"/>
          </w:rPr>
          <w:t>k</w:t>
        </w:r>
      </w:hyperlink>
    </w:p>
    <w:p w:rsidRPr="002C1777" w:rsidR="00E874DB" w:rsidP="00E874DB" w:rsidRDefault="00E874DB" w14:paraId="7F0ACB4B" w14:textId="5D065D38">
      <w:pPr>
        <w:rPr>
          <w:rFonts w:ascii="Arial" w:hAnsi="Arial" w:cs="Arial"/>
        </w:rPr>
      </w:pPr>
      <w:r w:rsidRPr="002C1777">
        <w:rPr>
          <w:rFonts w:ascii="Arial" w:hAnsi="Arial" w:cs="Arial"/>
        </w:rPr>
        <w:t xml:space="preserve">Northumberland: </w:t>
      </w:r>
      <w:hyperlink w:history="1" r:id="rId23">
        <w:r w:rsidRPr="002C1777">
          <w:rPr>
            <w:rStyle w:val="Hyperlink"/>
            <w:rFonts w:ascii="Arial" w:hAnsi="Arial" w:cs="Arial"/>
          </w:rPr>
          <w:t>kevin.higgins@northumberland.gov.uk</w:t>
        </w:r>
      </w:hyperlink>
    </w:p>
    <w:p w:rsidRPr="002C1777" w:rsidR="007A53FC" w:rsidP="00E874DB" w:rsidRDefault="00E874DB" w14:paraId="76919E21" w14:textId="3BB4A1AC">
      <w:pPr>
        <w:rPr>
          <w:rStyle w:val="Hyperlink"/>
          <w:rFonts w:ascii="Arial" w:hAnsi="Arial" w:cs="Arial"/>
        </w:rPr>
      </w:pPr>
      <w:r w:rsidRPr="002C1777">
        <w:rPr>
          <w:rFonts w:ascii="Arial" w:hAnsi="Arial" w:cs="Arial"/>
        </w:rPr>
        <w:t xml:space="preserve">North Tyneside: </w:t>
      </w:r>
      <w:hyperlink w:history="1" r:id="rId24">
        <w:r w:rsidRPr="002C1777">
          <w:rPr>
            <w:rStyle w:val="Hyperlink"/>
            <w:rFonts w:ascii="Arial" w:hAnsi="Arial" w:cs="Arial"/>
          </w:rPr>
          <w:t>mark.barrett@northtyneside.gov.uk</w:t>
        </w:r>
      </w:hyperlink>
    </w:p>
    <w:p w:rsidRPr="002C1777" w:rsidR="00E42E2F" w:rsidP="00E42E2F" w:rsidRDefault="00E42E2F" w14:paraId="2A950867" w14:textId="77777777">
      <w:pPr>
        <w:rPr>
          <w:rFonts w:ascii="Arial" w:hAnsi="Arial" w:cs="Arial"/>
          <w:b/>
          <w:bCs/>
        </w:rPr>
      </w:pPr>
      <w:r w:rsidRPr="002C1777">
        <w:rPr>
          <w:rFonts w:ascii="Arial" w:hAnsi="Arial" w:cs="Arial"/>
          <w:b/>
          <w:bCs/>
        </w:rPr>
        <w:t>Employment Support</w:t>
      </w:r>
    </w:p>
    <w:p w:rsidRPr="002C1777" w:rsidR="00E42E2F" w:rsidP="00E42E2F" w:rsidRDefault="00E42E2F" w14:paraId="32701E00" w14:textId="77777777">
      <w:pPr>
        <w:rPr>
          <w:rFonts w:ascii="Arial" w:hAnsi="Arial" w:cs="Arial"/>
        </w:rPr>
      </w:pPr>
      <w:r w:rsidRPr="002C1777">
        <w:rPr>
          <w:rFonts w:ascii="Arial" w:hAnsi="Arial" w:cs="Arial"/>
        </w:rPr>
        <w:t>NTCA is investing UKSPF funding into the VCSE sector, via the People and Skills theme, to deliver employment support to out-of-work residents including intensive wrap-around support. This will include engagement and social inclusion activities supporting those furthest away from existing employability provision as well as intensive one-to-one wraparound support and guidance to identify, address and remove barriers and improve wellbeing, enabling participants to move closer to their goals.</w:t>
      </w:r>
    </w:p>
    <w:p w:rsidRPr="002C1777" w:rsidR="00E42E2F" w:rsidP="00E874DB" w:rsidRDefault="00E42E2F" w14:paraId="35D795A7" w14:textId="3D50B809">
      <w:pPr>
        <w:rPr>
          <w:rFonts w:ascii="Arial" w:hAnsi="Arial" w:cs="Arial"/>
        </w:rPr>
      </w:pPr>
      <w:r w:rsidRPr="002C1777">
        <w:rPr>
          <w:rFonts w:ascii="Arial" w:hAnsi="Arial" w:cs="Arial"/>
        </w:rPr>
        <w:t xml:space="preserve">For more information contact </w:t>
      </w:r>
      <w:hyperlink w:history="1" r:id="rId25">
        <w:r w:rsidRPr="002C1777">
          <w:rPr>
            <w:rStyle w:val="Hyperlink"/>
            <w:rFonts w:ascii="Arial" w:hAnsi="Arial" w:cs="Arial"/>
          </w:rPr>
          <w:t>ruth.gaul@northoftyne-ca.gov.uk</w:t>
        </w:r>
      </w:hyperlink>
    </w:p>
    <w:sectPr w:rsidRPr="002C1777" w:rsidR="00E42E2F">
      <w:headerReference w:type="even" r:id="rId26"/>
      <w:headerReference w:type="default" r:id="rId27"/>
      <w:footerReference w:type="even" r:id="rId28"/>
      <w:footerReference w:type="default" r:id="rId29"/>
      <w:headerReference w:type="first" r:id="rId30"/>
      <w:footerReference w:type="first" r:id="rId3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E8B" w:rsidP="000C7D9B" w:rsidRDefault="00845E8B" w14:paraId="4FAC04DA" w14:textId="77777777">
      <w:pPr>
        <w:spacing w:after="0" w:line="240" w:lineRule="auto"/>
      </w:pPr>
      <w:r>
        <w:separator/>
      </w:r>
    </w:p>
  </w:endnote>
  <w:endnote w:type="continuationSeparator" w:id="0">
    <w:p w:rsidR="00845E8B" w:rsidP="000C7D9B" w:rsidRDefault="00845E8B" w14:paraId="478926B9" w14:textId="77777777">
      <w:pPr>
        <w:spacing w:after="0" w:line="240" w:lineRule="auto"/>
      </w:pPr>
      <w:r>
        <w:continuationSeparator/>
      </w:r>
    </w:p>
  </w:endnote>
  <w:endnote w:type="continuationNotice" w:id="1">
    <w:p w:rsidR="00845E8B" w:rsidRDefault="00845E8B" w14:paraId="4497385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F0BA3" w:rsidP="000E3515" w:rsidRDefault="003F0BA3" w14:paraId="59427A95" w14:textId="623DF87C">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3F0BA3" w:rsidRDefault="003F0BA3" w14:paraId="576F05E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5556666"/>
      <w:docPartObj>
        <w:docPartGallery w:val="Page Numbers (Bottom of Page)"/>
        <w:docPartUnique/>
      </w:docPartObj>
    </w:sdtPr>
    <w:sdtContent>
      <w:p w:rsidR="003F0BA3" w:rsidP="000E3515" w:rsidRDefault="003F0BA3" w14:paraId="0F8C3556" w14:textId="433FA9DA">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F0BA3" w:rsidRDefault="003F0BA3" w14:paraId="5C1AE9E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93" w:rsidRDefault="00913293" w14:paraId="1538EAD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E8B" w:rsidP="000C7D9B" w:rsidRDefault="00845E8B" w14:paraId="3C8075A4" w14:textId="77777777">
      <w:pPr>
        <w:spacing w:after="0" w:line="240" w:lineRule="auto"/>
      </w:pPr>
      <w:r>
        <w:separator/>
      </w:r>
    </w:p>
  </w:footnote>
  <w:footnote w:type="continuationSeparator" w:id="0">
    <w:p w:rsidR="00845E8B" w:rsidP="000C7D9B" w:rsidRDefault="00845E8B" w14:paraId="28A1AABA" w14:textId="77777777">
      <w:pPr>
        <w:spacing w:after="0" w:line="240" w:lineRule="auto"/>
      </w:pPr>
      <w:r>
        <w:continuationSeparator/>
      </w:r>
    </w:p>
  </w:footnote>
  <w:footnote w:type="continuationNotice" w:id="1">
    <w:p w:rsidR="00845E8B" w:rsidRDefault="00845E8B" w14:paraId="16F194D1" w14:textId="77777777">
      <w:pPr>
        <w:spacing w:after="0" w:line="240" w:lineRule="auto"/>
      </w:pPr>
    </w:p>
  </w:footnote>
  <w:footnote w:id="2">
    <w:p w:rsidR="00793655" w:rsidP="00793655" w:rsidRDefault="00793655" w14:paraId="32978AEE" w14:textId="77777777">
      <w:pPr>
        <w:pStyle w:val="FootnoteText"/>
        <w:rPr>
          <w:sz w:val="18"/>
          <w:szCs w:val="18"/>
        </w:rPr>
      </w:pPr>
      <w:r>
        <w:rPr>
          <w:rStyle w:val="FootnoteReference"/>
        </w:rPr>
        <w:footnoteRef/>
      </w:r>
      <w:r>
        <w:t xml:space="preserve"> </w:t>
      </w:r>
      <w:hyperlink w:history="1" r:id="rId1">
        <w:r>
          <w:rPr>
            <w:rStyle w:val="Hyperlink"/>
            <w:sz w:val="18"/>
            <w:szCs w:val="18"/>
          </w:rPr>
          <w:t>Levelling Up White Paper</w:t>
        </w:r>
      </w:hyperlink>
    </w:p>
  </w:footnote>
  <w:footnote w:id="3">
    <w:p w:rsidR="00793655" w:rsidP="00793655" w:rsidRDefault="00793655" w14:paraId="7AB9A2DA" w14:textId="77777777">
      <w:pPr>
        <w:pStyle w:val="FootnoteText"/>
      </w:pPr>
      <w:r>
        <w:rPr>
          <w:rStyle w:val="FootnoteReference"/>
        </w:rPr>
        <w:footnoteRef/>
      </w:r>
      <w:r>
        <w:t xml:space="preserve"> </w:t>
      </w:r>
      <w:hyperlink w:history="1" r:id="rId2">
        <w:r>
          <w:rPr>
            <w:rStyle w:val="Hyperlink"/>
            <w:sz w:val="18"/>
            <w:szCs w:val="18"/>
          </w:rPr>
          <w:t>UK Shared Prosperity Fund: prospectus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93" w:rsidRDefault="00913293" w14:paraId="29261F0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93" w:rsidRDefault="00913293" w14:paraId="22E15C36" w14:textId="156460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13293" w:rsidRDefault="00913293" w14:paraId="73CD952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856"/>
    <w:multiLevelType w:val="hybridMultilevel"/>
    <w:tmpl w:val="ECD8D74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0597197A"/>
    <w:multiLevelType w:val="multilevel"/>
    <w:tmpl w:val="0810C3F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116588"/>
    <w:multiLevelType w:val="multilevel"/>
    <w:tmpl w:val="34003FA4"/>
    <w:lvl w:ilvl="0">
      <w:start w:val="1"/>
      <w:numFmt w:val="bullet"/>
      <w:lvlText w:val=""/>
      <w:lvlJc w:val="left"/>
      <w:pPr>
        <w:ind w:left="360" w:hanging="360"/>
      </w:pPr>
      <w:rPr>
        <w:rFonts w:hint="default" w:ascii="Wingdings" w:hAnsi="Wingding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FC2166"/>
    <w:multiLevelType w:val="hybridMultilevel"/>
    <w:tmpl w:val="0ECCF1C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DE25A3"/>
    <w:multiLevelType w:val="hybridMultilevel"/>
    <w:tmpl w:val="90627C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7E90603"/>
    <w:multiLevelType w:val="hybridMultilevel"/>
    <w:tmpl w:val="A0486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CF1079D"/>
    <w:multiLevelType w:val="hybridMultilevel"/>
    <w:tmpl w:val="7DB60E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8CB3753"/>
    <w:multiLevelType w:val="hybridMultilevel"/>
    <w:tmpl w:val="56767E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2022C6"/>
    <w:multiLevelType w:val="hybridMultilevel"/>
    <w:tmpl w:val="3972429A"/>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69F52ADD"/>
    <w:multiLevelType w:val="hybridMultilevel"/>
    <w:tmpl w:val="2D882CC2"/>
    <w:lvl w:ilvl="0" w:tplc="08090001">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cs="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cs="Courier New"/>
      </w:rPr>
    </w:lvl>
    <w:lvl w:ilvl="8" w:tplc="FFFFFFFF">
      <w:start w:val="1"/>
      <w:numFmt w:val="bullet"/>
      <w:lvlText w:val=""/>
      <w:lvlJc w:val="left"/>
      <w:pPr>
        <w:ind w:left="6480" w:hanging="360"/>
      </w:pPr>
      <w:rPr>
        <w:rFonts w:hint="default" w:ascii="Wingdings" w:hAnsi="Wingdings"/>
      </w:rPr>
    </w:lvl>
  </w:abstractNum>
  <w:abstractNum w:abstractNumId="10" w15:restartNumberingAfterBreak="0">
    <w:nsid w:val="7A5CB9F4"/>
    <w:multiLevelType w:val="hybridMultilevel"/>
    <w:tmpl w:val="ABF2DDF2"/>
    <w:lvl w:ilvl="0" w:tplc="31B2EC78">
      <w:start w:val="1"/>
      <w:numFmt w:val="decimal"/>
      <w:lvlText w:val="%1."/>
      <w:lvlJc w:val="left"/>
      <w:pPr>
        <w:ind w:left="720" w:hanging="360"/>
      </w:pPr>
    </w:lvl>
    <w:lvl w:ilvl="1" w:tplc="531A96C8">
      <w:start w:val="3"/>
      <w:numFmt w:val="decimal"/>
      <w:lvlText w:val="%2."/>
      <w:lvlJc w:val="left"/>
      <w:pPr>
        <w:ind w:left="1440" w:hanging="360"/>
      </w:pPr>
    </w:lvl>
    <w:lvl w:ilvl="2" w:tplc="E070C01E">
      <w:start w:val="1"/>
      <w:numFmt w:val="lowerRoman"/>
      <w:lvlText w:val="%3."/>
      <w:lvlJc w:val="right"/>
      <w:pPr>
        <w:ind w:left="2160" w:hanging="180"/>
      </w:pPr>
    </w:lvl>
    <w:lvl w:ilvl="3" w:tplc="C890E810">
      <w:start w:val="1"/>
      <w:numFmt w:val="decimal"/>
      <w:lvlText w:val="%4."/>
      <w:lvlJc w:val="left"/>
      <w:pPr>
        <w:ind w:left="2880" w:hanging="360"/>
      </w:pPr>
    </w:lvl>
    <w:lvl w:ilvl="4" w:tplc="54B634EA">
      <w:start w:val="1"/>
      <w:numFmt w:val="lowerLetter"/>
      <w:lvlText w:val="%5."/>
      <w:lvlJc w:val="left"/>
      <w:pPr>
        <w:ind w:left="3600" w:hanging="360"/>
      </w:pPr>
    </w:lvl>
    <w:lvl w:ilvl="5" w:tplc="7862CD2E">
      <w:start w:val="1"/>
      <w:numFmt w:val="lowerRoman"/>
      <w:lvlText w:val="%6."/>
      <w:lvlJc w:val="right"/>
      <w:pPr>
        <w:ind w:left="4320" w:hanging="180"/>
      </w:pPr>
    </w:lvl>
    <w:lvl w:ilvl="6" w:tplc="10E0E41E">
      <w:start w:val="1"/>
      <w:numFmt w:val="decimal"/>
      <w:lvlText w:val="%7."/>
      <w:lvlJc w:val="left"/>
      <w:pPr>
        <w:ind w:left="5040" w:hanging="360"/>
      </w:pPr>
    </w:lvl>
    <w:lvl w:ilvl="7" w:tplc="FE6C1B22">
      <w:start w:val="1"/>
      <w:numFmt w:val="lowerLetter"/>
      <w:lvlText w:val="%8."/>
      <w:lvlJc w:val="left"/>
      <w:pPr>
        <w:ind w:left="5760" w:hanging="360"/>
      </w:pPr>
    </w:lvl>
    <w:lvl w:ilvl="8" w:tplc="44E0B3BA">
      <w:start w:val="1"/>
      <w:numFmt w:val="lowerRoman"/>
      <w:lvlText w:val="%9."/>
      <w:lvlJc w:val="right"/>
      <w:pPr>
        <w:ind w:left="6480" w:hanging="180"/>
      </w:pPr>
    </w:lvl>
  </w:abstractNum>
  <w:abstractNum w:abstractNumId="11" w15:restartNumberingAfterBreak="0">
    <w:nsid w:val="7BDE5016"/>
    <w:multiLevelType w:val="hybridMultilevel"/>
    <w:tmpl w:val="5DD070CA"/>
    <w:lvl w:ilvl="0" w:tplc="6A9682D4">
      <w:start w:val="1"/>
      <w:numFmt w:val="bullet"/>
      <w:lvlText w:val=""/>
      <w:lvlJc w:val="left"/>
      <w:pPr>
        <w:ind w:left="720" w:hanging="360"/>
      </w:pPr>
      <w:rPr>
        <w:rFonts w:hint="default" w:ascii="Wingdings" w:hAnsi="Wingdings"/>
      </w:rPr>
    </w:lvl>
    <w:lvl w:ilvl="1" w:tplc="781A085C">
      <w:start w:val="1"/>
      <w:numFmt w:val="bullet"/>
      <w:lvlText w:val="•"/>
      <w:lvlJc w:val="left"/>
      <w:pPr>
        <w:tabs>
          <w:tab w:val="num" w:pos="1440"/>
        </w:tabs>
        <w:ind w:left="1440" w:hanging="360"/>
      </w:pPr>
      <w:rPr>
        <w:rFonts w:hint="default" w:ascii="Arial" w:hAnsi="Arial" w:cs="Times New Roman"/>
      </w:rPr>
    </w:lvl>
    <w:lvl w:ilvl="2" w:tplc="0CCE96D4">
      <w:start w:val="1"/>
      <w:numFmt w:val="bullet"/>
      <w:lvlText w:val="•"/>
      <w:lvlJc w:val="left"/>
      <w:pPr>
        <w:tabs>
          <w:tab w:val="num" w:pos="2160"/>
        </w:tabs>
        <w:ind w:left="2160" w:hanging="360"/>
      </w:pPr>
      <w:rPr>
        <w:rFonts w:hint="default" w:ascii="Arial" w:hAnsi="Arial" w:cs="Times New Roman"/>
      </w:rPr>
    </w:lvl>
    <w:lvl w:ilvl="3" w:tplc="F0D8484E">
      <w:start w:val="1"/>
      <w:numFmt w:val="bullet"/>
      <w:lvlText w:val="•"/>
      <w:lvlJc w:val="left"/>
      <w:pPr>
        <w:tabs>
          <w:tab w:val="num" w:pos="2880"/>
        </w:tabs>
        <w:ind w:left="2880" w:hanging="360"/>
      </w:pPr>
      <w:rPr>
        <w:rFonts w:hint="default" w:ascii="Arial" w:hAnsi="Arial" w:cs="Times New Roman"/>
      </w:rPr>
    </w:lvl>
    <w:lvl w:ilvl="4" w:tplc="4998DC6C">
      <w:start w:val="1"/>
      <w:numFmt w:val="bullet"/>
      <w:lvlText w:val="•"/>
      <w:lvlJc w:val="left"/>
      <w:pPr>
        <w:tabs>
          <w:tab w:val="num" w:pos="3600"/>
        </w:tabs>
        <w:ind w:left="3600" w:hanging="360"/>
      </w:pPr>
      <w:rPr>
        <w:rFonts w:hint="default" w:ascii="Arial" w:hAnsi="Arial" w:cs="Times New Roman"/>
      </w:rPr>
    </w:lvl>
    <w:lvl w:ilvl="5" w:tplc="DF3481FE">
      <w:start w:val="1"/>
      <w:numFmt w:val="bullet"/>
      <w:lvlText w:val="•"/>
      <w:lvlJc w:val="left"/>
      <w:pPr>
        <w:tabs>
          <w:tab w:val="num" w:pos="4320"/>
        </w:tabs>
        <w:ind w:left="4320" w:hanging="360"/>
      </w:pPr>
      <w:rPr>
        <w:rFonts w:hint="default" w:ascii="Arial" w:hAnsi="Arial" w:cs="Times New Roman"/>
      </w:rPr>
    </w:lvl>
    <w:lvl w:ilvl="6" w:tplc="5784FFAC">
      <w:start w:val="1"/>
      <w:numFmt w:val="bullet"/>
      <w:lvlText w:val="•"/>
      <w:lvlJc w:val="left"/>
      <w:pPr>
        <w:tabs>
          <w:tab w:val="num" w:pos="5040"/>
        </w:tabs>
        <w:ind w:left="5040" w:hanging="360"/>
      </w:pPr>
      <w:rPr>
        <w:rFonts w:hint="default" w:ascii="Arial" w:hAnsi="Arial" w:cs="Times New Roman"/>
      </w:rPr>
    </w:lvl>
    <w:lvl w:ilvl="7" w:tplc="0060B4BE">
      <w:start w:val="1"/>
      <w:numFmt w:val="bullet"/>
      <w:lvlText w:val="•"/>
      <w:lvlJc w:val="left"/>
      <w:pPr>
        <w:tabs>
          <w:tab w:val="num" w:pos="5760"/>
        </w:tabs>
        <w:ind w:left="5760" w:hanging="360"/>
      </w:pPr>
      <w:rPr>
        <w:rFonts w:hint="default" w:ascii="Arial" w:hAnsi="Arial" w:cs="Times New Roman"/>
      </w:rPr>
    </w:lvl>
    <w:lvl w:ilvl="8" w:tplc="905CA48A">
      <w:start w:val="1"/>
      <w:numFmt w:val="bullet"/>
      <w:lvlText w:val="•"/>
      <w:lvlJc w:val="left"/>
      <w:pPr>
        <w:tabs>
          <w:tab w:val="num" w:pos="6480"/>
        </w:tabs>
        <w:ind w:left="6480" w:hanging="360"/>
      </w:pPr>
      <w:rPr>
        <w:rFonts w:hint="default" w:ascii="Arial" w:hAnsi="Arial" w:cs="Times New Roman"/>
      </w:rPr>
    </w:lvl>
  </w:abstractNum>
  <w:abstractNum w:abstractNumId="12" w15:restartNumberingAfterBreak="0">
    <w:nsid w:val="7DC3688D"/>
    <w:multiLevelType w:val="hybridMultilevel"/>
    <w:tmpl w:val="7FB26240"/>
    <w:lvl w:ilvl="0" w:tplc="08090005">
      <w:start w:val="1"/>
      <w:numFmt w:val="bullet"/>
      <w:lvlText w:val=""/>
      <w:lvlJc w:val="left"/>
      <w:pPr>
        <w:ind w:left="829" w:hanging="360"/>
      </w:pPr>
      <w:rPr>
        <w:rFonts w:hint="default" w:ascii="Wingdings" w:hAnsi="Wingdings"/>
      </w:rPr>
    </w:lvl>
    <w:lvl w:ilvl="1" w:tplc="08090003" w:tentative="1">
      <w:start w:val="1"/>
      <w:numFmt w:val="bullet"/>
      <w:lvlText w:val="o"/>
      <w:lvlJc w:val="left"/>
      <w:pPr>
        <w:ind w:left="1549" w:hanging="360"/>
      </w:pPr>
      <w:rPr>
        <w:rFonts w:hint="default" w:ascii="Courier New" w:hAnsi="Courier New" w:cs="Courier New"/>
      </w:rPr>
    </w:lvl>
    <w:lvl w:ilvl="2" w:tplc="08090005" w:tentative="1">
      <w:start w:val="1"/>
      <w:numFmt w:val="bullet"/>
      <w:lvlText w:val=""/>
      <w:lvlJc w:val="left"/>
      <w:pPr>
        <w:ind w:left="2269" w:hanging="360"/>
      </w:pPr>
      <w:rPr>
        <w:rFonts w:hint="default" w:ascii="Wingdings" w:hAnsi="Wingdings"/>
      </w:rPr>
    </w:lvl>
    <w:lvl w:ilvl="3" w:tplc="08090001" w:tentative="1">
      <w:start w:val="1"/>
      <w:numFmt w:val="bullet"/>
      <w:lvlText w:val=""/>
      <w:lvlJc w:val="left"/>
      <w:pPr>
        <w:ind w:left="2989" w:hanging="360"/>
      </w:pPr>
      <w:rPr>
        <w:rFonts w:hint="default" w:ascii="Symbol" w:hAnsi="Symbol"/>
      </w:rPr>
    </w:lvl>
    <w:lvl w:ilvl="4" w:tplc="08090003" w:tentative="1">
      <w:start w:val="1"/>
      <w:numFmt w:val="bullet"/>
      <w:lvlText w:val="o"/>
      <w:lvlJc w:val="left"/>
      <w:pPr>
        <w:ind w:left="3709" w:hanging="360"/>
      </w:pPr>
      <w:rPr>
        <w:rFonts w:hint="default" w:ascii="Courier New" w:hAnsi="Courier New" w:cs="Courier New"/>
      </w:rPr>
    </w:lvl>
    <w:lvl w:ilvl="5" w:tplc="08090005" w:tentative="1">
      <w:start w:val="1"/>
      <w:numFmt w:val="bullet"/>
      <w:lvlText w:val=""/>
      <w:lvlJc w:val="left"/>
      <w:pPr>
        <w:ind w:left="4429" w:hanging="360"/>
      </w:pPr>
      <w:rPr>
        <w:rFonts w:hint="default" w:ascii="Wingdings" w:hAnsi="Wingdings"/>
      </w:rPr>
    </w:lvl>
    <w:lvl w:ilvl="6" w:tplc="08090001" w:tentative="1">
      <w:start w:val="1"/>
      <w:numFmt w:val="bullet"/>
      <w:lvlText w:val=""/>
      <w:lvlJc w:val="left"/>
      <w:pPr>
        <w:ind w:left="5149" w:hanging="360"/>
      </w:pPr>
      <w:rPr>
        <w:rFonts w:hint="default" w:ascii="Symbol" w:hAnsi="Symbol"/>
      </w:rPr>
    </w:lvl>
    <w:lvl w:ilvl="7" w:tplc="08090003" w:tentative="1">
      <w:start w:val="1"/>
      <w:numFmt w:val="bullet"/>
      <w:lvlText w:val="o"/>
      <w:lvlJc w:val="left"/>
      <w:pPr>
        <w:ind w:left="5869" w:hanging="360"/>
      </w:pPr>
      <w:rPr>
        <w:rFonts w:hint="default" w:ascii="Courier New" w:hAnsi="Courier New" w:cs="Courier New"/>
      </w:rPr>
    </w:lvl>
    <w:lvl w:ilvl="8" w:tplc="08090005" w:tentative="1">
      <w:start w:val="1"/>
      <w:numFmt w:val="bullet"/>
      <w:lvlText w:val=""/>
      <w:lvlJc w:val="left"/>
      <w:pPr>
        <w:ind w:left="6589" w:hanging="360"/>
      </w:pPr>
      <w:rPr>
        <w:rFonts w:hint="default" w:ascii="Wingdings" w:hAnsi="Wingdings"/>
      </w:rPr>
    </w:lvl>
  </w:abstractNum>
  <w:num w:numId="1" w16cid:durableId="1276669446">
    <w:abstractNumId w:val="10"/>
  </w:num>
  <w:num w:numId="2" w16cid:durableId="144862129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7962831">
    <w:abstractNumId w:val="11"/>
  </w:num>
  <w:num w:numId="4" w16cid:durableId="598828096">
    <w:abstractNumId w:val="12"/>
  </w:num>
  <w:num w:numId="5" w16cid:durableId="1010177228">
    <w:abstractNumId w:val="3"/>
  </w:num>
  <w:num w:numId="6" w16cid:durableId="1370448211">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61807032">
    <w:abstractNumId w:val="4"/>
  </w:num>
  <w:num w:numId="8" w16cid:durableId="1127167618">
    <w:abstractNumId w:val="7"/>
  </w:num>
  <w:num w:numId="9" w16cid:durableId="148712218">
    <w:abstractNumId w:val="6"/>
  </w:num>
  <w:num w:numId="10" w16cid:durableId="475801726">
    <w:abstractNumId w:val="9"/>
  </w:num>
  <w:num w:numId="11" w16cid:durableId="100149972">
    <w:abstractNumId w:val="5"/>
  </w:num>
  <w:num w:numId="12" w16cid:durableId="1071080020">
    <w:abstractNumId w:val="8"/>
  </w:num>
  <w:num w:numId="13" w16cid:durableId="1410346628">
    <w:abstractNumId w:val="0"/>
  </w:num>
  <w:numIdMacAtCleanup w:val="10"/>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92C"/>
    <w:rsid w:val="00000000"/>
    <w:rsid w:val="00001321"/>
    <w:rsid w:val="0000209A"/>
    <w:rsid w:val="000036B8"/>
    <w:rsid w:val="000049E0"/>
    <w:rsid w:val="000051BF"/>
    <w:rsid w:val="00011977"/>
    <w:rsid w:val="000140B1"/>
    <w:rsid w:val="000158B7"/>
    <w:rsid w:val="000159FC"/>
    <w:rsid w:val="0002438B"/>
    <w:rsid w:val="00024677"/>
    <w:rsid w:val="00024C70"/>
    <w:rsid w:val="00025597"/>
    <w:rsid w:val="00026263"/>
    <w:rsid w:val="00026C9F"/>
    <w:rsid w:val="000307D5"/>
    <w:rsid w:val="0003141E"/>
    <w:rsid w:val="00032CF9"/>
    <w:rsid w:val="000338A3"/>
    <w:rsid w:val="000378D3"/>
    <w:rsid w:val="00037E4F"/>
    <w:rsid w:val="0004301C"/>
    <w:rsid w:val="000438C1"/>
    <w:rsid w:val="00043C54"/>
    <w:rsid w:val="00044D17"/>
    <w:rsid w:val="00046F90"/>
    <w:rsid w:val="0005236A"/>
    <w:rsid w:val="0005451B"/>
    <w:rsid w:val="00056868"/>
    <w:rsid w:val="00057201"/>
    <w:rsid w:val="00061520"/>
    <w:rsid w:val="00063252"/>
    <w:rsid w:val="00065013"/>
    <w:rsid w:val="00066360"/>
    <w:rsid w:val="00067405"/>
    <w:rsid w:val="00071AA4"/>
    <w:rsid w:val="00071C84"/>
    <w:rsid w:val="0007259F"/>
    <w:rsid w:val="000732B1"/>
    <w:rsid w:val="000733E6"/>
    <w:rsid w:val="00073EFA"/>
    <w:rsid w:val="00074606"/>
    <w:rsid w:val="0007529E"/>
    <w:rsid w:val="000774BE"/>
    <w:rsid w:val="00080284"/>
    <w:rsid w:val="0008271D"/>
    <w:rsid w:val="00083AAA"/>
    <w:rsid w:val="00083AEA"/>
    <w:rsid w:val="00083C5C"/>
    <w:rsid w:val="00084FE0"/>
    <w:rsid w:val="00085547"/>
    <w:rsid w:val="0008775E"/>
    <w:rsid w:val="00090F2A"/>
    <w:rsid w:val="00093630"/>
    <w:rsid w:val="00093C6C"/>
    <w:rsid w:val="00094BC1"/>
    <w:rsid w:val="00094C09"/>
    <w:rsid w:val="00095170"/>
    <w:rsid w:val="00095654"/>
    <w:rsid w:val="00095760"/>
    <w:rsid w:val="000958BF"/>
    <w:rsid w:val="000A1313"/>
    <w:rsid w:val="000A2B4B"/>
    <w:rsid w:val="000A35CF"/>
    <w:rsid w:val="000A4D4B"/>
    <w:rsid w:val="000B0808"/>
    <w:rsid w:val="000B2152"/>
    <w:rsid w:val="000B2963"/>
    <w:rsid w:val="000B3306"/>
    <w:rsid w:val="000B3F32"/>
    <w:rsid w:val="000C120F"/>
    <w:rsid w:val="000C20FA"/>
    <w:rsid w:val="000C56DE"/>
    <w:rsid w:val="000C7D9B"/>
    <w:rsid w:val="000C7FF0"/>
    <w:rsid w:val="000D08D0"/>
    <w:rsid w:val="000D1EE1"/>
    <w:rsid w:val="000D2B25"/>
    <w:rsid w:val="000D60B5"/>
    <w:rsid w:val="000D7F7C"/>
    <w:rsid w:val="000D7FDF"/>
    <w:rsid w:val="000E0590"/>
    <w:rsid w:val="000E0B86"/>
    <w:rsid w:val="000E3515"/>
    <w:rsid w:val="000E4C2C"/>
    <w:rsid w:val="000E686C"/>
    <w:rsid w:val="000E7C41"/>
    <w:rsid w:val="000F1098"/>
    <w:rsid w:val="000F1406"/>
    <w:rsid w:val="000F6552"/>
    <w:rsid w:val="000F78BB"/>
    <w:rsid w:val="00101788"/>
    <w:rsid w:val="00104A85"/>
    <w:rsid w:val="00107EAB"/>
    <w:rsid w:val="0011688C"/>
    <w:rsid w:val="001171E4"/>
    <w:rsid w:val="0011769F"/>
    <w:rsid w:val="00117F98"/>
    <w:rsid w:val="00120F06"/>
    <w:rsid w:val="001249AC"/>
    <w:rsid w:val="00127B46"/>
    <w:rsid w:val="001350F4"/>
    <w:rsid w:val="00135EF7"/>
    <w:rsid w:val="001360CF"/>
    <w:rsid w:val="0014344D"/>
    <w:rsid w:val="00143452"/>
    <w:rsid w:val="00144674"/>
    <w:rsid w:val="00146B9F"/>
    <w:rsid w:val="001525C6"/>
    <w:rsid w:val="0015418C"/>
    <w:rsid w:val="00154F0B"/>
    <w:rsid w:val="00155DA1"/>
    <w:rsid w:val="00156207"/>
    <w:rsid w:val="001625A3"/>
    <w:rsid w:val="00163ABB"/>
    <w:rsid w:val="00164321"/>
    <w:rsid w:val="00164BD4"/>
    <w:rsid w:val="00165B2E"/>
    <w:rsid w:val="001672D7"/>
    <w:rsid w:val="0017280F"/>
    <w:rsid w:val="00173309"/>
    <w:rsid w:val="00173A2E"/>
    <w:rsid w:val="00176A7A"/>
    <w:rsid w:val="00176D5D"/>
    <w:rsid w:val="0017720B"/>
    <w:rsid w:val="00183F18"/>
    <w:rsid w:val="0018637F"/>
    <w:rsid w:val="00187AD3"/>
    <w:rsid w:val="0019170F"/>
    <w:rsid w:val="0019265E"/>
    <w:rsid w:val="00192A18"/>
    <w:rsid w:val="00195DFE"/>
    <w:rsid w:val="00195E47"/>
    <w:rsid w:val="00195EDD"/>
    <w:rsid w:val="00196683"/>
    <w:rsid w:val="00196B33"/>
    <w:rsid w:val="001A0A85"/>
    <w:rsid w:val="001A22CC"/>
    <w:rsid w:val="001A446D"/>
    <w:rsid w:val="001A4626"/>
    <w:rsid w:val="001A52A4"/>
    <w:rsid w:val="001A729A"/>
    <w:rsid w:val="001A7399"/>
    <w:rsid w:val="001A784E"/>
    <w:rsid w:val="001A7D8B"/>
    <w:rsid w:val="001B1C29"/>
    <w:rsid w:val="001B2E3D"/>
    <w:rsid w:val="001B4E2A"/>
    <w:rsid w:val="001B6B35"/>
    <w:rsid w:val="001B7253"/>
    <w:rsid w:val="001C0EBE"/>
    <w:rsid w:val="001C27E6"/>
    <w:rsid w:val="001C2D73"/>
    <w:rsid w:val="001C30B8"/>
    <w:rsid w:val="001C58DC"/>
    <w:rsid w:val="001D1A8D"/>
    <w:rsid w:val="001D3261"/>
    <w:rsid w:val="001D37B6"/>
    <w:rsid w:val="001D54FF"/>
    <w:rsid w:val="001D6395"/>
    <w:rsid w:val="001D75C4"/>
    <w:rsid w:val="001E042E"/>
    <w:rsid w:val="001E31AA"/>
    <w:rsid w:val="001E3EDD"/>
    <w:rsid w:val="001E7993"/>
    <w:rsid w:val="001F36CE"/>
    <w:rsid w:val="001F4018"/>
    <w:rsid w:val="001F4C55"/>
    <w:rsid w:val="001F507D"/>
    <w:rsid w:val="001F5ACD"/>
    <w:rsid w:val="00201121"/>
    <w:rsid w:val="002016B5"/>
    <w:rsid w:val="00203B91"/>
    <w:rsid w:val="002060A7"/>
    <w:rsid w:val="002078DC"/>
    <w:rsid w:val="0021079E"/>
    <w:rsid w:val="002111A4"/>
    <w:rsid w:val="00212C28"/>
    <w:rsid w:val="00212CA0"/>
    <w:rsid w:val="00214F52"/>
    <w:rsid w:val="00217DF3"/>
    <w:rsid w:val="002207EE"/>
    <w:rsid w:val="00225578"/>
    <w:rsid w:val="00226870"/>
    <w:rsid w:val="00226AA6"/>
    <w:rsid w:val="002277F2"/>
    <w:rsid w:val="002278BE"/>
    <w:rsid w:val="00233261"/>
    <w:rsid w:val="00233DEE"/>
    <w:rsid w:val="0023465C"/>
    <w:rsid w:val="00235A4A"/>
    <w:rsid w:val="0024044F"/>
    <w:rsid w:val="00244873"/>
    <w:rsid w:val="0024548F"/>
    <w:rsid w:val="002456B2"/>
    <w:rsid w:val="0025287A"/>
    <w:rsid w:val="00254391"/>
    <w:rsid w:val="002605C0"/>
    <w:rsid w:val="002627B8"/>
    <w:rsid w:val="00262E18"/>
    <w:rsid w:val="002644A8"/>
    <w:rsid w:val="002652B7"/>
    <w:rsid w:val="002663A5"/>
    <w:rsid w:val="002666D7"/>
    <w:rsid w:val="00266BCE"/>
    <w:rsid w:val="00266DDE"/>
    <w:rsid w:val="002673C8"/>
    <w:rsid w:val="00267596"/>
    <w:rsid w:val="00270C31"/>
    <w:rsid w:val="002741F8"/>
    <w:rsid w:val="002748E7"/>
    <w:rsid w:val="00277EEE"/>
    <w:rsid w:val="00280343"/>
    <w:rsid w:val="0028058E"/>
    <w:rsid w:val="00281D41"/>
    <w:rsid w:val="002845D4"/>
    <w:rsid w:val="002901C9"/>
    <w:rsid w:val="00291CB6"/>
    <w:rsid w:val="00292FAB"/>
    <w:rsid w:val="00294D1E"/>
    <w:rsid w:val="002A042B"/>
    <w:rsid w:val="002A15AE"/>
    <w:rsid w:val="002A51FB"/>
    <w:rsid w:val="002B07DD"/>
    <w:rsid w:val="002B23D8"/>
    <w:rsid w:val="002B2FE3"/>
    <w:rsid w:val="002B4EE8"/>
    <w:rsid w:val="002B5AF5"/>
    <w:rsid w:val="002B67C0"/>
    <w:rsid w:val="002C1777"/>
    <w:rsid w:val="002C1CC0"/>
    <w:rsid w:val="002C3689"/>
    <w:rsid w:val="002C521A"/>
    <w:rsid w:val="002C67C2"/>
    <w:rsid w:val="002C6E09"/>
    <w:rsid w:val="002D1C42"/>
    <w:rsid w:val="002D73BA"/>
    <w:rsid w:val="002D7CFF"/>
    <w:rsid w:val="002E0A98"/>
    <w:rsid w:val="002E1826"/>
    <w:rsid w:val="002E1B27"/>
    <w:rsid w:val="002E2A3A"/>
    <w:rsid w:val="002E34C2"/>
    <w:rsid w:val="002E5928"/>
    <w:rsid w:val="002E6B1B"/>
    <w:rsid w:val="002F0437"/>
    <w:rsid w:val="002F4C5F"/>
    <w:rsid w:val="002F64A9"/>
    <w:rsid w:val="002F6681"/>
    <w:rsid w:val="002F72C2"/>
    <w:rsid w:val="002F74F0"/>
    <w:rsid w:val="0030157B"/>
    <w:rsid w:val="00306E15"/>
    <w:rsid w:val="00307312"/>
    <w:rsid w:val="00314C48"/>
    <w:rsid w:val="00314E36"/>
    <w:rsid w:val="003164E7"/>
    <w:rsid w:val="0032125B"/>
    <w:rsid w:val="0032253D"/>
    <w:rsid w:val="00324314"/>
    <w:rsid w:val="00327060"/>
    <w:rsid w:val="00332D68"/>
    <w:rsid w:val="00333F19"/>
    <w:rsid w:val="0033451D"/>
    <w:rsid w:val="003346EE"/>
    <w:rsid w:val="003360A8"/>
    <w:rsid w:val="0033664E"/>
    <w:rsid w:val="0033688B"/>
    <w:rsid w:val="00336C51"/>
    <w:rsid w:val="00336F67"/>
    <w:rsid w:val="003401E1"/>
    <w:rsid w:val="00340A98"/>
    <w:rsid w:val="00341237"/>
    <w:rsid w:val="003419A1"/>
    <w:rsid w:val="00344E2E"/>
    <w:rsid w:val="00346A8F"/>
    <w:rsid w:val="00347566"/>
    <w:rsid w:val="003479A8"/>
    <w:rsid w:val="003507D5"/>
    <w:rsid w:val="0035145D"/>
    <w:rsid w:val="00352DE4"/>
    <w:rsid w:val="0035452C"/>
    <w:rsid w:val="00355336"/>
    <w:rsid w:val="003575D7"/>
    <w:rsid w:val="00360653"/>
    <w:rsid w:val="00361A4A"/>
    <w:rsid w:val="00361E49"/>
    <w:rsid w:val="00362D52"/>
    <w:rsid w:val="00362D84"/>
    <w:rsid w:val="00362EC6"/>
    <w:rsid w:val="00367F2B"/>
    <w:rsid w:val="00372047"/>
    <w:rsid w:val="0037522B"/>
    <w:rsid w:val="0037523C"/>
    <w:rsid w:val="00375E25"/>
    <w:rsid w:val="00375F1F"/>
    <w:rsid w:val="00380E8D"/>
    <w:rsid w:val="003816F9"/>
    <w:rsid w:val="00381B45"/>
    <w:rsid w:val="00381D1F"/>
    <w:rsid w:val="00382262"/>
    <w:rsid w:val="0038243C"/>
    <w:rsid w:val="00382FB2"/>
    <w:rsid w:val="00383367"/>
    <w:rsid w:val="00383A1B"/>
    <w:rsid w:val="003840C3"/>
    <w:rsid w:val="00386E2B"/>
    <w:rsid w:val="00391C73"/>
    <w:rsid w:val="0039484C"/>
    <w:rsid w:val="00394AE5"/>
    <w:rsid w:val="00395BBC"/>
    <w:rsid w:val="00397972"/>
    <w:rsid w:val="003A2A9E"/>
    <w:rsid w:val="003A378A"/>
    <w:rsid w:val="003A65C5"/>
    <w:rsid w:val="003A75E6"/>
    <w:rsid w:val="003B04A0"/>
    <w:rsid w:val="003B172D"/>
    <w:rsid w:val="003B1A58"/>
    <w:rsid w:val="003B21DB"/>
    <w:rsid w:val="003B2936"/>
    <w:rsid w:val="003B71C4"/>
    <w:rsid w:val="003C33A1"/>
    <w:rsid w:val="003C36B5"/>
    <w:rsid w:val="003C469A"/>
    <w:rsid w:val="003D1D22"/>
    <w:rsid w:val="003D52EA"/>
    <w:rsid w:val="003D6D0C"/>
    <w:rsid w:val="003D6EF0"/>
    <w:rsid w:val="003D743B"/>
    <w:rsid w:val="003D7C33"/>
    <w:rsid w:val="003E0ADA"/>
    <w:rsid w:val="003E1009"/>
    <w:rsid w:val="003E1041"/>
    <w:rsid w:val="003E2B44"/>
    <w:rsid w:val="003E3B2D"/>
    <w:rsid w:val="003E5CA9"/>
    <w:rsid w:val="003E7BC6"/>
    <w:rsid w:val="003E7F5E"/>
    <w:rsid w:val="003F0BA3"/>
    <w:rsid w:val="003F17BE"/>
    <w:rsid w:val="003F2989"/>
    <w:rsid w:val="003F39AF"/>
    <w:rsid w:val="003F4763"/>
    <w:rsid w:val="003F6772"/>
    <w:rsid w:val="003F69C7"/>
    <w:rsid w:val="003F7F5C"/>
    <w:rsid w:val="003F7FAC"/>
    <w:rsid w:val="00403198"/>
    <w:rsid w:val="0040381C"/>
    <w:rsid w:val="004053B6"/>
    <w:rsid w:val="004079D8"/>
    <w:rsid w:val="00411223"/>
    <w:rsid w:val="0041574B"/>
    <w:rsid w:val="004163A6"/>
    <w:rsid w:val="0042086B"/>
    <w:rsid w:val="00423B1A"/>
    <w:rsid w:val="00423C1C"/>
    <w:rsid w:val="00423F66"/>
    <w:rsid w:val="00424C10"/>
    <w:rsid w:val="00426595"/>
    <w:rsid w:val="00427796"/>
    <w:rsid w:val="00427861"/>
    <w:rsid w:val="00435288"/>
    <w:rsid w:val="00437296"/>
    <w:rsid w:val="00437602"/>
    <w:rsid w:val="00440806"/>
    <w:rsid w:val="00440F2D"/>
    <w:rsid w:val="004413C3"/>
    <w:rsid w:val="00442612"/>
    <w:rsid w:val="00442898"/>
    <w:rsid w:val="00443AC7"/>
    <w:rsid w:val="00444B1F"/>
    <w:rsid w:val="00445032"/>
    <w:rsid w:val="00445E77"/>
    <w:rsid w:val="00446A66"/>
    <w:rsid w:val="00446B7D"/>
    <w:rsid w:val="004516FB"/>
    <w:rsid w:val="00452B9A"/>
    <w:rsid w:val="004530CF"/>
    <w:rsid w:val="00457C7C"/>
    <w:rsid w:val="00460AFB"/>
    <w:rsid w:val="004634B8"/>
    <w:rsid w:val="00463A68"/>
    <w:rsid w:val="0046440E"/>
    <w:rsid w:val="00464EE5"/>
    <w:rsid w:val="00465930"/>
    <w:rsid w:val="004663EB"/>
    <w:rsid w:val="00466748"/>
    <w:rsid w:val="0046716B"/>
    <w:rsid w:val="00467431"/>
    <w:rsid w:val="00467548"/>
    <w:rsid w:val="00470D68"/>
    <w:rsid w:val="00473981"/>
    <w:rsid w:val="00473A09"/>
    <w:rsid w:val="0047434B"/>
    <w:rsid w:val="00483D85"/>
    <w:rsid w:val="0049000E"/>
    <w:rsid w:val="004905AD"/>
    <w:rsid w:val="00490F1A"/>
    <w:rsid w:val="00491DC9"/>
    <w:rsid w:val="00492A0C"/>
    <w:rsid w:val="00493F67"/>
    <w:rsid w:val="00496FC2"/>
    <w:rsid w:val="004971E5"/>
    <w:rsid w:val="004A02C1"/>
    <w:rsid w:val="004A04AF"/>
    <w:rsid w:val="004A2885"/>
    <w:rsid w:val="004A3A84"/>
    <w:rsid w:val="004A3A9D"/>
    <w:rsid w:val="004A3CBC"/>
    <w:rsid w:val="004A4CEF"/>
    <w:rsid w:val="004A504E"/>
    <w:rsid w:val="004A6017"/>
    <w:rsid w:val="004A7369"/>
    <w:rsid w:val="004A7F2F"/>
    <w:rsid w:val="004A7FEF"/>
    <w:rsid w:val="004B1854"/>
    <w:rsid w:val="004B192C"/>
    <w:rsid w:val="004B4882"/>
    <w:rsid w:val="004B4FCC"/>
    <w:rsid w:val="004B6D44"/>
    <w:rsid w:val="004B751E"/>
    <w:rsid w:val="004C02F3"/>
    <w:rsid w:val="004C15A4"/>
    <w:rsid w:val="004C5D18"/>
    <w:rsid w:val="004C7716"/>
    <w:rsid w:val="004D00B0"/>
    <w:rsid w:val="004D0E90"/>
    <w:rsid w:val="004D3CF8"/>
    <w:rsid w:val="004D40F8"/>
    <w:rsid w:val="004D422D"/>
    <w:rsid w:val="004D6BDA"/>
    <w:rsid w:val="004E08CD"/>
    <w:rsid w:val="004E173B"/>
    <w:rsid w:val="004E1E24"/>
    <w:rsid w:val="004E64DC"/>
    <w:rsid w:val="004E66C3"/>
    <w:rsid w:val="004F194C"/>
    <w:rsid w:val="004F3252"/>
    <w:rsid w:val="004F33BE"/>
    <w:rsid w:val="004F51B2"/>
    <w:rsid w:val="004F58AA"/>
    <w:rsid w:val="004F7595"/>
    <w:rsid w:val="004F75C0"/>
    <w:rsid w:val="00500106"/>
    <w:rsid w:val="00501B5D"/>
    <w:rsid w:val="00501BAB"/>
    <w:rsid w:val="00501CEC"/>
    <w:rsid w:val="00501ED4"/>
    <w:rsid w:val="0050261C"/>
    <w:rsid w:val="00506893"/>
    <w:rsid w:val="00506A92"/>
    <w:rsid w:val="00510572"/>
    <w:rsid w:val="00510C87"/>
    <w:rsid w:val="005153F7"/>
    <w:rsid w:val="00515F5D"/>
    <w:rsid w:val="00516412"/>
    <w:rsid w:val="00517980"/>
    <w:rsid w:val="00521B31"/>
    <w:rsid w:val="00522871"/>
    <w:rsid w:val="00524F73"/>
    <w:rsid w:val="005253FF"/>
    <w:rsid w:val="00527AC2"/>
    <w:rsid w:val="005334C8"/>
    <w:rsid w:val="00533E82"/>
    <w:rsid w:val="00536751"/>
    <w:rsid w:val="00540F17"/>
    <w:rsid w:val="00542F5D"/>
    <w:rsid w:val="00547191"/>
    <w:rsid w:val="00553754"/>
    <w:rsid w:val="005549FD"/>
    <w:rsid w:val="00562982"/>
    <w:rsid w:val="00562CFE"/>
    <w:rsid w:val="00563C5E"/>
    <w:rsid w:val="005643C9"/>
    <w:rsid w:val="00564946"/>
    <w:rsid w:val="00564F4D"/>
    <w:rsid w:val="00565EF5"/>
    <w:rsid w:val="00566AC8"/>
    <w:rsid w:val="0057173A"/>
    <w:rsid w:val="005726BF"/>
    <w:rsid w:val="00575353"/>
    <w:rsid w:val="00577468"/>
    <w:rsid w:val="005802A0"/>
    <w:rsid w:val="00581BCB"/>
    <w:rsid w:val="00581F1D"/>
    <w:rsid w:val="00585E75"/>
    <w:rsid w:val="00585F64"/>
    <w:rsid w:val="005866CE"/>
    <w:rsid w:val="0059287C"/>
    <w:rsid w:val="0059537D"/>
    <w:rsid w:val="00595F7D"/>
    <w:rsid w:val="00596453"/>
    <w:rsid w:val="00597351"/>
    <w:rsid w:val="00597403"/>
    <w:rsid w:val="00597A42"/>
    <w:rsid w:val="00597BAF"/>
    <w:rsid w:val="005A064C"/>
    <w:rsid w:val="005A1A87"/>
    <w:rsid w:val="005A4039"/>
    <w:rsid w:val="005A6ECF"/>
    <w:rsid w:val="005A721C"/>
    <w:rsid w:val="005B08C1"/>
    <w:rsid w:val="005B5501"/>
    <w:rsid w:val="005B6A53"/>
    <w:rsid w:val="005C04D8"/>
    <w:rsid w:val="005C07E2"/>
    <w:rsid w:val="005C0DF4"/>
    <w:rsid w:val="005C2E6E"/>
    <w:rsid w:val="005C448D"/>
    <w:rsid w:val="005C56E9"/>
    <w:rsid w:val="005C59A2"/>
    <w:rsid w:val="005D1BB8"/>
    <w:rsid w:val="005D3719"/>
    <w:rsid w:val="005D46C8"/>
    <w:rsid w:val="005D4770"/>
    <w:rsid w:val="005D7360"/>
    <w:rsid w:val="005D7C31"/>
    <w:rsid w:val="005E0573"/>
    <w:rsid w:val="005E51E8"/>
    <w:rsid w:val="005E55D6"/>
    <w:rsid w:val="005E5D48"/>
    <w:rsid w:val="005E609D"/>
    <w:rsid w:val="005E6CD6"/>
    <w:rsid w:val="005F08D6"/>
    <w:rsid w:val="005F0969"/>
    <w:rsid w:val="005F25EC"/>
    <w:rsid w:val="006000B0"/>
    <w:rsid w:val="00600AAE"/>
    <w:rsid w:val="0060124B"/>
    <w:rsid w:val="006038CF"/>
    <w:rsid w:val="00603D58"/>
    <w:rsid w:val="00603FA0"/>
    <w:rsid w:val="006075D9"/>
    <w:rsid w:val="0061031C"/>
    <w:rsid w:val="006105DD"/>
    <w:rsid w:val="006108A3"/>
    <w:rsid w:val="0061446C"/>
    <w:rsid w:val="006162E6"/>
    <w:rsid w:val="00616B05"/>
    <w:rsid w:val="006202DE"/>
    <w:rsid w:val="00622F9A"/>
    <w:rsid w:val="00623443"/>
    <w:rsid w:val="00624F21"/>
    <w:rsid w:val="00631FAA"/>
    <w:rsid w:val="00633DB6"/>
    <w:rsid w:val="0063470B"/>
    <w:rsid w:val="006364A0"/>
    <w:rsid w:val="006368D2"/>
    <w:rsid w:val="00637CB4"/>
    <w:rsid w:val="00640551"/>
    <w:rsid w:val="006408C8"/>
    <w:rsid w:val="00642ECF"/>
    <w:rsid w:val="00643DE0"/>
    <w:rsid w:val="0064537F"/>
    <w:rsid w:val="0064605F"/>
    <w:rsid w:val="006470E7"/>
    <w:rsid w:val="00651859"/>
    <w:rsid w:val="00651B80"/>
    <w:rsid w:val="006531DF"/>
    <w:rsid w:val="006562E1"/>
    <w:rsid w:val="0065655F"/>
    <w:rsid w:val="00656967"/>
    <w:rsid w:val="00662FAC"/>
    <w:rsid w:val="006640A1"/>
    <w:rsid w:val="00665EAC"/>
    <w:rsid w:val="00671DED"/>
    <w:rsid w:val="0067542B"/>
    <w:rsid w:val="00675A4B"/>
    <w:rsid w:val="0067650B"/>
    <w:rsid w:val="00677391"/>
    <w:rsid w:val="00680B13"/>
    <w:rsid w:val="00683323"/>
    <w:rsid w:val="006846A9"/>
    <w:rsid w:val="0068490F"/>
    <w:rsid w:val="006874D5"/>
    <w:rsid w:val="00691B36"/>
    <w:rsid w:val="00692C9B"/>
    <w:rsid w:val="00692FD1"/>
    <w:rsid w:val="00693666"/>
    <w:rsid w:val="00694C77"/>
    <w:rsid w:val="006A40CD"/>
    <w:rsid w:val="006A4291"/>
    <w:rsid w:val="006A5D4F"/>
    <w:rsid w:val="006A5DBA"/>
    <w:rsid w:val="006A75E3"/>
    <w:rsid w:val="006B2810"/>
    <w:rsid w:val="006B466F"/>
    <w:rsid w:val="006B4A62"/>
    <w:rsid w:val="006B56AA"/>
    <w:rsid w:val="006B5CB9"/>
    <w:rsid w:val="006B766F"/>
    <w:rsid w:val="006C06E3"/>
    <w:rsid w:val="006C1483"/>
    <w:rsid w:val="006C155B"/>
    <w:rsid w:val="006C2AC1"/>
    <w:rsid w:val="006C5D94"/>
    <w:rsid w:val="006C76B9"/>
    <w:rsid w:val="006D02DA"/>
    <w:rsid w:val="006D1F85"/>
    <w:rsid w:val="006D3FC8"/>
    <w:rsid w:val="006D469B"/>
    <w:rsid w:val="006D4A34"/>
    <w:rsid w:val="006D61E6"/>
    <w:rsid w:val="006E188C"/>
    <w:rsid w:val="006E1C51"/>
    <w:rsid w:val="006E26CB"/>
    <w:rsid w:val="006E6489"/>
    <w:rsid w:val="006E764C"/>
    <w:rsid w:val="006F0D31"/>
    <w:rsid w:val="006F46E4"/>
    <w:rsid w:val="006F491F"/>
    <w:rsid w:val="006F533E"/>
    <w:rsid w:val="006F7A9E"/>
    <w:rsid w:val="007014BB"/>
    <w:rsid w:val="00702169"/>
    <w:rsid w:val="00702CBE"/>
    <w:rsid w:val="0070353E"/>
    <w:rsid w:val="00704386"/>
    <w:rsid w:val="00704BB0"/>
    <w:rsid w:val="0071109B"/>
    <w:rsid w:val="00713CC0"/>
    <w:rsid w:val="007160EC"/>
    <w:rsid w:val="0071653C"/>
    <w:rsid w:val="0071668E"/>
    <w:rsid w:val="007167D1"/>
    <w:rsid w:val="007172BC"/>
    <w:rsid w:val="00717F1F"/>
    <w:rsid w:val="0072085C"/>
    <w:rsid w:val="00721417"/>
    <w:rsid w:val="007224C4"/>
    <w:rsid w:val="007253F1"/>
    <w:rsid w:val="00725A16"/>
    <w:rsid w:val="00726955"/>
    <w:rsid w:val="00726A0B"/>
    <w:rsid w:val="00726C7D"/>
    <w:rsid w:val="00727D3F"/>
    <w:rsid w:val="007309C4"/>
    <w:rsid w:val="007330F5"/>
    <w:rsid w:val="0073646C"/>
    <w:rsid w:val="00746A54"/>
    <w:rsid w:val="00750C28"/>
    <w:rsid w:val="00752818"/>
    <w:rsid w:val="00754E1C"/>
    <w:rsid w:val="007557C6"/>
    <w:rsid w:val="00757A36"/>
    <w:rsid w:val="00760717"/>
    <w:rsid w:val="0076076B"/>
    <w:rsid w:val="007609C9"/>
    <w:rsid w:val="00760DB6"/>
    <w:rsid w:val="00761D26"/>
    <w:rsid w:val="0076425F"/>
    <w:rsid w:val="00764C54"/>
    <w:rsid w:val="00765D48"/>
    <w:rsid w:val="00766B0B"/>
    <w:rsid w:val="00770343"/>
    <w:rsid w:val="00772064"/>
    <w:rsid w:val="007722C2"/>
    <w:rsid w:val="007748D7"/>
    <w:rsid w:val="00774EAB"/>
    <w:rsid w:val="00775D10"/>
    <w:rsid w:val="00776702"/>
    <w:rsid w:val="0078007D"/>
    <w:rsid w:val="007838E7"/>
    <w:rsid w:val="0078393C"/>
    <w:rsid w:val="00785E36"/>
    <w:rsid w:val="00790C49"/>
    <w:rsid w:val="00793655"/>
    <w:rsid w:val="007939DA"/>
    <w:rsid w:val="00794455"/>
    <w:rsid w:val="00794B94"/>
    <w:rsid w:val="0079665C"/>
    <w:rsid w:val="007976A3"/>
    <w:rsid w:val="007A0A7D"/>
    <w:rsid w:val="007A0CF0"/>
    <w:rsid w:val="007A124E"/>
    <w:rsid w:val="007A23A8"/>
    <w:rsid w:val="007A24DF"/>
    <w:rsid w:val="007A4A6D"/>
    <w:rsid w:val="007A53FC"/>
    <w:rsid w:val="007A5B53"/>
    <w:rsid w:val="007A7C94"/>
    <w:rsid w:val="007B0035"/>
    <w:rsid w:val="007B0C52"/>
    <w:rsid w:val="007B5A0F"/>
    <w:rsid w:val="007C08DF"/>
    <w:rsid w:val="007C152E"/>
    <w:rsid w:val="007C28FD"/>
    <w:rsid w:val="007C3062"/>
    <w:rsid w:val="007C361A"/>
    <w:rsid w:val="007C7D09"/>
    <w:rsid w:val="007D6817"/>
    <w:rsid w:val="007D6CA2"/>
    <w:rsid w:val="007D6D76"/>
    <w:rsid w:val="007D6DAB"/>
    <w:rsid w:val="007D6E78"/>
    <w:rsid w:val="007D7313"/>
    <w:rsid w:val="007E4F91"/>
    <w:rsid w:val="007E5742"/>
    <w:rsid w:val="007E5850"/>
    <w:rsid w:val="007E6DF6"/>
    <w:rsid w:val="007F1752"/>
    <w:rsid w:val="007F4282"/>
    <w:rsid w:val="007F4E64"/>
    <w:rsid w:val="007F50EA"/>
    <w:rsid w:val="007F6118"/>
    <w:rsid w:val="007F7C10"/>
    <w:rsid w:val="0080135F"/>
    <w:rsid w:val="0080516D"/>
    <w:rsid w:val="0080684C"/>
    <w:rsid w:val="00806E0A"/>
    <w:rsid w:val="008129DF"/>
    <w:rsid w:val="00815699"/>
    <w:rsid w:val="00816CB3"/>
    <w:rsid w:val="008176E7"/>
    <w:rsid w:val="00817BAF"/>
    <w:rsid w:val="008201D7"/>
    <w:rsid w:val="00821323"/>
    <w:rsid w:val="008240D7"/>
    <w:rsid w:val="0082537F"/>
    <w:rsid w:val="00825C9C"/>
    <w:rsid w:val="00827EFC"/>
    <w:rsid w:val="0083028F"/>
    <w:rsid w:val="008315F5"/>
    <w:rsid w:val="00833473"/>
    <w:rsid w:val="008334C8"/>
    <w:rsid w:val="0083448D"/>
    <w:rsid w:val="00834536"/>
    <w:rsid w:val="008346E9"/>
    <w:rsid w:val="008349BF"/>
    <w:rsid w:val="008377E5"/>
    <w:rsid w:val="008413A2"/>
    <w:rsid w:val="00842791"/>
    <w:rsid w:val="00844665"/>
    <w:rsid w:val="00845E8B"/>
    <w:rsid w:val="008471DB"/>
    <w:rsid w:val="008478BD"/>
    <w:rsid w:val="0085004E"/>
    <w:rsid w:val="00852F96"/>
    <w:rsid w:val="008539F4"/>
    <w:rsid w:val="00855C37"/>
    <w:rsid w:val="008565EF"/>
    <w:rsid w:val="00857E39"/>
    <w:rsid w:val="0086123E"/>
    <w:rsid w:val="00861BD4"/>
    <w:rsid w:val="00861D64"/>
    <w:rsid w:val="00865281"/>
    <w:rsid w:val="00866808"/>
    <w:rsid w:val="00867BCE"/>
    <w:rsid w:val="00870153"/>
    <w:rsid w:val="008706F7"/>
    <w:rsid w:val="00870987"/>
    <w:rsid w:val="008714B4"/>
    <w:rsid w:val="00872262"/>
    <w:rsid w:val="008759CA"/>
    <w:rsid w:val="00877AFB"/>
    <w:rsid w:val="0088062D"/>
    <w:rsid w:val="00880F20"/>
    <w:rsid w:val="0088299A"/>
    <w:rsid w:val="00883064"/>
    <w:rsid w:val="0088384E"/>
    <w:rsid w:val="00884175"/>
    <w:rsid w:val="008844A9"/>
    <w:rsid w:val="008856EC"/>
    <w:rsid w:val="00890B14"/>
    <w:rsid w:val="0089112E"/>
    <w:rsid w:val="00891F65"/>
    <w:rsid w:val="008925E2"/>
    <w:rsid w:val="00892E29"/>
    <w:rsid w:val="00893241"/>
    <w:rsid w:val="0089368E"/>
    <w:rsid w:val="00893E3F"/>
    <w:rsid w:val="0089497C"/>
    <w:rsid w:val="00894DCB"/>
    <w:rsid w:val="00896397"/>
    <w:rsid w:val="008964A7"/>
    <w:rsid w:val="00897A55"/>
    <w:rsid w:val="008A0B03"/>
    <w:rsid w:val="008A17B3"/>
    <w:rsid w:val="008A1EBB"/>
    <w:rsid w:val="008A215F"/>
    <w:rsid w:val="008A5E14"/>
    <w:rsid w:val="008B1AC6"/>
    <w:rsid w:val="008B234F"/>
    <w:rsid w:val="008B408B"/>
    <w:rsid w:val="008B48AF"/>
    <w:rsid w:val="008B4FEE"/>
    <w:rsid w:val="008B570C"/>
    <w:rsid w:val="008B64E7"/>
    <w:rsid w:val="008C194E"/>
    <w:rsid w:val="008C1A1B"/>
    <w:rsid w:val="008D0451"/>
    <w:rsid w:val="008D05F9"/>
    <w:rsid w:val="008D1A8A"/>
    <w:rsid w:val="008D25E6"/>
    <w:rsid w:val="008D4D62"/>
    <w:rsid w:val="008E0322"/>
    <w:rsid w:val="008E3488"/>
    <w:rsid w:val="008E6FC8"/>
    <w:rsid w:val="008E72BF"/>
    <w:rsid w:val="008E7BED"/>
    <w:rsid w:val="008E7E77"/>
    <w:rsid w:val="008F00C1"/>
    <w:rsid w:val="008F0528"/>
    <w:rsid w:val="008F0AF2"/>
    <w:rsid w:val="008F1FEF"/>
    <w:rsid w:val="008F3AFE"/>
    <w:rsid w:val="008F3B32"/>
    <w:rsid w:val="008F4EFF"/>
    <w:rsid w:val="008F7828"/>
    <w:rsid w:val="00900879"/>
    <w:rsid w:val="00900A39"/>
    <w:rsid w:val="009026C3"/>
    <w:rsid w:val="009031AB"/>
    <w:rsid w:val="0090403E"/>
    <w:rsid w:val="00905CE6"/>
    <w:rsid w:val="00905E9E"/>
    <w:rsid w:val="009076AE"/>
    <w:rsid w:val="00913293"/>
    <w:rsid w:val="00914A3D"/>
    <w:rsid w:val="00915978"/>
    <w:rsid w:val="00916567"/>
    <w:rsid w:val="009224A7"/>
    <w:rsid w:val="00923395"/>
    <w:rsid w:val="00927246"/>
    <w:rsid w:val="00927AE5"/>
    <w:rsid w:val="00927D1F"/>
    <w:rsid w:val="00931195"/>
    <w:rsid w:val="00931527"/>
    <w:rsid w:val="00935536"/>
    <w:rsid w:val="0093563F"/>
    <w:rsid w:val="00935A73"/>
    <w:rsid w:val="00935BAC"/>
    <w:rsid w:val="00936855"/>
    <w:rsid w:val="0093791A"/>
    <w:rsid w:val="00944F13"/>
    <w:rsid w:val="0094697E"/>
    <w:rsid w:val="00947F03"/>
    <w:rsid w:val="0095140B"/>
    <w:rsid w:val="00953121"/>
    <w:rsid w:val="00956AA4"/>
    <w:rsid w:val="00956D60"/>
    <w:rsid w:val="0096076B"/>
    <w:rsid w:val="00960A2A"/>
    <w:rsid w:val="009614DA"/>
    <w:rsid w:val="009623E0"/>
    <w:rsid w:val="00963599"/>
    <w:rsid w:val="009643A9"/>
    <w:rsid w:val="00964BCD"/>
    <w:rsid w:val="00973E73"/>
    <w:rsid w:val="00975D3B"/>
    <w:rsid w:val="00982106"/>
    <w:rsid w:val="00982575"/>
    <w:rsid w:val="00982A51"/>
    <w:rsid w:val="009858C6"/>
    <w:rsid w:val="00985D58"/>
    <w:rsid w:val="00992281"/>
    <w:rsid w:val="009928A9"/>
    <w:rsid w:val="00992921"/>
    <w:rsid w:val="00993616"/>
    <w:rsid w:val="009972B3"/>
    <w:rsid w:val="009A20BF"/>
    <w:rsid w:val="009A4FBD"/>
    <w:rsid w:val="009A6E9C"/>
    <w:rsid w:val="009A7457"/>
    <w:rsid w:val="009A7E1C"/>
    <w:rsid w:val="009B2403"/>
    <w:rsid w:val="009B2B76"/>
    <w:rsid w:val="009B37B6"/>
    <w:rsid w:val="009B4F1C"/>
    <w:rsid w:val="009B55A1"/>
    <w:rsid w:val="009B567D"/>
    <w:rsid w:val="009C2357"/>
    <w:rsid w:val="009C3C16"/>
    <w:rsid w:val="009C3C28"/>
    <w:rsid w:val="009C5E46"/>
    <w:rsid w:val="009C613A"/>
    <w:rsid w:val="009C77B6"/>
    <w:rsid w:val="009D2C08"/>
    <w:rsid w:val="009D3BF0"/>
    <w:rsid w:val="009D433F"/>
    <w:rsid w:val="009D4B27"/>
    <w:rsid w:val="009D4F56"/>
    <w:rsid w:val="009E0387"/>
    <w:rsid w:val="009E701B"/>
    <w:rsid w:val="009F112B"/>
    <w:rsid w:val="009F2E72"/>
    <w:rsid w:val="009F3360"/>
    <w:rsid w:val="009F4F36"/>
    <w:rsid w:val="009F52FB"/>
    <w:rsid w:val="009F586D"/>
    <w:rsid w:val="009F5B7F"/>
    <w:rsid w:val="00A013F9"/>
    <w:rsid w:val="00A037A5"/>
    <w:rsid w:val="00A03B4A"/>
    <w:rsid w:val="00A07124"/>
    <w:rsid w:val="00A0767A"/>
    <w:rsid w:val="00A1526A"/>
    <w:rsid w:val="00A16854"/>
    <w:rsid w:val="00A178B1"/>
    <w:rsid w:val="00A22198"/>
    <w:rsid w:val="00A24165"/>
    <w:rsid w:val="00A253AC"/>
    <w:rsid w:val="00A257EB"/>
    <w:rsid w:val="00A26A49"/>
    <w:rsid w:val="00A26C10"/>
    <w:rsid w:val="00A27197"/>
    <w:rsid w:val="00A27521"/>
    <w:rsid w:val="00A310A7"/>
    <w:rsid w:val="00A327D5"/>
    <w:rsid w:val="00A35B29"/>
    <w:rsid w:val="00A367C4"/>
    <w:rsid w:val="00A37AB1"/>
    <w:rsid w:val="00A42951"/>
    <w:rsid w:val="00A47298"/>
    <w:rsid w:val="00A4766B"/>
    <w:rsid w:val="00A4767C"/>
    <w:rsid w:val="00A47A09"/>
    <w:rsid w:val="00A507F4"/>
    <w:rsid w:val="00A52C05"/>
    <w:rsid w:val="00A55AAA"/>
    <w:rsid w:val="00A63DB9"/>
    <w:rsid w:val="00A64EC2"/>
    <w:rsid w:val="00A66B8D"/>
    <w:rsid w:val="00A74DA5"/>
    <w:rsid w:val="00A757B4"/>
    <w:rsid w:val="00A75EB4"/>
    <w:rsid w:val="00A80E30"/>
    <w:rsid w:val="00A81919"/>
    <w:rsid w:val="00A81D80"/>
    <w:rsid w:val="00A83977"/>
    <w:rsid w:val="00A839A0"/>
    <w:rsid w:val="00A8581A"/>
    <w:rsid w:val="00A90BC8"/>
    <w:rsid w:val="00A9411B"/>
    <w:rsid w:val="00A942B0"/>
    <w:rsid w:val="00A95133"/>
    <w:rsid w:val="00A95839"/>
    <w:rsid w:val="00A9640E"/>
    <w:rsid w:val="00A964F9"/>
    <w:rsid w:val="00A96B7E"/>
    <w:rsid w:val="00AA0943"/>
    <w:rsid w:val="00AA1A1F"/>
    <w:rsid w:val="00AA23DC"/>
    <w:rsid w:val="00AA2AD7"/>
    <w:rsid w:val="00AA4FC3"/>
    <w:rsid w:val="00AA5270"/>
    <w:rsid w:val="00AA61DD"/>
    <w:rsid w:val="00AB05DA"/>
    <w:rsid w:val="00AB13A0"/>
    <w:rsid w:val="00AB2D1D"/>
    <w:rsid w:val="00AB708A"/>
    <w:rsid w:val="00AC3A2B"/>
    <w:rsid w:val="00AC6AFA"/>
    <w:rsid w:val="00AD0D03"/>
    <w:rsid w:val="00AD127F"/>
    <w:rsid w:val="00AD4E1F"/>
    <w:rsid w:val="00AD5902"/>
    <w:rsid w:val="00AD7381"/>
    <w:rsid w:val="00AE006D"/>
    <w:rsid w:val="00AE01F1"/>
    <w:rsid w:val="00AE3FA7"/>
    <w:rsid w:val="00AE512B"/>
    <w:rsid w:val="00AF16D4"/>
    <w:rsid w:val="00AF1870"/>
    <w:rsid w:val="00AF1F01"/>
    <w:rsid w:val="00AF2CDD"/>
    <w:rsid w:val="00AF5014"/>
    <w:rsid w:val="00AF7904"/>
    <w:rsid w:val="00AF7D39"/>
    <w:rsid w:val="00B0173B"/>
    <w:rsid w:val="00B03026"/>
    <w:rsid w:val="00B035C0"/>
    <w:rsid w:val="00B058D3"/>
    <w:rsid w:val="00B10A56"/>
    <w:rsid w:val="00B214E7"/>
    <w:rsid w:val="00B22D70"/>
    <w:rsid w:val="00B22F4F"/>
    <w:rsid w:val="00B23375"/>
    <w:rsid w:val="00B238D6"/>
    <w:rsid w:val="00B25F3F"/>
    <w:rsid w:val="00B26DFD"/>
    <w:rsid w:val="00B301C1"/>
    <w:rsid w:val="00B3360B"/>
    <w:rsid w:val="00B34C1F"/>
    <w:rsid w:val="00B34C4A"/>
    <w:rsid w:val="00B401F8"/>
    <w:rsid w:val="00B41A62"/>
    <w:rsid w:val="00B41FF8"/>
    <w:rsid w:val="00B420FB"/>
    <w:rsid w:val="00B43FBC"/>
    <w:rsid w:val="00B47225"/>
    <w:rsid w:val="00B51994"/>
    <w:rsid w:val="00B51A73"/>
    <w:rsid w:val="00B540ED"/>
    <w:rsid w:val="00B54524"/>
    <w:rsid w:val="00B54772"/>
    <w:rsid w:val="00B55C00"/>
    <w:rsid w:val="00B56727"/>
    <w:rsid w:val="00B569B3"/>
    <w:rsid w:val="00B56D73"/>
    <w:rsid w:val="00B571AC"/>
    <w:rsid w:val="00B57934"/>
    <w:rsid w:val="00B603D2"/>
    <w:rsid w:val="00B60441"/>
    <w:rsid w:val="00B615DC"/>
    <w:rsid w:val="00B64609"/>
    <w:rsid w:val="00B66105"/>
    <w:rsid w:val="00B67BAC"/>
    <w:rsid w:val="00B67C24"/>
    <w:rsid w:val="00B704D3"/>
    <w:rsid w:val="00B71627"/>
    <w:rsid w:val="00B736F4"/>
    <w:rsid w:val="00B73918"/>
    <w:rsid w:val="00B75E75"/>
    <w:rsid w:val="00B76FCF"/>
    <w:rsid w:val="00B77BDD"/>
    <w:rsid w:val="00B800F3"/>
    <w:rsid w:val="00B807E8"/>
    <w:rsid w:val="00B8099D"/>
    <w:rsid w:val="00B81D0D"/>
    <w:rsid w:val="00B83703"/>
    <w:rsid w:val="00B8542D"/>
    <w:rsid w:val="00B868BA"/>
    <w:rsid w:val="00B87618"/>
    <w:rsid w:val="00B87A54"/>
    <w:rsid w:val="00B96FE8"/>
    <w:rsid w:val="00BA0250"/>
    <w:rsid w:val="00BA1688"/>
    <w:rsid w:val="00BA50FA"/>
    <w:rsid w:val="00BA5A1A"/>
    <w:rsid w:val="00BA7D4D"/>
    <w:rsid w:val="00BB0330"/>
    <w:rsid w:val="00BB1B5D"/>
    <w:rsid w:val="00BB1BD8"/>
    <w:rsid w:val="00BB38A0"/>
    <w:rsid w:val="00BB3CE6"/>
    <w:rsid w:val="00BB64ED"/>
    <w:rsid w:val="00BC13F2"/>
    <w:rsid w:val="00BC4B2C"/>
    <w:rsid w:val="00BC4FE5"/>
    <w:rsid w:val="00BC58DD"/>
    <w:rsid w:val="00BD552A"/>
    <w:rsid w:val="00BE34DF"/>
    <w:rsid w:val="00BE38B2"/>
    <w:rsid w:val="00BE4548"/>
    <w:rsid w:val="00BE45EF"/>
    <w:rsid w:val="00BF051E"/>
    <w:rsid w:val="00BF1597"/>
    <w:rsid w:val="00BF192B"/>
    <w:rsid w:val="00BF237A"/>
    <w:rsid w:val="00BF28E3"/>
    <w:rsid w:val="00BF39FE"/>
    <w:rsid w:val="00BF478A"/>
    <w:rsid w:val="00BF6FDE"/>
    <w:rsid w:val="00BF79B1"/>
    <w:rsid w:val="00C00A46"/>
    <w:rsid w:val="00C018E7"/>
    <w:rsid w:val="00C02246"/>
    <w:rsid w:val="00C057EA"/>
    <w:rsid w:val="00C12791"/>
    <w:rsid w:val="00C13574"/>
    <w:rsid w:val="00C1610C"/>
    <w:rsid w:val="00C1686B"/>
    <w:rsid w:val="00C171E3"/>
    <w:rsid w:val="00C17565"/>
    <w:rsid w:val="00C20CE0"/>
    <w:rsid w:val="00C224CD"/>
    <w:rsid w:val="00C22A43"/>
    <w:rsid w:val="00C2521A"/>
    <w:rsid w:val="00C253BE"/>
    <w:rsid w:val="00C26B5F"/>
    <w:rsid w:val="00C27198"/>
    <w:rsid w:val="00C317E9"/>
    <w:rsid w:val="00C31F12"/>
    <w:rsid w:val="00C344E7"/>
    <w:rsid w:val="00C40CB5"/>
    <w:rsid w:val="00C41D73"/>
    <w:rsid w:val="00C42C7B"/>
    <w:rsid w:val="00C43DB6"/>
    <w:rsid w:val="00C4543F"/>
    <w:rsid w:val="00C4760A"/>
    <w:rsid w:val="00C47F09"/>
    <w:rsid w:val="00C50687"/>
    <w:rsid w:val="00C52CDF"/>
    <w:rsid w:val="00C55036"/>
    <w:rsid w:val="00C55811"/>
    <w:rsid w:val="00C56A96"/>
    <w:rsid w:val="00C57EB0"/>
    <w:rsid w:val="00C60188"/>
    <w:rsid w:val="00C605BA"/>
    <w:rsid w:val="00C61586"/>
    <w:rsid w:val="00C61EF1"/>
    <w:rsid w:val="00C6322A"/>
    <w:rsid w:val="00C64F86"/>
    <w:rsid w:val="00C678A8"/>
    <w:rsid w:val="00C67C3F"/>
    <w:rsid w:val="00C719C7"/>
    <w:rsid w:val="00C725D4"/>
    <w:rsid w:val="00C74591"/>
    <w:rsid w:val="00C74B08"/>
    <w:rsid w:val="00C769F5"/>
    <w:rsid w:val="00C8328A"/>
    <w:rsid w:val="00C8615E"/>
    <w:rsid w:val="00C90F64"/>
    <w:rsid w:val="00C95D88"/>
    <w:rsid w:val="00C95FCB"/>
    <w:rsid w:val="00CA030E"/>
    <w:rsid w:val="00CA50A5"/>
    <w:rsid w:val="00CB024B"/>
    <w:rsid w:val="00CB3508"/>
    <w:rsid w:val="00CB382E"/>
    <w:rsid w:val="00CB4B9D"/>
    <w:rsid w:val="00CB51D3"/>
    <w:rsid w:val="00CC08B5"/>
    <w:rsid w:val="00CC10B2"/>
    <w:rsid w:val="00CC18AC"/>
    <w:rsid w:val="00CC2FF7"/>
    <w:rsid w:val="00CC33C0"/>
    <w:rsid w:val="00CC77CC"/>
    <w:rsid w:val="00CC7E5A"/>
    <w:rsid w:val="00CD1C52"/>
    <w:rsid w:val="00CD278F"/>
    <w:rsid w:val="00CD2EE4"/>
    <w:rsid w:val="00CD561C"/>
    <w:rsid w:val="00CD5FEC"/>
    <w:rsid w:val="00CD63BE"/>
    <w:rsid w:val="00CE00A7"/>
    <w:rsid w:val="00CE02FA"/>
    <w:rsid w:val="00CE06C6"/>
    <w:rsid w:val="00CE0A1F"/>
    <w:rsid w:val="00CE325A"/>
    <w:rsid w:val="00CE6034"/>
    <w:rsid w:val="00CE6D6C"/>
    <w:rsid w:val="00CF2937"/>
    <w:rsid w:val="00CF2D0E"/>
    <w:rsid w:val="00CF32EC"/>
    <w:rsid w:val="00CF4CC3"/>
    <w:rsid w:val="00CF58A9"/>
    <w:rsid w:val="00CF6F9D"/>
    <w:rsid w:val="00D008F3"/>
    <w:rsid w:val="00D02EA5"/>
    <w:rsid w:val="00D03731"/>
    <w:rsid w:val="00D04BCD"/>
    <w:rsid w:val="00D04C07"/>
    <w:rsid w:val="00D06DCD"/>
    <w:rsid w:val="00D104B8"/>
    <w:rsid w:val="00D12416"/>
    <w:rsid w:val="00D15AE2"/>
    <w:rsid w:val="00D163D6"/>
    <w:rsid w:val="00D17555"/>
    <w:rsid w:val="00D17B77"/>
    <w:rsid w:val="00D2072B"/>
    <w:rsid w:val="00D20BE2"/>
    <w:rsid w:val="00D21436"/>
    <w:rsid w:val="00D2193E"/>
    <w:rsid w:val="00D22053"/>
    <w:rsid w:val="00D24161"/>
    <w:rsid w:val="00D265E2"/>
    <w:rsid w:val="00D26D58"/>
    <w:rsid w:val="00D30E83"/>
    <w:rsid w:val="00D33227"/>
    <w:rsid w:val="00D344DB"/>
    <w:rsid w:val="00D36428"/>
    <w:rsid w:val="00D407EC"/>
    <w:rsid w:val="00D40EA2"/>
    <w:rsid w:val="00D42C52"/>
    <w:rsid w:val="00D42CB1"/>
    <w:rsid w:val="00D43E02"/>
    <w:rsid w:val="00D443AE"/>
    <w:rsid w:val="00D443DC"/>
    <w:rsid w:val="00D44B76"/>
    <w:rsid w:val="00D44BA3"/>
    <w:rsid w:val="00D470CB"/>
    <w:rsid w:val="00D517DA"/>
    <w:rsid w:val="00D521C1"/>
    <w:rsid w:val="00D54370"/>
    <w:rsid w:val="00D5497C"/>
    <w:rsid w:val="00D57F65"/>
    <w:rsid w:val="00D6051C"/>
    <w:rsid w:val="00D60A0D"/>
    <w:rsid w:val="00D61D7C"/>
    <w:rsid w:val="00D61E6B"/>
    <w:rsid w:val="00D63EE1"/>
    <w:rsid w:val="00D6710C"/>
    <w:rsid w:val="00D67A00"/>
    <w:rsid w:val="00D67B9F"/>
    <w:rsid w:val="00D74262"/>
    <w:rsid w:val="00D74B6F"/>
    <w:rsid w:val="00D74D95"/>
    <w:rsid w:val="00D74DB2"/>
    <w:rsid w:val="00D74E42"/>
    <w:rsid w:val="00D82C16"/>
    <w:rsid w:val="00D8544D"/>
    <w:rsid w:val="00D8565B"/>
    <w:rsid w:val="00D9101A"/>
    <w:rsid w:val="00D91095"/>
    <w:rsid w:val="00D91502"/>
    <w:rsid w:val="00D923C9"/>
    <w:rsid w:val="00D95A3A"/>
    <w:rsid w:val="00D964E1"/>
    <w:rsid w:val="00D965FC"/>
    <w:rsid w:val="00D97CC5"/>
    <w:rsid w:val="00DA068F"/>
    <w:rsid w:val="00DA06F6"/>
    <w:rsid w:val="00DA0BEB"/>
    <w:rsid w:val="00DA0CEC"/>
    <w:rsid w:val="00DA1880"/>
    <w:rsid w:val="00DA5183"/>
    <w:rsid w:val="00DB094F"/>
    <w:rsid w:val="00DB1AF4"/>
    <w:rsid w:val="00DB254E"/>
    <w:rsid w:val="00DB34E9"/>
    <w:rsid w:val="00DB53CE"/>
    <w:rsid w:val="00DC0A5C"/>
    <w:rsid w:val="00DC11FE"/>
    <w:rsid w:val="00DC13D9"/>
    <w:rsid w:val="00DC4976"/>
    <w:rsid w:val="00DC49E2"/>
    <w:rsid w:val="00DD077D"/>
    <w:rsid w:val="00DD0D71"/>
    <w:rsid w:val="00DD0DA0"/>
    <w:rsid w:val="00DD13CC"/>
    <w:rsid w:val="00DD390F"/>
    <w:rsid w:val="00DD78B1"/>
    <w:rsid w:val="00DE0137"/>
    <w:rsid w:val="00DE0B3F"/>
    <w:rsid w:val="00DE33C9"/>
    <w:rsid w:val="00DE3CF2"/>
    <w:rsid w:val="00DE408A"/>
    <w:rsid w:val="00DE5055"/>
    <w:rsid w:val="00DF1439"/>
    <w:rsid w:val="00DF1CAA"/>
    <w:rsid w:val="00DF1FD3"/>
    <w:rsid w:val="00DF453B"/>
    <w:rsid w:val="00DF536D"/>
    <w:rsid w:val="00DF5543"/>
    <w:rsid w:val="00E0013C"/>
    <w:rsid w:val="00E0212E"/>
    <w:rsid w:val="00E034C2"/>
    <w:rsid w:val="00E03882"/>
    <w:rsid w:val="00E05485"/>
    <w:rsid w:val="00E0730F"/>
    <w:rsid w:val="00E0759C"/>
    <w:rsid w:val="00E07D64"/>
    <w:rsid w:val="00E100D7"/>
    <w:rsid w:val="00E120C1"/>
    <w:rsid w:val="00E12457"/>
    <w:rsid w:val="00E12613"/>
    <w:rsid w:val="00E127C6"/>
    <w:rsid w:val="00E13540"/>
    <w:rsid w:val="00E1500D"/>
    <w:rsid w:val="00E150D8"/>
    <w:rsid w:val="00E15CB6"/>
    <w:rsid w:val="00E167C8"/>
    <w:rsid w:val="00E1764B"/>
    <w:rsid w:val="00E22605"/>
    <w:rsid w:val="00E238CE"/>
    <w:rsid w:val="00E23D24"/>
    <w:rsid w:val="00E240E0"/>
    <w:rsid w:val="00E25685"/>
    <w:rsid w:val="00E26988"/>
    <w:rsid w:val="00E27038"/>
    <w:rsid w:val="00E27341"/>
    <w:rsid w:val="00E27618"/>
    <w:rsid w:val="00E30662"/>
    <w:rsid w:val="00E3075F"/>
    <w:rsid w:val="00E332AD"/>
    <w:rsid w:val="00E343F3"/>
    <w:rsid w:val="00E34BDC"/>
    <w:rsid w:val="00E40DBC"/>
    <w:rsid w:val="00E410D1"/>
    <w:rsid w:val="00E412E7"/>
    <w:rsid w:val="00E42E2F"/>
    <w:rsid w:val="00E50852"/>
    <w:rsid w:val="00E522A1"/>
    <w:rsid w:val="00E5499C"/>
    <w:rsid w:val="00E55E4B"/>
    <w:rsid w:val="00E56697"/>
    <w:rsid w:val="00E5748E"/>
    <w:rsid w:val="00E57A58"/>
    <w:rsid w:val="00E63620"/>
    <w:rsid w:val="00E65199"/>
    <w:rsid w:val="00E6710F"/>
    <w:rsid w:val="00E715C1"/>
    <w:rsid w:val="00E71DC5"/>
    <w:rsid w:val="00E722EA"/>
    <w:rsid w:val="00E728CC"/>
    <w:rsid w:val="00E72D35"/>
    <w:rsid w:val="00E74F5B"/>
    <w:rsid w:val="00E759D9"/>
    <w:rsid w:val="00E75DF7"/>
    <w:rsid w:val="00E762D0"/>
    <w:rsid w:val="00E76FEA"/>
    <w:rsid w:val="00E82FDD"/>
    <w:rsid w:val="00E83DC6"/>
    <w:rsid w:val="00E8438F"/>
    <w:rsid w:val="00E866B7"/>
    <w:rsid w:val="00E874DB"/>
    <w:rsid w:val="00E87BAF"/>
    <w:rsid w:val="00E87EE7"/>
    <w:rsid w:val="00E9206C"/>
    <w:rsid w:val="00E957EF"/>
    <w:rsid w:val="00EA0D6A"/>
    <w:rsid w:val="00EA15F1"/>
    <w:rsid w:val="00EA39A2"/>
    <w:rsid w:val="00EA63C1"/>
    <w:rsid w:val="00EA72E4"/>
    <w:rsid w:val="00EB2BEC"/>
    <w:rsid w:val="00EB3521"/>
    <w:rsid w:val="00EB4566"/>
    <w:rsid w:val="00EB45F0"/>
    <w:rsid w:val="00EB6675"/>
    <w:rsid w:val="00EB6890"/>
    <w:rsid w:val="00EB705E"/>
    <w:rsid w:val="00EC15B6"/>
    <w:rsid w:val="00EC176E"/>
    <w:rsid w:val="00EC2B56"/>
    <w:rsid w:val="00EC3794"/>
    <w:rsid w:val="00EC5FFF"/>
    <w:rsid w:val="00ED0BBA"/>
    <w:rsid w:val="00ED0E7E"/>
    <w:rsid w:val="00ED7A2C"/>
    <w:rsid w:val="00EE4EB5"/>
    <w:rsid w:val="00EE6292"/>
    <w:rsid w:val="00EF0D0A"/>
    <w:rsid w:val="00EF2EE8"/>
    <w:rsid w:val="00EF359D"/>
    <w:rsid w:val="00EF6131"/>
    <w:rsid w:val="00EF6614"/>
    <w:rsid w:val="00EF7529"/>
    <w:rsid w:val="00F022B5"/>
    <w:rsid w:val="00F0256D"/>
    <w:rsid w:val="00F02E7C"/>
    <w:rsid w:val="00F03205"/>
    <w:rsid w:val="00F0390A"/>
    <w:rsid w:val="00F03D66"/>
    <w:rsid w:val="00F03E8B"/>
    <w:rsid w:val="00F0668E"/>
    <w:rsid w:val="00F07510"/>
    <w:rsid w:val="00F07C86"/>
    <w:rsid w:val="00F12119"/>
    <w:rsid w:val="00F12DFB"/>
    <w:rsid w:val="00F1585C"/>
    <w:rsid w:val="00F1742D"/>
    <w:rsid w:val="00F17A6A"/>
    <w:rsid w:val="00F21657"/>
    <w:rsid w:val="00F23A8A"/>
    <w:rsid w:val="00F2637C"/>
    <w:rsid w:val="00F27EA6"/>
    <w:rsid w:val="00F30627"/>
    <w:rsid w:val="00F306A3"/>
    <w:rsid w:val="00F30FFD"/>
    <w:rsid w:val="00F318CF"/>
    <w:rsid w:val="00F31A54"/>
    <w:rsid w:val="00F3250C"/>
    <w:rsid w:val="00F32912"/>
    <w:rsid w:val="00F32F99"/>
    <w:rsid w:val="00F33FCA"/>
    <w:rsid w:val="00F3518B"/>
    <w:rsid w:val="00F36587"/>
    <w:rsid w:val="00F36F36"/>
    <w:rsid w:val="00F40B8F"/>
    <w:rsid w:val="00F41349"/>
    <w:rsid w:val="00F44E5A"/>
    <w:rsid w:val="00F46CCA"/>
    <w:rsid w:val="00F47B80"/>
    <w:rsid w:val="00F56A25"/>
    <w:rsid w:val="00F57C89"/>
    <w:rsid w:val="00F60B1A"/>
    <w:rsid w:val="00F60CE4"/>
    <w:rsid w:val="00F61277"/>
    <w:rsid w:val="00F61BC5"/>
    <w:rsid w:val="00F637AB"/>
    <w:rsid w:val="00F7141E"/>
    <w:rsid w:val="00F72514"/>
    <w:rsid w:val="00F73136"/>
    <w:rsid w:val="00F7489E"/>
    <w:rsid w:val="00F75B6F"/>
    <w:rsid w:val="00F76D91"/>
    <w:rsid w:val="00F77B28"/>
    <w:rsid w:val="00F77C7A"/>
    <w:rsid w:val="00F8015C"/>
    <w:rsid w:val="00F815AF"/>
    <w:rsid w:val="00F81DD5"/>
    <w:rsid w:val="00F83B1E"/>
    <w:rsid w:val="00F83F8D"/>
    <w:rsid w:val="00F85478"/>
    <w:rsid w:val="00F859F9"/>
    <w:rsid w:val="00F86AC0"/>
    <w:rsid w:val="00F87169"/>
    <w:rsid w:val="00F906E0"/>
    <w:rsid w:val="00F90A6F"/>
    <w:rsid w:val="00F90B9F"/>
    <w:rsid w:val="00F91E38"/>
    <w:rsid w:val="00F9292E"/>
    <w:rsid w:val="00F92F4C"/>
    <w:rsid w:val="00F93CB0"/>
    <w:rsid w:val="00F94A37"/>
    <w:rsid w:val="00FA1E80"/>
    <w:rsid w:val="00FA7939"/>
    <w:rsid w:val="00FB6CE3"/>
    <w:rsid w:val="00FC26C1"/>
    <w:rsid w:val="00FC3962"/>
    <w:rsid w:val="00FC3F52"/>
    <w:rsid w:val="00FC69FA"/>
    <w:rsid w:val="00FC6B90"/>
    <w:rsid w:val="00FC7142"/>
    <w:rsid w:val="00FD0C5A"/>
    <w:rsid w:val="00FD2159"/>
    <w:rsid w:val="00FD3174"/>
    <w:rsid w:val="00FD4970"/>
    <w:rsid w:val="00FD56B1"/>
    <w:rsid w:val="00FE06B5"/>
    <w:rsid w:val="00FE1E33"/>
    <w:rsid w:val="00FE39FD"/>
    <w:rsid w:val="00FE410F"/>
    <w:rsid w:val="00FE48EF"/>
    <w:rsid w:val="00FE51D7"/>
    <w:rsid w:val="00FE6499"/>
    <w:rsid w:val="00FE6A41"/>
    <w:rsid w:val="00FE6B72"/>
    <w:rsid w:val="00FF18A9"/>
    <w:rsid w:val="00FF1DF7"/>
    <w:rsid w:val="00FF4293"/>
    <w:rsid w:val="00FF4471"/>
    <w:rsid w:val="00FF5C2F"/>
    <w:rsid w:val="00FF6E39"/>
    <w:rsid w:val="00FF7D29"/>
    <w:rsid w:val="02706641"/>
    <w:rsid w:val="02E31AFE"/>
    <w:rsid w:val="0464BC29"/>
    <w:rsid w:val="047EEB5F"/>
    <w:rsid w:val="06A945F4"/>
    <w:rsid w:val="0907E085"/>
    <w:rsid w:val="09F76FEA"/>
    <w:rsid w:val="0F4C879C"/>
    <w:rsid w:val="125AE629"/>
    <w:rsid w:val="138EF060"/>
    <w:rsid w:val="150ADE83"/>
    <w:rsid w:val="15FD9E44"/>
    <w:rsid w:val="161CE22C"/>
    <w:rsid w:val="164525FD"/>
    <w:rsid w:val="17D7D02C"/>
    <w:rsid w:val="18A74A81"/>
    <w:rsid w:val="1A431AE2"/>
    <w:rsid w:val="1DBFE564"/>
    <w:rsid w:val="1F168C05"/>
    <w:rsid w:val="1F953359"/>
    <w:rsid w:val="213103BA"/>
    <w:rsid w:val="224C3489"/>
    <w:rsid w:val="2812C22D"/>
    <w:rsid w:val="2A8DB09C"/>
    <w:rsid w:val="2AEEB07D"/>
    <w:rsid w:val="2D43DF66"/>
    <w:rsid w:val="2DA8507D"/>
    <w:rsid w:val="32A0FD23"/>
    <w:rsid w:val="340D7565"/>
    <w:rsid w:val="36A28D4C"/>
    <w:rsid w:val="383E5DAD"/>
    <w:rsid w:val="387097C4"/>
    <w:rsid w:val="39DA2E0E"/>
    <w:rsid w:val="39F3566B"/>
    <w:rsid w:val="3BC39B7C"/>
    <w:rsid w:val="3D11CED0"/>
    <w:rsid w:val="3EAD9F31"/>
    <w:rsid w:val="3F2FA084"/>
    <w:rsid w:val="40CB70E5"/>
    <w:rsid w:val="418FD876"/>
    <w:rsid w:val="41A87227"/>
    <w:rsid w:val="41CB1061"/>
    <w:rsid w:val="45702676"/>
    <w:rsid w:val="473AB269"/>
    <w:rsid w:val="4800D644"/>
    <w:rsid w:val="4B1D925F"/>
    <w:rsid w:val="4C8C78A1"/>
    <w:rsid w:val="4CDC4287"/>
    <w:rsid w:val="4D78AAE5"/>
    <w:rsid w:val="4D97EECD"/>
    <w:rsid w:val="54EA0B2E"/>
    <w:rsid w:val="56667ACB"/>
    <w:rsid w:val="59A5B8BB"/>
    <w:rsid w:val="59C169AD"/>
    <w:rsid w:val="59E3890F"/>
    <w:rsid w:val="5CFEE1EC"/>
    <w:rsid w:val="5DF49D1D"/>
    <w:rsid w:val="5E9AB24D"/>
    <w:rsid w:val="606F5FCE"/>
    <w:rsid w:val="6255FF8E"/>
    <w:rsid w:val="6350318B"/>
    <w:rsid w:val="64B780B1"/>
    <w:rsid w:val="69635127"/>
    <w:rsid w:val="6D977DBB"/>
    <w:rsid w:val="6E36C24A"/>
    <w:rsid w:val="6E703FDE"/>
    <w:rsid w:val="6EBABBDB"/>
    <w:rsid w:val="70FACDDB"/>
    <w:rsid w:val="716E630C"/>
    <w:rsid w:val="72E162F8"/>
    <w:rsid w:val="73020612"/>
    <w:rsid w:val="75979895"/>
    <w:rsid w:val="772A42C4"/>
    <w:rsid w:val="77B4C44C"/>
    <w:rsid w:val="7E5D860C"/>
    <w:rsid w:val="7E6A92FE"/>
    <w:rsid w:val="7F482F69"/>
    <w:rsid w:val="7FACC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87794"/>
  <w15:chartTrackingRefBased/>
  <w15:docId w15:val="{26E4FE84-9E7D-4BEA-A4FF-CE2B7AD21D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B53C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link w:val="Heading4Char"/>
    <w:uiPriority w:val="9"/>
    <w:qFormat/>
    <w:rsid w:val="009D3BF0"/>
    <w:pPr>
      <w:spacing w:before="100" w:beforeAutospacing="1" w:after="100" w:afterAutospacing="1" w:line="240" w:lineRule="auto"/>
      <w:outlineLvl w:val="3"/>
    </w:pPr>
    <w:rPr>
      <w:rFonts w:ascii="Times New Roman" w:hAnsi="Times New Roman" w:eastAsia="Times New Roman" w:cs="Times New Roman"/>
      <w:b/>
      <w:bCs/>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B192C"/>
    <w:rPr>
      <w:color w:val="0000FF"/>
      <w:u w:val="single"/>
    </w:rPr>
  </w:style>
  <w:style w:type="paragraph" w:styleId="NormalWeb">
    <w:name w:val="Normal (Web)"/>
    <w:basedOn w:val="Normal"/>
    <w:uiPriority w:val="99"/>
    <w:unhideWhenUsed/>
    <w:rsid w:val="00B55C0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B51A73"/>
    <w:pPr>
      <w:ind w:left="720"/>
      <w:contextualSpacing/>
    </w:pPr>
  </w:style>
  <w:style w:type="paragraph" w:styleId="Header">
    <w:name w:val="header"/>
    <w:basedOn w:val="Normal"/>
    <w:link w:val="HeaderChar"/>
    <w:uiPriority w:val="99"/>
    <w:unhideWhenUsed/>
    <w:rsid w:val="000C7D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0C7D9B"/>
  </w:style>
  <w:style w:type="paragraph" w:styleId="Footer">
    <w:name w:val="footer"/>
    <w:basedOn w:val="Normal"/>
    <w:link w:val="FooterChar"/>
    <w:uiPriority w:val="99"/>
    <w:unhideWhenUsed/>
    <w:rsid w:val="000C7D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0C7D9B"/>
  </w:style>
  <w:style w:type="paragraph" w:styleId="NoSpacing">
    <w:name w:val="No Spacing"/>
    <w:uiPriority w:val="1"/>
    <w:qFormat/>
    <w:rsid w:val="008F1FEF"/>
    <w:pPr>
      <w:spacing w:after="0" w:line="240" w:lineRule="auto"/>
    </w:pPr>
  </w:style>
  <w:style w:type="character" w:styleId="UnresolvedMention">
    <w:name w:val="Unresolved Mention"/>
    <w:basedOn w:val="DefaultParagraphFont"/>
    <w:uiPriority w:val="99"/>
    <w:semiHidden/>
    <w:unhideWhenUsed/>
    <w:rsid w:val="00F12119"/>
    <w:rPr>
      <w:color w:val="605E5C"/>
      <w:shd w:val="clear" w:color="auto" w:fill="E1DFDD"/>
    </w:rPr>
  </w:style>
  <w:style w:type="paragraph" w:styleId="Default" w:customStyle="1">
    <w:name w:val="Default"/>
    <w:rsid w:val="00DA068F"/>
    <w:pPr>
      <w:autoSpaceDE w:val="0"/>
      <w:autoSpaceDN w:val="0"/>
      <w:adjustRightInd w:val="0"/>
      <w:spacing w:after="0" w:line="240" w:lineRule="auto"/>
    </w:pPr>
    <w:rPr>
      <w:rFonts w:ascii="Arial" w:hAnsi="Arial" w:cs="Arial"/>
      <w:color w:val="000000"/>
      <w:sz w:val="24"/>
      <w:szCs w:val="24"/>
    </w:rPr>
  </w:style>
  <w:style w:type="character" w:styleId="normaltextrun" w:customStyle="1">
    <w:name w:val="normaltextrun"/>
    <w:basedOn w:val="DefaultParagraphFont"/>
    <w:rsid w:val="007F50EA"/>
  </w:style>
  <w:style w:type="table" w:styleId="TableGrid">
    <w:name w:val="Table Grid"/>
    <w:basedOn w:val="TableNormal"/>
    <w:uiPriority w:val="39"/>
    <w:rsid w:val="005A1A8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C2521A"/>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C2521A"/>
  </w:style>
  <w:style w:type="character" w:styleId="CommentReference">
    <w:name w:val="annotation reference"/>
    <w:basedOn w:val="DefaultParagraphFont"/>
    <w:uiPriority w:val="99"/>
    <w:semiHidden/>
    <w:unhideWhenUsed/>
    <w:rsid w:val="00D95A3A"/>
    <w:rPr>
      <w:sz w:val="16"/>
      <w:szCs w:val="16"/>
    </w:rPr>
  </w:style>
  <w:style w:type="paragraph" w:styleId="CommentText">
    <w:name w:val="annotation text"/>
    <w:basedOn w:val="Normal"/>
    <w:link w:val="CommentTextChar"/>
    <w:uiPriority w:val="99"/>
    <w:semiHidden/>
    <w:unhideWhenUsed/>
    <w:rsid w:val="00D95A3A"/>
    <w:pPr>
      <w:spacing w:line="240" w:lineRule="auto"/>
    </w:pPr>
    <w:rPr>
      <w:sz w:val="20"/>
      <w:szCs w:val="20"/>
    </w:rPr>
  </w:style>
  <w:style w:type="character" w:styleId="CommentTextChar" w:customStyle="1">
    <w:name w:val="Comment Text Char"/>
    <w:basedOn w:val="DefaultParagraphFont"/>
    <w:link w:val="CommentText"/>
    <w:uiPriority w:val="99"/>
    <w:semiHidden/>
    <w:rsid w:val="00D95A3A"/>
    <w:rPr>
      <w:sz w:val="20"/>
      <w:szCs w:val="20"/>
    </w:rPr>
  </w:style>
  <w:style w:type="paragraph" w:styleId="CommentSubject">
    <w:name w:val="annotation subject"/>
    <w:basedOn w:val="CommentText"/>
    <w:next w:val="CommentText"/>
    <w:link w:val="CommentSubjectChar"/>
    <w:uiPriority w:val="99"/>
    <w:semiHidden/>
    <w:unhideWhenUsed/>
    <w:rsid w:val="00D95A3A"/>
    <w:rPr>
      <w:b/>
      <w:bCs/>
    </w:rPr>
  </w:style>
  <w:style w:type="character" w:styleId="CommentSubjectChar" w:customStyle="1">
    <w:name w:val="Comment Subject Char"/>
    <w:basedOn w:val="CommentTextChar"/>
    <w:link w:val="CommentSubject"/>
    <w:uiPriority w:val="99"/>
    <w:semiHidden/>
    <w:rsid w:val="00D95A3A"/>
    <w:rPr>
      <w:b/>
      <w:bCs/>
      <w:sz w:val="20"/>
      <w:szCs w:val="20"/>
    </w:rPr>
  </w:style>
  <w:style w:type="character" w:styleId="Heading4Char" w:customStyle="1">
    <w:name w:val="Heading 4 Char"/>
    <w:basedOn w:val="DefaultParagraphFont"/>
    <w:link w:val="Heading4"/>
    <w:uiPriority w:val="9"/>
    <w:rsid w:val="009D3BF0"/>
    <w:rPr>
      <w:rFonts w:ascii="Times New Roman" w:hAnsi="Times New Roman" w:eastAsia="Times New Roman" w:cs="Times New Roman"/>
      <w:b/>
      <w:bCs/>
      <w:sz w:val="24"/>
      <w:szCs w:val="24"/>
      <w:lang w:eastAsia="en-GB"/>
    </w:rPr>
  </w:style>
  <w:style w:type="character" w:styleId="Heading1Char" w:customStyle="1">
    <w:name w:val="Heading 1 Char"/>
    <w:basedOn w:val="DefaultParagraphFont"/>
    <w:link w:val="Heading1"/>
    <w:uiPriority w:val="9"/>
    <w:rsid w:val="00DB53CE"/>
    <w:rPr>
      <w:rFonts w:asciiTheme="majorHAnsi" w:hAnsiTheme="majorHAnsi" w:eastAsiaTheme="majorEastAsia" w:cstheme="majorBidi"/>
      <w:color w:val="2F5496" w:themeColor="accent1" w:themeShade="BF"/>
      <w:sz w:val="32"/>
      <w:szCs w:val="32"/>
    </w:rPr>
  </w:style>
  <w:style w:type="character" w:styleId="FollowedHyperlink">
    <w:name w:val="FollowedHyperlink"/>
    <w:basedOn w:val="DefaultParagraphFont"/>
    <w:uiPriority w:val="99"/>
    <w:semiHidden/>
    <w:unhideWhenUsed/>
    <w:rsid w:val="007939DA"/>
    <w:rPr>
      <w:color w:val="954F72" w:themeColor="followedHyperlink"/>
      <w:u w:val="single"/>
    </w:rPr>
  </w:style>
  <w:style w:type="paragraph" w:styleId="FootnoteText">
    <w:name w:val="footnote text"/>
    <w:basedOn w:val="Normal"/>
    <w:link w:val="FootnoteTextChar"/>
    <w:uiPriority w:val="99"/>
    <w:semiHidden/>
    <w:unhideWhenUsed/>
    <w:rsid w:val="0096076B"/>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6076B"/>
    <w:rPr>
      <w:sz w:val="20"/>
      <w:szCs w:val="20"/>
    </w:rPr>
  </w:style>
  <w:style w:type="character" w:styleId="FootnoteReference">
    <w:name w:val="footnote reference"/>
    <w:basedOn w:val="DefaultParagraphFont"/>
    <w:uiPriority w:val="99"/>
    <w:semiHidden/>
    <w:unhideWhenUsed/>
    <w:rsid w:val="0096076B"/>
    <w:rPr>
      <w:vertAlign w:val="superscript"/>
    </w:rPr>
  </w:style>
  <w:style w:type="paragraph" w:styleId="TOC1">
    <w:name w:val="toc 1"/>
    <w:basedOn w:val="Normal"/>
    <w:next w:val="Normal"/>
    <w:autoRedefine/>
    <w:uiPriority w:val="39"/>
    <w:unhideWhenUsed/>
    <w:rsid w:val="00793655"/>
    <w:pPr>
      <w:spacing w:before="120" w:after="0"/>
    </w:pPr>
    <w:rPr>
      <w:rFonts w:cstheme="minorHAnsi"/>
      <w:b/>
      <w:bCs/>
      <w:i/>
      <w:iCs/>
      <w:sz w:val="24"/>
      <w:szCs w:val="24"/>
    </w:rPr>
  </w:style>
  <w:style w:type="character" w:styleId="ListParagraphChar" w:customStyle="1">
    <w:name w:val="List Paragraph Char"/>
    <w:aliases w:val="Dot pt Char,No Spacing1 Char,List Paragraph Char Char Char Char,Indicator Text Char,Numbered Para 1 Char,Bullet 1 Char,List Paragraph1 Char,F5 List Paragraph Char,Bullet Points Char,List Paragraph11 Char,MAIN CONTENT Char,L Char"/>
    <w:link w:val="ListParagraph"/>
    <w:uiPriority w:val="34"/>
    <w:qFormat/>
    <w:locked/>
    <w:rsid w:val="00793655"/>
  </w:style>
  <w:style w:type="paragraph" w:styleId="TOCHeading">
    <w:name w:val="TOC Heading"/>
    <w:basedOn w:val="Heading1"/>
    <w:next w:val="Normal"/>
    <w:uiPriority w:val="39"/>
    <w:unhideWhenUsed/>
    <w:qFormat/>
    <w:rsid w:val="00793655"/>
    <w:pPr>
      <w:spacing w:before="120" w:after="120" w:line="240" w:lineRule="auto"/>
      <w:outlineLvl w:val="9"/>
    </w:pPr>
    <w:rPr>
      <w:rFonts w:cs="Calibri"/>
      <w:b/>
      <w:bCs/>
      <w:szCs w:val="24"/>
      <w:lang w:val="en-US"/>
    </w:rPr>
  </w:style>
  <w:style w:type="paragraph" w:styleId="TOC2">
    <w:name w:val="toc 2"/>
    <w:basedOn w:val="Normal"/>
    <w:next w:val="Normal"/>
    <w:autoRedefine/>
    <w:uiPriority w:val="39"/>
    <w:semiHidden/>
    <w:unhideWhenUsed/>
    <w:rsid w:val="003F0BA3"/>
    <w:pPr>
      <w:spacing w:before="120" w:after="0"/>
      <w:ind w:left="220"/>
    </w:pPr>
    <w:rPr>
      <w:rFonts w:cstheme="minorHAnsi"/>
      <w:b/>
      <w:bCs/>
    </w:rPr>
  </w:style>
  <w:style w:type="paragraph" w:styleId="TOC3">
    <w:name w:val="toc 3"/>
    <w:basedOn w:val="Normal"/>
    <w:next w:val="Normal"/>
    <w:autoRedefine/>
    <w:uiPriority w:val="39"/>
    <w:semiHidden/>
    <w:unhideWhenUsed/>
    <w:rsid w:val="003F0BA3"/>
    <w:pPr>
      <w:spacing w:after="0"/>
      <w:ind w:left="440"/>
    </w:pPr>
    <w:rPr>
      <w:rFonts w:cstheme="minorHAnsi"/>
      <w:sz w:val="20"/>
      <w:szCs w:val="20"/>
    </w:rPr>
  </w:style>
  <w:style w:type="paragraph" w:styleId="TOC4">
    <w:name w:val="toc 4"/>
    <w:basedOn w:val="Normal"/>
    <w:next w:val="Normal"/>
    <w:autoRedefine/>
    <w:uiPriority w:val="39"/>
    <w:semiHidden/>
    <w:unhideWhenUsed/>
    <w:rsid w:val="003F0BA3"/>
    <w:pPr>
      <w:spacing w:after="0"/>
      <w:ind w:left="660"/>
    </w:pPr>
    <w:rPr>
      <w:rFonts w:cstheme="minorHAnsi"/>
      <w:sz w:val="20"/>
      <w:szCs w:val="20"/>
    </w:rPr>
  </w:style>
  <w:style w:type="paragraph" w:styleId="TOC5">
    <w:name w:val="toc 5"/>
    <w:basedOn w:val="Normal"/>
    <w:next w:val="Normal"/>
    <w:autoRedefine/>
    <w:uiPriority w:val="39"/>
    <w:semiHidden/>
    <w:unhideWhenUsed/>
    <w:rsid w:val="003F0BA3"/>
    <w:pPr>
      <w:spacing w:after="0"/>
      <w:ind w:left="880"/>
    </w:pPr>
    <w:rPr>
      <w:rFonts w:cstheme="minorHAnsi"/>
      <w:sz w:val="20"/>
      <w:szCs w:val="20"/>
    </w:rPr>
  </w:style>
  <w:style w:type="paragraph" w:styleId="TOC6">
    <w:name w:val="toc 6"/>
    <w:basedOn w:val="Normal"/>
    <w:next w:val="Normal"/>
    <w:autoRedefine/>
    <w:uiPriority w:val="39"/>
    <w:semiHidden/>
    <w:unhideWhenUsed/>
    <w:rsid w:val="003F0BA3"/>
    <w:pPr>
      <w:spacing w:after="0"/>
      <w:ind w:left="1100"/>
    </w:pPr>
    <w:rPr>
      <w:rFonts w:cstheme="minorHAnsi"/>
      <w:sz w:val="20"/>
      <w:szCs w:val="20"/>
    </w:rPr>
  </w:style>
  <w:style w:type="paragraph" w:styleId="TOC7">
    <w:name w:val="toc 7"/>
    <w:basedOn w:val="Normal"/>
    <w:next w:val="Normal"/>
    <w:autoRedefine/>
    <w:uiPriority w:val="39"/>
    <w:semiHidden/>
    <w:unhideWhenUsed/>
    <w:rsid w:val="003F0BA3"/>
    <w:pPr>
      <w:spacing w:after="0"/>
      <w:ind w:left="1320"/>
    </w:pPr>
    <w:rPr>
      <w:rFonts w:cstheme="minorHAnsi"/>
      <w:sz w:val="20"/>
      <w:szCs w:val="20"/>
    </w:rPr>
  </w:style>
  <w:style w:type="paragraph" w:styleId="TOC8">
    <w:name w:val="toc 8"/>
    <w:basedOn w:val="Normal"/>
    <w:next w:val="Normal"/>
    <w:autoRedefine/>
    <w:uiPriority w:val="39"/>
    <w:semiHidden/>
    <w:unhideWhenUsed/>
    <w:rsid w:val="003F0BA3"/>
    <w:pPr>
      <w:spacing w:after="0"/>
      <w:ind w:left="1540"/>
    </w:pPr>
    <w:rPr>
      <w:rFonts w:cstheme="minorHAnsi"/>
      <w:sz w:val="20"/>
      <w:szCs w:val="20"/>
    </w:rPr>
  </w:style>
  <w:style w:type="paragraph" w:styleId="TOC9">
    <w:name w:val="toc 9"/>
    <w:basedOn w:val="Normal"/>
    <w:next w:val="Normal"/>
    <w:autoRedefine/>
    <w:uiPriority w:val="39"/>
    <w:semiHidden/>
    <w:unhideWhenUsed/>
    <w:rsid w:val="003F0BA3"/>
    <w:pPr>
      <w:spacing w:after="0"/>
      <w:ind w:left="1760"/>
    </w:pPr>
    <w:rPr>
      <w:rFonts w:cstheme="minorHAnsi"/>
      <w:sz w:val="20"/>
      <w:szCs w:val="20"/>
    </w:rPr>
  </w:style>
  <w:style w:type="character" w:styleId="PageNumber">
    <w:name w:val="page number"/>
    <w:basedOn w:val="DefaultParagraphFont"/>
    <w:uiPriority w:val="99"/>
    <w:semiHidden/>
    <w:unhideWhenUsed/>
    <w:rsid w:val="003F0BA3"/>
  </w:style>
  <w:style w:type="paragraph" w:styleId="Caption">
    <w:name w:val="caption"/>
    <w:basedOn w:val="Normal"/>
    <w:next w:val="Normal"/>
    <w:uiPriority w:val="35"/>
    <w:unhideWhenUsed/>
    <w:qFormat/>
    <w:rsid w:val="00E42E2F"/>
    <w:pPr>
      <w:spacing w:after="200" w:line="240" w:lineRule="auto"/>
    </w:pPr>
    <w:rPr>
      <w:i/>
      <w:iCs/>
      <w:color w:val="44546A" w:themeColor="text2"/>
      <w:sz w:val="18"/>
      <w:szCs w:val="18"/>
    </w:rPr>
  </w:style>
  <w:style w:type="paragraph" w:styleId="Revision">
    <w:name w:val="Revision"/>
    <w:hidden/>
    <w:uiPriority w:val="99"/>
    <w:semiHidden/>
    <w:rsid w:val="0096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5535">
      <w:bodyDiv w:val="1"/>
      <w:marLeft w:val="0"/>
      <w:marRight w:val="0"/>
      <w:marTop w:val="0"/>
      <w:marBottom w:val="0"/>
      <w:divBdr>
        <w:top w:val="none" w:sz="0" w:space="0" w:color="auto"/>
        <w:left w:val="none" w:sz="0" w:space="0" w:color="auto"/>
        <w:bottom w:val="none" w:sz="0" w:space="0" w:color="auto"/>
        <w:right w:val="none" w:sz="0" w:space="0" w:color="auto"/>
      </w:divBdr>
    </w:div>
    <w:div w:id="106168435">
      <w:bodyDiv w:val="1"/>
      <w:marLeft w:val="0"/>
      <w:marRight w:val="0"/>
      <w:marTop w:val="0"/>
      <w:marBottom w:val="0"/>
      <w:divBdr>
        <w:top w:val="none" w:sz="0" w:space="0" w:color="auto"/>
        <w:left w:val="none" w:sz="0" w:space="0" w:color="auto"/>
        <w:bottom w:val="none" w:sz="0" w:space="0" w:color="auto"/>
        <w:right w:val="none" w:sz="0" w:space="0" w:color="auto"/>
      </w:divBdr>
    </w:div>
    <w:div w:id="301693425">
      <w:bodyDiv w:val="1"/>
      <w:marLeft w:val="0"/>
      <w:marRight w:val="0"/>
      <w:marTop w:val="0"/>
      <w:marBottom w:val="0"/>
      <w:divBdr>
        <w:top w:val="none" w:sz="0" w:space="0" w:color="auto"/>
        <w:left w:val="none" w:sz="0" w:space="0" w:color="auto"/>
        <w:bottom w:val="none" w:sz="0" w:space="0" w:color="auto"/>
        <w:right w:val="none" w:sz="0" w:space="0" w:color="auto"/>
      </w:divBdr>
    </w:div>
    <w:div w:id="382101665">
      <w:bodyDiv w:val="1"/>
      <w:marLeft w:val="0"/>
      <w:marRight w:val="0"/>
      <w:marTop w:val="0"/>
      <w:marBottom w:val="0"/>
      <w:divBdr>
        <w:top w:val="none" w:sz="0" w:space="0" w:color="auto"/>
        <w:left w:val="none" w:sz="0" w:space="0" w:color="auto"/>
        <w:bottom w:val="none" w:sz="0" w:space="0" w:color="auto"/>
        <w:right w:val="none" w:sz="0" w:space="0" w:color="auto"/>
      </w:divBdr>
    </w:div>
    <w:div w:id="610088837">
      <w:bodyDiv w:val="1"/>
      <w:marLeft w:val="0"/>
      <w:marRight w:val="0"/>
      <w:marTop w:val="0"/>
      <w:marBottom w:val="0"/>
      <w:divBdr>
        <w:top w:val="none" w:sz="0" w:space="0" w:color="auto"/>
        <w:left w:val="none" w:sz="0" w:space="0" w:color="auto"/>
        <w:bottom w:val="none" w:sz="0" w:space="0" w:color="auto"/>
        <w:right w:val="none" w:sz="0" w:space="0" w:color="auto"/>
      </w:divBdr>
    </w:div>
    <w:div w:id="676690102">
      <w:bodyDiv w:val="1"/>
      <w:marLeft w:val="0"/>
      <w:marRight w:val="0"/>
      <w:marTop w:val="0"/>
      <w:marBottom w:val="0"/>
      <w:divBdr>
        <w:top w:val="none" w:sz="0" w:space="0" w:color="auto"/>
        <w:left w:val="none" w:sz="0" w:space="0" w:color="auto"/>
        <w:bottom w:val="none" w:sz="0" w:space="0" w:color="auto"/>
        <w:right w:val="none" w:sz="0" w:space="0" w:color="auto"/>
      </w:divBdr>
    </w:div>
    <w:div w:id="807742374">
      <w:bodyDiv w:val="1"/>
      <w:marLeft w:val="0"/>
      <w:marRight w:val="0"/>
      <w:marTop w:val="0"/>
      <w:marBottom w:val="0"/>
      <w:divBdr>
        <w:top w:val="none" w:sz="0" w:space="0" w:color="auto"/>
        <w:left w:val="none" w:sz="0" w:space="0" w:color="auto"/>
        <w:bottom w:val="none" w:sz="0" w:space="0" w:color="auto"/>
        <w:right w:val="none" w:sz="0" w:space="0" w:color="auto"/>
      </w:divBdr>
    </w:div>
    <w:div w:id="953250823">
      <w:bodyDiv w:val="1"/>
      <w:marLeft w:val="0"/>
      <w:marRight w:val="0"/>
      <w:marTop w:val="0"/>
      <w:marBottom w:val="0"/>
      <w:divBdr>
        <w:top w:val="none" w:sz="0" w:space="0" w:color="auto"/>
        <w:left w:val="none" w:sz="0" w:space="0" w:color="auto"/>
        <w:bottom w:val="none" w:sz="0" w:space="0" w:color="auto"/>
        <w:right w:val="none" w:sz="0" w:space="0" w:color="auto"/>
      </w:divBdr>
    </w:div>
    <w:div w:id="982664443">
      <w:bodyDiv w:val="1"/>
      <w:marLeft w:val="0"/>
      <w:marRight w:val="0"/>
      <w:marTop w:val="0"/>
      <w:marBottom w:val="0"/>
      <w:divBdr>
        <w:top w:val="none" w:sz="0" w:space="0" w:color="auto"/>
        <w:left w:val="none" w:sz="0" w:space="0" w:color="auto"/>
        <w:bottom w:val="none" w:sz="0" w:space="0" w:color="auto"/>
        <w:right w:val="none" w:sz="0" w:space="0" w:color="auto"/>
      </w:divBdr>
    </w:div>
    <w:div w:id="1050686450">
      <w:bodyDiv w:val="1"/>
      <w:marLeft w:val="0"/>
      <w:marRight w:val="0"/>
      <w:marTop w:val="0"/>
      <w:marBottom w:val="0"/>
      <w:divBdr>
        <w:top w:val="none" w:sz="0" w:space="0" w:color="auto"/>
        <w:left w:val="none" w:sz="0" w:space="0" w:color="auto"/>
        <w:bottom w:val="none" w:sz="0" w:space="0" w:color="auto"/>
        <w:right w:val="none" w:sz="0" w:space="0" w:color="auto"/>
      </w:divBdr>
    </w:div>
    <w:div w:id="1187136131">
      <w:bodyDiv w:val="1"/>
      <w:marLeft w:val="0"/>
      <w:marRight w:val="0"/>
      <w:marTop w:val="0"/>
      <w:marBottom w:val="0"/>
      <w:divBdr>
        <w:top w:val="none" w:sz="0" w:space="0" w:color="auto"/>
        <w:left w:val="none" w:sz="0" w:space="0" w:color="auto"/>
        <w:bottom w:val="none" w:sz="0" w:space="0" w:color="auto"/>
        <w:right w:val="none" w:sz="0" w:space="0" w:color="auto"/>
      </w:divBdr>
    </w:div>
    <w:div w:id="1210452909">
      <w:bodyDiv w:val="1"/>
      <w:marLeft w:val="0"/>
      <w:marRight w:val="0"/>
      <w:marTop w:val="0"/>
      <w:marBottom w:val="0"/>
      <w:divBdr>
        <w:top w:val="none" w:sz="0" w:space="0" w:color="auto"/>
        <w:left w:val="none" w:sz="0" w:space="0" w:color="auto"/>
        <w:bottom w:val="none" w:sz="0" w:space="0" w:color="auto"/>
        <w:right w:val="none" w:sz="0" w:space="0" w:color="auto"/>
      </w:divBdr>
      <w:divsChild>
        <w:div w:id="113453254">
          <w:marLeft w:val="0"/>
          <w:marRight w:val="0"/>
          <w:marTop w:val="0"/>
          <w:marBottom w:val="120"/>
          <w:divBdr>
            <w:top w:val="none" w:sz="0" w:space="0" w:color="auto"/>
            <w:left w:val="none" w:sz="0" w:space="0" w:color="auto"/>
            <w:bottom w:val="none" w:sz="0" w:space="0" w:color="auto"/>
            <w:right w:val="none" w:sz="0" w:space="0" w:color="auto"/>
          </w:divBdr>
          <w:divsChild>
            <w:div w:id="1896811641">
              <w:marLeft w:val="0"/>
              <w:marRight w:val="0"/>
              <w:marTop w:val="0"/>
              <w:marBottom w:val="0"/>
              <w:divBdr>
                <w:top w:val="none" w:sz="0" w:space="0" w:color="auto"/>
                <w:left w:val="none" w:sz="0" w:space="0" w:color="auto"/>
                <w:bottom w:val="none" w:sz="0" w:space="0" w:color="auto"/>
                <w:right w:val="none" w:sz="0" w:space="0" w:color="auto"/>
              </w:divBdr>
            </w:div>
          </w:divsChild>
        </w:div>
        <w:div w:id="679896323">
          <w:marLeft w:val="0"/>
          <w:marRight w:val="0"/>
          <w:marTop w:val="0"/>
          <w:marBottom w:val="120"/>
          <w:divBdr>
            <w:top w:val="none" w:sz="0" w:space="0" w:color="auto"/>
            <w:left w:val="none" w:sz="0" w:space="0" w:color="auto"/>
            <w:bottom w:val="none" w:sz="0" w:space="0" w:color="auto"/>
            <w:right w:val="none" w:sz="0" w:space="0" w:color="auto"/>
          </w:divBdr>
          <w:divsChild>
            <w:div w:id="13171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5658">
      <w:bodyDiv w:val="1"/>
      <w:marLeft w:val="0"/>
      <w:marRight w:val="0"/>
      <w:marTop w:val="0"/>
      <w:marBottom w:val="0"/>
      <w:divBdr>
        <w:top w:val="none" w:sz="0" w:space="0" w:color="auto"/>
        <w:left w:val="none" w:sz="0" w:space="0" w:color="auto"/>
        <w:bottom w:val="none" w:sz="0" w:space="0" w:color="auto"/>
        <w:right w:val="none" w:sz="0" w:space="0" w:color="auto"/>
      </w:divBdr>
    </w:div>
    <w:div w:id="1368020200">
      <w:bodyDiv w:val="1"/>
      <w:marLeft w:val="0"/>
      <w:marRight w:val="0"/>
      <w:marTop w:val="0"/>
      <w:marBottom w:val="0"/>
      <w:divBdr>
        <w:top w:val="none" w:sz="0" w:space="0" w:color="auto"/>
        <w:left w:val="none" w:sz="0" w:space="0" w:color="auto"/>
        <w:bottom w:val="none" w:sz="0" w:space="0" w:color="auto"/>
        <w:right w:val="none" w:sz="0" w:space="0" w:color="auto"/>
      </w:divBdr>
    </w:div>
    <w:div w:id="1506359935">
      <w:bodyDiv w:val="1"/>
      <w:marLeft w:val="0"/>
      <w:marRight w:val="0"/>
      <w:marTop w:val="0"/>
      <w:marBottom w:val="0"/>
      <w:divBdr>
        <w:top w:val="none" w:sz="0" w:space="0" w:color="auto"/>
        <w:left w:val="none" w:sz="0" w:space="0" w:color="auto"/>
        <w:bottom w:val="none" w:sz="0" w:space="0" w:color="auto"/>
        <w:right w:val="none" w:sz="0" w:space="0" w:color="auto"/>
      </w:divBdr>
      <w:divsChild>
        <w:div w:id="155922798">
          <w:marLeft w:val="0"/>
          <w:marRight w:val="0"/>
          <w:marTop w:val="0"/>
          <w:marBottom w:val="0"/>
          <w:divBdr>
            <w:top w:val="none" w:sz="0" w:space="0" w:color="auto"/>
            <w:left w:val="none" w:sz="0" w:space="0" w:color="auto"/>
            <w:bottom w:val="none" w:sz="0" w:space="0" w:color="auto"/>
            <w:right w:val="none" w:sz="0" w:space="0" w:color="auto"/>
          </w:divBdr>
          <w:divsChild>
            <w:div w:id="1615289601">
              <w:marLeft w:val="0"/>
              <w:marRight w:val="0"/>
              <w:marTop w:val="0"/>
              <w:marBottom w:val="0"/>
              <w:divBdr>
                <w:top w:val="none" w:sz="0" w:space="0" w:color="auto"/>
                <w:left w:val="none" w:sz="0" w:space="0" w:color="auto"/>
                <w:bottom w:val="none" w:sz="0" w:space="0" w:color="auto"/>
                <w:right w:val="none" w:sz="0" w:space="0" w:color="auto"/>
              </w:divBdr>
            </w:div>
          </w:divsChild>
        </w:div>
        <w:div w:id="157575337">
          <w:marLeft w:val="0"/>
          <w:marRight w:val="0"/>
          <w:marTop w:val="0"/>
          <w:marBottom w:val="0"/>
          <w:divBdr>
            <w:top w:val="none" w:sz="0" w:space="0" w:color="auto"/>
            <w:left w:val="none" w:sz="0" w:space="0" w:color="auto"/>
            <w:bottom w:val="none" w:sz="0" w:space="0" w:color="auto"/>
            <w:right w:val="none" w:sz="0" w:space="0" w:color="auto"/>
          </w:divBdr>
          <w:divsChild>
            <w:div w:id="528378124">
              <w:marLeft w:val="0"/>
              <w:marRight w:val="0"/>
              <w:marTop w:val="0"/>
              <w:marBottom w:val="0"/>
              <w:divBdr>
                <w:top w:val="none" w:sz="0" w:space="0" w:color="auto"/>
                <w:left w:val="none" w:sz="0" w:space="0" w:color="auto"/>
                <w:bottom w:val="none" w:sz="0" w:space="0" w:color="auto"/>
                <w:right w:val="none" w:sz="0" w:space="0" w:color="auto"/>
              </w:divBdr>
            </w:div>
          </w:divsChild>
        </w:div>
        <w:div w:id="199629772">
          <w:marLeft w:val="0"/>
          <w:marRight w:val="0"/>
          <w:marTop w:val="0"/>
          <w:marBottom w:val="0"/>
          <w:divBdr>
            <w:top w:val="none" w:sz="0" w:space="0" w:color="auto"/>
            <w:left w:val="none" w:sz="0" w:space="0" w:color="auto"/>
            <w:bottom w:val="none" w:sz="0" w:space="0" w:color="auto"/>
            <w:right w:val="none" w:sz="0" w:space="0" w:color="auto"/>
          </w:divBdr>
          <w:divsChild>
            <w:div w:id="1137182847">
              <w:marLeft w:val="0"/>
              <w:marRight w:val="0"/>
              <w:marTop w:val="0"/>
              <w:marBottom w:val="0"/>
              <w:divBdr>
                <w:top w:val="none" w:sz="0" w:space="0" w:color="auto"/>
                <w:left w:val="none" w:sz="0" w:space="0" w:color="auto"/>
                <w:bottom w:val="none" w:sz="0" w:space="0" w:color="auto"/>
                <w:right w:val="none" w:sz="0" w:space="0" w:color="auto"/>
              </w:divBdr>
            </w:div>
          </w:divsChild>
        </w:div>
        <w:div w:id="410153043">
          <w:marLeft w:val="0"/>
          <w:marRight w:val="0"/>
          <w:marTop w:val="0"/>
          <w:marBottom w:val="0"/>
          <w:divBdr>
            <w:top w:val="none" w:sz="0" w:space="0" w:color="auto"/>
            <w:left w:val="none" w:sz="0" w:space="0" w:color="auto"/>
            <w:bottom w:val="none" w:sz="0" w:space="0" w:color="auto"/>
            <w:right w:val="none" w:sz="0" w:space="0" w:color="auto"/>
          </w:divBdr>
          <w:divsChild>
            <w:div w:id="2141607048">
              <w:marLeft w:val="0"/>
              <w:marRight w:val="0"/>
              <w:marTop w:val="0"/>
              <w:marBottom w:val="0"/>
              <w:divBdr>
                <w:top w:val="none" w:sz="0" w:space="0" w:color="auto"/>
                <w:left w:val="none" w:sz="0" w:space="0" w:color="auto"/>
                <w:bottom w:val="none" w:sz="0" w:space="0" w:color="auto"/>
                <w:right w:val="none" w:sz="0" w:space="0" w:color="auto"/>
              </w:divBdr>
            </w:div>
          </w:divsChild>
        </w:div>
        <w:div w:id="415130617">
          <w:marLeft w:val="0"/>
          <w:marRight w:val="0"/>
          <w:marTop w:val="0"/>
          <w:marBottom w:val="0"/>
          <w:divBdr>
            <w:top w:val="none" w:sz="0" w:space="0" w:color="auto"/>
            <w:left w:val="none" w:sz="0" w:space="0" w:color="auto"/>
            <w:bottom w:val="none" w:sz="0" w:space="0" w:color="auto"/>
            <w:right w:val="none" w:sz="0" w:space="0" w:color="auto"/>
          </w:divBdr>
          <w:divsChild>
            <w:div w:id="879823573">
              <w:marLeft w:val="0"/>
              <w:marRight w:val="0"/>
              <w:marTop w:val="0"/>
              <w:marBottom w:val="0"/>
              <w:divBdr>
                <w:top w:val="none" w:sz="0" w:space="0" w:color="auto"/>
                <w:left w:val="none" w:sz="0" w:space="0" w:color="auto"/>
                <w:bottom w:val="none" w:sz="0" w:space="0" w:color="auto"/>
                <w:right w:val="none" w:sz="0" w:space="0" w:color="auto"/>
              </w:divBdr>
            </w:div>
          </w:divsChild>
        </w:div>
        <w:div w:id="489635195">
          <w:marLeft w:val="0"/>
          <w:marRight w:val="0"/>
          <w:marTop w:val="0"/>
          <w:marBottom w:val="0"/>
          <w:divBdr>
            <w:top w:val="none" w:sz="0" w:space="0" w:color="auto"/>
            <w:left w:val="none" w:sz="0" w:space="0" w:color="auto"/>
            <w:bottom w:val="none" w:sz="0" w:space="0" w:color="auto"/>
            <w:right w:val="none" w:sz="0" w:space="0" w:color="auto"/>
          </w:divBdr>
          <w:divsChild>
            <w:div w:id="1560557546">
              <w:marLeft w:val="0"/>
              <w:marRight w:val="0"/>
              <w:marTop w:val="0"/>
              <w:marBottom w:val="0"/>
              <w:divBdr>
                <w:top w:val="none" w:sz="0" w:space="0" w:color="auto"/>
                <w:left w:val="none" w:sz="0" w:space="0" w:color="auto"/>
                <w:bottom w:val="none" w:sz="0" w:space="0" w:color="auto"/>
                <w:right w:val="none" w:sz="0" w:space="0" w:color="auto"/>
              </w:divBdr>
            </w:div>
          </w:divsChild>
        </w:div>
        <w:div w:id="609044428">
          <w:marLeft w:val="0"/>
          <w:marRight w:val="0"/>
          <w:marTop w:val="0"/>
          <w:marBottom w:val="0"/>
          <w:divBdr>
            <w:top w:val="none" w:sz="0" w:space="0" w:color="auto"/>
            <w:left w:val="none" w:sz="0" w:space="0" w:color="auto"/>
            <w:bottom w:val="none" w:sz="0" w:space="0" w:color="auto"/>
            <w:right w:val="none" w:sz="0" w:space="0" w:color="auto"/>
          </w:divBdr>
          <w:divsChild>
            <w:div w:id="1683387511">
              <w:marLeft w:val="0"/>
              <w:marRight w:val="0"/>
              <w:marTop w:val="0"/>
              <w:marBottom w:val="0"/>
              <w:divBdr>
                <w:top w:val="none" w:sz="0" w:space="0" w:color="auto"/>
                <w:left w:val="none" w:sz="0" w:space="0" w:color="auto"/>
                <w:bottom w:val="none" w:sz="0" w:space="0" w:color="auto"/>
                <w:right w:val="none" w:sz="0" w:space="0" w:color="auto"/>
              </w:divBdr>
            </w:div>
          </w:divsChild>
        </w:div>
        <w:div w:id="751388406">
          <w:marLeft w:val="0"/>
          <w:marRight w:val="0"/>
          <w:marTop w:val="0"/>
          <w:marBottom w:val="0"/>
          <w:divBdr>
            <w:top w:val="none" w:sz="0" w:space="0" w:color="auto"/>
            <w:left w:val="none" w:sz="0" w:space="0" w:color="auto"/>
            <w:bottom w:val="none" w:sz="0" w:space="0" w:color="auto"/>
            <w:right w:val="none" w:sz="0" w:space="0" w:color="auto"/>
          </w:divBdr>
          <w:divsChild>
            <w:div w:id="235213192">
              <w:marLeft w:val="0"/>
              <w:marRight w:val="0"/>
              <w:marTop w:val="0"/>
              <w:marBottom w:val="0"/>
              <w:divBdr>
                <w:top w:val="none" w:sz="0" w:space="0" w:color="auto"/>
                <w:left w:val="none" w:sz="0" w:space="0" w:color="auto"/>
                <w:bottom w:val="none" w:sz="0" w:space="0" w:color="auto"/>
                <w:right w:val="none" w:sz="0" w:space="0" w:color="auto"/>
              </w:divBdr>
            </w:div>
          </w:divsChild>
        </w:div>
        <w:div w:id="825172554">
          <w:marLeft w:val="0"/>
          <w:marRight w:val="0"/>
          <w:marTop w:val="0"/>
          <w:marBottom w:val="0"/>
          <w:divBdr>
            <w:top w:val="none" w:sz="0" w:space="0" w:color="auto"/>
            <w:left w:val="none" w:sz="0" w:space="0" w:color="auto"/>
            <w:bottom w:val="none" w:sz="0" w:space="0" w:color="auto"/>
            <w:right w:val="none" w:sz="0" w:space="0" w:color="auto"/>
          </w:divBdr>
          <w:divsChild>
            <w:div w:id="777481562">
              <w:marLeft w:val="0"/>
              <w:marRight w:val="0"/>
              <w:marTop w:val="0"/>
              <w:marBottom w:val="0"/>
              <w:divBdr>
                <w:top w:val="none" w:sz="0" w:space="0" w:color="auto"/>
                <w:left w:val="none" w:sz="0" w:space="0" w:color="auto"/>
                <w:bottom w:val="none" w:sz="0" w:space="0" w:color="auto"/>
                <w:right w:val="none" w:sz="0" w:space="0" w:color="auto"/>
              </w:divBdr>
            </w:div>
          </w:divsChild>
        </w:div>
        <w:div w:id="916717684">
          <w:marLeft w:val="0"/>
          <w:marRight w:val="0"/>
          <w:marTop w:val="0"/>
          <w:marBottom w:val="0"/>
          <w:divBdr>
            <w:top w:val="none" w:sz="0" w:space="0" w:color="auto"/>
            <w:left w:val="none" w:sz="0" w:space="0" w:color="auto"/>
            <w:bottom w:val="none" w:sz="0" w:space="0" w:color="auto"/>
            <w:right w:val="none" w:sz="0" w:space="0" w:color="auto"/>
          </w:divBdr>
          <w:divsChild>
            <w:div w:id="1677684882">
              <w:marLeft w:val="0"/>
              <w:marRight w:val="0"/>
              <w:marTop w:val="0"/>
              <w:marBottom w:val="0"/>
              <w:divBdr>
                <w:top w:val="none" w:sz="0" w:space="0" w:color="auto"/>
                <w:left w:val="none" w:sz="0" w:space="0" w:color="auto"/>
                <w:bottom w:val="none" w:sz="0" w:space="0" w:color="auto"/>
                <w:right w:val="none" w:sz="0" w:space="0" w:color="auto"/>
              </w:divBdr>
            </w:div>
          </w:divsChild>
        </w:div>
        <w:div w:id="924412224">
          <w:marLeft w:val="0"/>
          <w:marRight w:val="0"/>
          <w:marTop w:val="0"/>
          <w:marBottom w:val="0"/>
          <w:divBdr>
            <w:top w:val="none" w:sz="0" w:space="0" w:color="auto"/>
            <w:left w:val="none" w:sz="0" w:space="0" w:color="auto"/>
            <w:bottom w:val="none" w:sz="0" w:space="0" w:color="auto"/>
            <w:right w:val="none" w:sz="0" w:space="0" w:color="auto"/>
          </w:divBdr>
          <w:divsChild>
            <w:div w:id="1285310577">
              <w:marLeft w:val="0"/>
              <w:marRight w:val="0"/>
              <w:marTop w:val="0"/>
              <w:marBottom w:val="0"/>
              <w:divBdr>
                <w:top w:val="none" w:sz="0" w:space="0" w:color="auto"/>
                <w:left w:val="none" w:sz="0" w:space="0" w:color="auto"/>
                <w:bottom w:val="none" w:sz="0" w:space="0" w:color="auto"/>
                <w:right w:val="none" w:sz="0" w:space="0" w:color="auto"/>
              </w:divBdr>
            </w:div>
          </w:divsChild>
        </w:div>
        <w:div w:id="975455223">
          <w:marLeft w:val="0"/>
          <w:marRight w:val="0"/>
          <w:marTop w:val="0"/>
          <w:marBottom w:val="0"/>
          <w:divBdr>
            <w:top w:val="none" w:sz="0" w:space="0" w:color="auto"/>
            <w:left w:val="none" w:sz="0" w:space="0" w:color="auto"/>
            <w:bottom w:val="none" w:sz="0" w:space="0" w:color="auto"/>
            <w:right w:val="none" w:sz="0" w:space="0" w:color="auto"/>
          </w:divBdr>
          <w:divsChild>
            <w:div w:id="579602244">
              <w:marLeft w:val="0"/>
              <w:marRight w:val="0"/>
              <w:marTop w:val="0"/>
              <w:marBottom w:val="0"/>
              <w:divBdr>
                <w:top w:val="none" w:sz="0" w:space="0" w:color="auto"/>
                <w:left w:val="none" w:sz="0" w:space="0" w:color="auto"/>
                <w:bottom w:val="none" w:sz="0" w:space="0" w:color="auto"/>
                <w:right w:val="none" w:sz="0" w:space="0" w:color="auto"/>
              </w:divBdr>
            </w:div>
          </w:divsChild>
        </w:div>
        <w:div w:id="1148860418">
          <w:marLeft w:val="0"/>
          <w:marRight w:val="0"/>
          <w:marTop w:val="0"/>
          <w:marBottom w:val="0"/>
          <w:divBdr>
            <w:top w:val="none" w:sz="0" w:space="0" w:color="auto"/>
            <w:left w:val="none" w:sz="0" w:space="0" w:color="auto"/>
            <w:bottom w:val="none" w:sz="0" w:space="0" w:color="auto"/>
            <w:right w:val="none" w:sz="0" w:space="0" w:color="auto"/>
          </w:divBdr>
          <w:divsChild>
            <w:div w:id="1865942091">
              <w:marLeft w:val="0"/>
              <w:marRight w:val="0"/>
              <w:marTop w:val="0"/>
              <w:marBottom w:val="0"/>
              <w:divBdr>
                <w:top w:val="none" w:sz="0" w:space="0" w:color="auto"/>
                <w:left w:val="none" w:sz="0" w:space="0" w:color="auto"/>
                <w:bottom w:val="none" w:sz="0" w:space="0" w:color="auto"/>
                <w:right w:val="none" w:sz="0" w:space="0" w:color="auto"/>
              </w:divBdr>
            </w:div>
          </w:divsChild>
        </w:div>
        <w:div w:id="1208764960">
          <w:marLeft w:val="0"/>
          <w:marRight w:val="0"/>
          <w:marTop w:val="0"/>
          <w:marBottom w:val="0"/>
          <w:divBdr>
            <w:top w:val="none" w:sz="0" w:space="0" w:color="auto"/>
            <w:left w:val="none" w:sz="0" w:space="0" w:color="auto"/>
            <w:bottom w:val="none" w:sz="0" w:space="0" w:color="auto"/>
            <w:right w:val="none" w:sz="0" w:space="0" w:color="auto"/>
          </w:divBdr>
          <w:divsChild>
            <w:div w:id="965162099">
              <w:marLeft w:val="0"/>
              <w:marRight w:val="0"/>
              <w:marTop w:val="0"/>
              <w:marBottom w:val="0"/>
              <w:divBdr>
                <w:top w:val="none" w:sz="0" w:space="0" w:color="auto"/>
                <w:left w:val="none" w:sz="0" w:space="0" w:color="auto"/>
                <w:bottom w:val="none" w:sz="0" w:space="0" w:color="auto"/>
                <w:right w:val="none" w:sz="0" w:space="0" w:color="auto"/>
              </w:divBdr>
            </w:div>
          </w:divsChild>
        </w:div>
        <w:div w:id="1283924829">
          <w:marLeft w:val="0"/>
          <w:marRight w:val="0"/>
          <w:marTop w:val="0"/>
          <w:marBottom w:val="0"/>
          <w:divBdr>
            <w:top w:val="none" w:sz="0" w:space="0" w:color="auto"/>
            <w:left w:val="none" w:sz="0" w:space="0" w:color="auto"/>
            <w:bottom w:val="none" w:sz="0" w:space="0" w:color="auto"/>
            <w:right w:val="none" w:sz="0" w:space="0" w:color="auto"/>
          </w:divBdr>
          <w:divsChild>
            <w:div w:id="1189098168">
              <w:marLeft w:val="0"/>
              <w:marRight w:val="0"/>
              <w:marTop w:val="0"/>
              <w:marBottom w:val="0"/>
              <w:divBdr>
                <w:top w:val="none" w:sz="0" w:space="0" w:color="auto"/>
                <w:left w:val="none" w:sz="0" w:space="0" w:color="auto"/>
                <w:bottom w:val="none" w:sz="0" w:space="0" w:color="auto"/>
                <w:right w:val="none" w:sz="0" w:space="0" w:color="auto"/>
              </w:divBdr>
            </w:div>
          </w:divsChild>
        </w:div>
        <w:div w:id="1309213400">
          <w:marLeft w:val="0"/>
          <w:marRight w:val="0"/>
          <w:marTop w:val="0"/>
          <w:marBottom w:val="0"/>
          <w:divBdr>
            <w:top w:val="none" w:sz="0" w:space="0" w:color="auto"/>
            <w:left w:val="none" w:sz="0" w:space="0" w:color="auto"/>
            <w:bottom w:val="none" w:sz="0" w:space="0" w:color="auto"/>
            <w:right w:val="none" w:sz="0" w:space="0" w:color="auto"/>
          </w:divBdr>
          <w:divsChild>
            <w:div w:id="550767122">
              <w:marLeft w:val="0"/>
              <w:marRight w:val="0"/>
              <w:marTop w:val="0"/>
              <w:marBottom w:val="0"/>
              <w:divBdr>
                <w:top w:val="none" w:sz="0" w:space="0" w:color="auto"/>
                <w:left w:val="none" w:sz="0" w:space="0" w:color="auto"/>
                <w:bottom w:val="none" w:sz="0" w:space="0" w:color="auto"/>
                <w:right w:val="none" w:sz="0" w:space="0" w:color="auto"/>
              </w:divBdr>
            </w:div>
          </w:divsChild>
        </w:div>
        <w:div w:id="1403138771">
          <w:marLeft w:val="0"/>
          <w:marRight w:val="0"/>
          <w:marTop w:val="0"/>
          <w:marBottom w:val="0"/>
          <w:divBdr>
            <w:top w:val="none" w:sz="0" w:space="0" w:color="auto"/>
            <w:left w:val="none" w:sz="0" w:space="0" w:color="auto"/>
            <w:bottom w:val="none" w:sz="0" w:space="0" w:color="auto"/>
            <w:right w:val="none" w:sz="0" w:space="0" w:color="auto"/>
          </w:divBdr>
          <w:divsChild>
            <w:div w:id="1512260565">
              <w:marLeft w:val="0"/>
              <w:marRight w:val="0"/>
              <w:marTop w:val="0"/>
              <w:marBottom w:val="0"/>
              <w:divBdr>
                <w:top w:val="none" w:sz="0" w:space="0" w:color="auto"/>
                <w:left w:val="none" w:sz="0" w:space="0" w:color="auto"/>
                <w:bottom w:val="none" w:sz="0" w:space="0" w:color="auto"/>
                <w:right w:val="none" w:sz="0" w:space="0" w:color="auto"/>
              </w:divBdr>
            </w:div>
          </w:divsChild>
        </w:div>
        <w:div w:id="1425150828">
          <w:marLeft w:val="0"/>
          <w:marRight w:val="0"/>
          <w:marTop w:val="0"/>
          <w:marBottom w:val="0"/>
          <w:divBdr>
            <w:top w:val="none" w:sz="0" w:space="0" w:color="auto"/>
            <w:left w:val="none" w:sz="0" w:space="0" w:color="auto"/>
            <w:bottom w:val="none" w:sz="0" w:space="0" w:color="auto"/>
            <w:right w:val="none" w:sz="0" w:space="0" w:color="auto"/>
          </w:divBdr>
          <w:divsChild>
            <w:div w:id="835998978">
              <w:marLeft w:val="0"/>
              <w:marRight w:val="0"/>
              <w:marTop w:val="0"/>
              <w:marBottom w:val="0"/>
              <w:divBdr>
                <w:top w:val="none" w:sz="0" w:space="0" w:color="auto"/>
                <w:left w:val="none" w:sz="0" w:space="0" w:color="auto"/>
                <w:bottom w:val="none" w:sz="0" w:space="0" w:color="auto"/>
                <w:right w:val="none" w:sz="0" w:space="0" w:color="auto"/>
              </w:divBdr>
            </w:div>
          </w:divsChild>
        </w:div>
        <w:div w:id="1505783757">
          <w:marLeft w:val="0"/>
          <w:marRight w:val="0"/>
          <w:marTop w:val="0"/>
          <w:marBottom w:val="0"/>
          <w:divBdr>
            <w:top w:val="none" w:sz="0" w:space="0" w:color="auto"/>
            <w:left w:val="none" w:sz="0" w:space="0" w:color="auto"/>
            <w:bottom w:val="none" w:sz="0" w:space="0" w:color="auto"/>
            <w:right w:val="none" w:sz="0" w:space="0" w:color="auto"/>
          </w:divBdr>
          <w:divsChild>
            <w:div w:id="175537019">
              <w:marLeft w:val="0"/>
              <w:marRight w:val="0"/>
              <w:marTop w:val="0"/>
              <w:marBottom w:val="0"/>
              <w:divBdr>
                <w:top w:val="none" w:sz="0" w:space="0" w:color="auto"/>
                <w:left w:val="none" w:sz="0" w:space="0" w:color="auto"/>
                <w:bottom w:val="none" w:sz="0" w:space="0" w:color="auto"/>
                <w:right w:val="none" w:sz="0" w:space="0" w:color="auto"/>
              </w:divBdr>
            </w:div>
          </w:divsChild>
        </w:div>
        <w:div w:id="1516071515">
          <w:marLeft w:val="0"/>
          <w:marRight w:val="0"/>
          <w:marTop w:val="0"/>
          <w:marBottom w:val="0"/>
          <w:divBdr>
            <w:top w:val="none" w:sz="0" w:space="0" w:color="auto"/>
            <w:left w:val="none" w:sz="0" w:space="0" w:color="auto"/>
            <w:bottom w:val="none" w:sz="0" w:space="0" w:color="auto"/>
            <w:right w:val="none" w:sz="0" w:space="0" w:color="auto"/>
          </w:divBdr>
          <w:divsChild>
            <w:div w:id="792944045">
              <w:marLeft w:val="0"/>
              <w:marRight w:val="0"/>
              <w:marTop w:val="0"/>
              <w:marBottom w:val="0"/>
              <w:divBdr>
                <w:top w:val="none" w:sz="0" w:space="0" w:color="auto"/>
                <w:left w:val="none" w:sz="0" w:space="0" w:color="auto"/>
                <w:bottom w:val="none" w:sz="0" w:space="0" w:color="auto"/>
                <w:right w:val="none" w:sz="0" w:space="0" w:color="auto"/>
              </w:divBdr>
            </w:div>
          </w:divsChild>
        </w:div>
        <w:div w:id="1635401917">
          <w:marLeft w:val="0"/>
          <w:marRight w:val="0"/>
          <w:marTop w:val="0"/>
          <w:marBottom w:val="0"/>
          <w:divBdr>
            <w:top w:val="none" w:sz="0" w:space="0" w:color="auto"/>
            <w:left w:val="none" w:sz="0" w:space="0" w:color="auto"/>
            <w:bottom w:val="none" w:sz="0" w:space="0" w:color="auto"/>
            <w:right w:val="none" w:sz="0" w:space="0" w:color="auto"/>
          </w:divBdr>
          <w:divsChild>
            <w:div w:id="817458563">
              <w:marLeft w:val="0"/>
              <w:marRight w:val="0"/>
              <w:marTop w:val="0"/>
              <w:marBottom w:val="0"/>
              <w:divBdr>
                <w:top w:val="none" w:sz="0" w:space="0" w:color="auto"/>
                <w:left w:val="none" w:sz="0" w:space="0" w:color="auto"/>
                <w:bottom w:val="none" w:sz="0" w:space="0" w:color="auto"/>
                <w:right w:val="none" w:sz="0" w:space="0" w:color="auto"/>
              </w:divBdr>
            </w:div>
          </w:divsChild>
        </w:div>
        <w:div w:id="1637253046">
          <w:marLeft w:val="0"/>
          <w:marRight w:val="0"/>
          <w:marTop w:val="0"/>
          <w:marBottom w:val="0"/>
          <w:divBdr>
            <w:top w:val="none" w:sz="0" w:space="0" w:color="auto"/>
            <w:left w:val="none" w:sz="0" w:space="0" w:color="auto"/>
            <w:bottom w:val="none" w:sz="0" w:space="0" w:color="auto"/>
            <w:right w:val="none" w:sz="0" w:space="0" w:color="auto"/>
          </w:divBdr>
          <w:divsChild>
            <w:div w:id="1808740778">
              <w:marLeft w:val="0"/>
              <w:marRight w:val="0"/>
              <w:marTop w:val="0"/>
              <w:marBottom w:val="0"/>
              <w:divBdr>
                <w:top w:val="none" w:sz="0" w:space="0" w:color="auto"/>
                <w:left w:val="none" w:sz="0" w:space="0" w:color="auto"/>
                <w:bottom w:val="none" w:sz="0" w:space="0" w:color="auto"/>
                <w:right w:val="none" w:sz="0" w:space="0" w:color="auto"/>
              </w:divBdr>
            </w:div>
          </w:divsChild>
        </w:div>
        <w:div w:id="1709913427">
          <w:marLeft w:val="0"/>
          <w:marRight w:val="0"/>
          <w:marTop w:val="0"/>
          <w:marBottom w:val="0"/>
          <w:divBdr>
            <w:top w:val="none" w:sz="0" w:space="0" w:color="auto"/>
            <w:left w:val="none" w:sz="0" w:space="0" w:color="auto"/>
            <w:bottom w:val="none" w:sz="0" w:space="0" w:color="auto"/>
            <w:right w:val="none" w:sz="0" w:space="0" w:color="auto"/>
          </w:divBdr>
          <w:divsChild>
            <w:div w:id="649287699">
              <w:marLeft w:val="0"/>
              <w:marRight w:val="0"/>
              <w:marTop w:val="0"/>
              <w:marBottom w:val="0"/>
              <w:divBdr>
                <w:top w:val="none" w:sz="0" w:space="0" w:color="auto"/>
                <w:left w:val="none" w:sz="0" w:space="0" w:color="auto"/>
                <w:bottom w:val="none" w:sz="0" w:space="0" w:color="auto"/>
                <w:right w:val="none" w:sz="0" w:space="0" w:color="auto"/>
              </w:divBdr>
            </w:div>
          </w:divsChild>
        </w:div>
        <w:div w:id="1734355376">
          <w:marLeft w:val="0"/>
          <w:marRight w:val="0"/>
          <w:marTop w:val="0"/>
          <w:marBottom w:val="0"/>
          <w:divBdr>
            <w:top w:val="none" w:sz="0" w:space="0" w:color="auto"/>
            <w:left w:val="none" w:sz="0" w:space="0" w:color="auto"/>
            <w:bottom w:val="none" w:sz="0" w:space="0" w:color="auto"/>
            <w:right w:val="none" w:sz="0" w:space="0" w:color="auto"/>
          </w:divBdr>
          <w:divsChild>
            <w:div w:id="1222473529">
              <w:marLeft w:val="0"/>
              <w:marRight w:val="0"/>
              <w:marTop w:val="0"/>
              <w:marBottom w:val="0"/>
              <w:divBdr>
                <w:top w:val="none" w:sz="0" w:space="0" w:color="auto"/>
                <w:left w:val="none" w:sz="0" w:space="0" w:color="auto"/>
                <w:bottom w:val="none" w:sz="0" w:space="0" w:color="auto"/>
                <w:right w:val="none" w:sz="0" w:space="0" w:color="auto"/>
              </w:divBdr>
            </w:div>
          </w:divsChild>
        </w:div>
        <w:div w:id="1754086614">
          <w:marLeft w:val="0"/>
          <w:marRight w:val="0"/>
          <w:marTop w:val="0"/>
          <w:marBottom w:val="0"/>
          <w:divBdr>
            <w:top w:val="none" w:sz="0" w:space="0" w:color="auto"/>
            <w:left w:val="none" w:sz="0" w:space="0" w:color="auto"/>
            <w:bottom w:val="none" w:sz="0" w:space="0" w:color="auto"/>
            <w:right w:val="none" w:sz="0" w:space="0" w:color="auto"/>
          </w:divBdr>
          <w:divsChild>
            <w:div w:id="297802603">
              <w:marLeft w:val="0"/>
              <w:marRight w:val="0"/>
              <w:marTop w:val="0"/>
              <w:marBottom w:val="0"/>
              <w:divBdr>
                <w:top w:val="none" w:sz="0" w:space="0" w:color="auto"/>
                <w:left w:val="none" w:sz="0" w:space="0" w:color="auto"/>
                <w:bottom w:val="none" w:sz="0" w:space="0" w:color="auto"/>
                <w:right w:val="none" w:sz="0" w:space="0" w:color="auto"/>
              </w:divBdr>
            </w:div>
          </w:divsChild>
        </w:div>
        <w:div w:id="2005668346">
          <w:marLeft w:val="0"/>
          <w:marRight w:val="0"/>
          <w:marTop w:val="0"/>
          <w:marBottom w:val="0"/>
          <w:divBdr>
            <w:top w:val="none" w:sz="0" w:space="0" w:color="auto"/>
            <w:left w:val="none" w:sz="0" w:space="0" w:color="auto"/>
            <w:bottom w:val="none" w:sz="0" w:space="0" w:color="auto"/>
            <w:right w:val="none" w:sz="0" w:space="0" w:color="auto"/>
          </w:divBdr>
          <w:divsChild>
            <w:div w:id="340083536">
              <w:marLeft w:val="0"/>
              <w:marRight w:val="0"/>
              <w:marTop w:val="0"/>
              <w:marBottom w:val="0"/>
              <w:divBdr>
                <w:top w:val="none" w:sz="0" w:space="0" w:color="auto"/>
                <w:left w:val="none" w:sz="0" w:space="0" w:color="auto"/>
                <w:bottom w:val="none" w:sz="0" w:space="0" w:color="auto"/>
                <w:right w:val="none" w:sz="0" w:space="0" w:color="auto"/>
              </w:divBdr>
            </w:div>
          </w:divsChild>
        </w:div>
        <w:div w:id="2027900438">
          <w:marLeft w:val="0"/>
          <w:marRight w:val="0"/>
          <w:marTop w:val="0"/>
          <w:marBottom w:val="0"/>
          <w:divBdr>
            <w:top w:val="none" w:sz="0" w:space="0" w:color="auto"/>
            <w:left w:val="none" w:sz="0" w:space="0" w:color="auto"/>
            <w:bottom w:val="none" w:sz="0" w:space="0" w:color="auto"/>
            <w:right w:val="none" w:sz="0" w:space="0" w:color="auto"/>
          </w:divBdr>
          <w:divsChild>
            <w:div w:id="153284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4474">
      <w:bodyDiv w:val="1"/>
      <w:marLeft w:val="0"/>
      <w:marRight w:val="0"/>
      <w:marTop w:val="0"/>
      <w:marBottom w:val="0"/>
      <w:divBdr>
        <w:top w:val="none" w:sz="0" w:space="0" w:color="auto"/>
        <w:left w:val="none" w:sz="0" w:space="0" w:color="auto"/>
        <w:bottom w:val="none" w:sz="0" w:space="0" w:color="auto"/>
        <w:right w:val="none" w:sz="0" w:space="0" w:color="auto"/>
      </w:divBdr>
      <w:divsChild>
        <w:div w:id="1056856187">
          <w:marLeft w:val="0"/>
          <w:marRight w:val="0"/>
          <w:marTop w:val="0"/>
          <w:marBottom w:val="120"/>
          <w:divBdr>
            <w:top w:val="none" w:sz="0" w:space="0" w:color="auto"/>
            <w:left w:val="none" w:sz="0" w:space="0" w:color="auto"/>
            <w:bottom w:val="none" w:sz="0" w:space="0" w:color="auto"/>
            <w:right w:val="none" w:sz="0" w:space="0" w:color="auto"/>
          </w:divBdr>
          <w:divsChild>
            <w:div w:id="404307010">
              <w:marLeft w:val="0"/>
              <w:marRight w:val="0"/>
              <w:marTop w:val="0"/>
              <w:marBottom w:val="0"/>
              <w:divBdr>
                <w:top w:val="none" w:sz="0" w:space="0" w:color="auto"/>
                <w:left w:val="none" w:sz="0" w:space="0" w:color="auto"/>
                <w:bottom w:val="none" w:sz="0" w:space="0" w:color="auto"/>
                <w:right w:val="none" w:sz="0" w:space="0" w:color="auto"/>
              </w:divBdr>
            </w:div>
          </w:divsChild>
        </w:div>
        <w:div w:id="1306550555">
          <w:marLeft w:val="0"/>
          <w:marRight w:val="0"/>
          <w:marTop w:val="0"/>
          <w:marBottom w:val="120"/>
          <w:divBdr>
            <w:top w:val="none" w:sz="0" w:space="0" w:color="auto"/>
            <w:left w:val="none" w:sz="0" w:space="0" w:color="auto"/>
            <w:bottom w:val="none" w:sz="0" w:space="0" w:color="auto"/>
            <w:right w:val="none" w:sz="0" w:space="0" w:color="auto"/>
          </w:divBdr>
          <w:divsChild>
            <w:div w:id="2014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1137">
      <w:bodyDiv w:val="1"/>
      <w:marLeft w:val="0"/>
      <w:marRight w:val="0"/>
      <w:marTop w:val="0"/>
      <w:marBottom w:val="0"/>
      <w:divBdr>
        <w:top w:val="none" w:sz="0" w:space="0" w:color="auto"/>
        <w:left w:val="none" w:sz="0" w:space="0" w:color="auto"/>
        <w:bottom w:val="none" w:sz="0" w:space="0" w:color="auto"/>
        <w:right w:val="none" w:sz="0" w:space="0" w:color="auto"/>
      </w:divBdr>
    </w:div>
    <w:div w:id="1574506788">
      <w:bodyDiv w:val="1"/>
      <w:marLeft w:val="0"/>
      <w:marRight w:val="0"/>
      <w:marTop w:val="0"/>
      <w:marBottom w:val="0"/>
      <w:divBdr>
        <w:top w:val="none" w:sz="0" w:space="0" w:color="auto"/>
        <w:left w:val="none" w:sz="0" w:space="0" w:color="auto"/>
        <w:bottom w:val="none" w:sz="0" w:space="0" w:color="auto"/>
        <w:right w:val="none" w:sz="0" w:space="0" w:color="auto"/>
      </w:divBdr>
    </w:div>
    <w:div w:id="1635715994">
      <w:bodyDiv w:val="1"/>
      <w:marLeft w:val="0"/>
      <w:marRight w:val="0"/>
      <w:marTop w:val="0"/>
      <w:marBottom w:val="0"/>
      <w:divBdr>
        <w:top w:val="none" w:sz="0" w:space="0" w:color="auto"/>
        <w:left w:val="none" w:sz="0" w:space="0" w:color="auto"/>
        <w:bottom w:val="none" w:sz="0" w:space="0" w:color="auto"/>
        <w:right w:val="none" w:sz="0" w:space="0" w:color="auto"/>
      </w:divBdr>
      <w:divsChild>
        <w:div w:id="49378361">
          <w:marLeft w:val="0"/>
          <w:marRight w:val="0"/>
          <w:marTop w:val="0"/>
          <w:marBottom w:val="0"/>
          <w:divBdr>
            <w:top w:val="none" w:sz="0" w:space="0" w:color="auto"/>
            <w:left w:val="none" w:sz="0" w:space="0" w:color="auto"/>
            <w:bottom w:val="none" w:sz="0" w:space="0" w:color="auto"/>
            <w:right w:val="none" w:sz="0" w:space="0" w:color="auto"/>
          </w:divBdr>
        </w:div>
        <w:div w:id="1331104135">
          <w:marLeft w:val="0"/>
          <w:marRight w:val="0"/>
          <w:marTop w:val="0"/>
          <w:marBottom w:val="0"/>
          <w:divBdr>
            <w:top w:val="none" w:sz="0" w:space="0" w:color="auto"/>
            <w:left w:val="none" w:sz="0" w:space="0" w:color="auto"/>
            <w:bottom w:val="none" w:sz="0" w:space="0" w:color="auto"/>
            <w:right w:val="none" w:sz="0" w:space="0" w:color="auto"/>
          </w:divBdr>
        </w:div>
        <w:div w:id="1905531614">
          <w:marLeft w:val="0"/>
          <w:marRight w:val="0"/>
          <w:marTop w:val="0"/>
          <w:marBottom w:val="0"/>
          <w:divBdr>
            <w:top w:val="none" w:sz="0" w:space="0" w:color="auto"/>
            <w:left w:val="none" w:sz="0" w:space="0" w:color="auto"/>
            <w:bottom w:val="none" w:sz="0" w:space="0" w:color="auto"/>
            <w:right w:val="none" w:sz="0" w:space="0" w:color="auto"/>
          </w:divBdr>
        </w:div>
      </w:divsChild>
    </w:div>
    <w:div w:id="1822429992">
      <w:bodyDiv w:val="1"/>
      <w:marLeft w:val="0"/>
      <w:marRight w:val="0"/>
      <w:marTop w:val="0"/>
      <w:marBottom w:val="0"/>
      <w:divBdr>
        <w:top w:val="none" w:sz="0" w:space="0" w:color="auto"/>
        <w:left w:val="none" w:sz="0" w:space="0" w:color="auto"/>
        <w:bottom w:val="none" w:sz="0" w:space="0" w:color="auto"/>
        <w:right w:val="none" w:sz="0" w:space="0" w:color="auto"/>
      </w:divBdr>
      <w:divsChild>
        <w:div w:id="1022124138">
          <w:marLeft w:val="0"/>
          <w:marRight w:val="0"/>
          <w:marTop w:val="0"/>
          <w:marBottom w:val="120"/>
          <w:divBdr>
            <w:top w:val="none" w:sz="0" w:space="0" w:color="auto"/>
            <w:left w:val="none" w:sz="0" w:space="0" w:color="auto"/>
            <w:bottom w:val="none" w:sz="0" w:space="0" w:color="auto"/>
            <w:right w:val="none" w:sz="0" w:space="0" w:color="auto"/>
          </w:divBdr>
          <w:divsChild>
            <w:div w:id="1079448902">
              <w:marLeft w:val="0"/>
              <w:marRight w:val="0"/>
              <w:marTop w:val="0"/>
              <w:marBottom w:val="0"/>
              <w:divBdr>
                <w:top w:val="none" w:sz="0" w:space="0" w:color="auto"/>
                <w:left w:val="none" w:sz="0" w:space="0" w:color="auto"/>
                <w:bottom w:val="none" w:sz="0" w:space="0" w:color="auto"/>
                <w:right w:val="none" w:sz="0" w:space="0" w:color="auto"/>
              </w:divBdr>
            </w:div>
          </w:divsChild>
        </w:div>
        <w:div w:id="1977905775">
          <w:marLeft w:val="0"/>
          <w:marRight w:val="0"/>
          <w:marTop w:val="0"/>
          <w:marBottom w:val="120"/>
          <w:divBdr>
            <w:top w:val="none" w:sz="0" w:space="0" w:color="auto"/>
            <w:left w:val="none" w:sz="0" w:space="0" w:color="auto"/>
            <w:bottom w:val="none" w:sz="0" w:space="0" w:color="auto"/>
            <w:right w:val="none" w:sz="0" w:space="0" w:color="auto"/>
          </w:divBdr>
          <w:divsChild>
            <w:div w:id="3783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89810">
      <w:bodyDiv w:val="1"/>
      <w:marLeft w:val="0"/>
      <w:marRight w:val="0"/>
      <w:marTop w:val="0"/>
      <w:marBottom w:val="0"/>
      <w:divBdr>
        <w:top w:val="none" w:sz="0" w:space="0" w:color="auto"/>
        <w:left w:val="none" w:sz="0" w:space="0" w:color="auto"/>
        <w:bottom w:val="none" w:sz="0" w:space="0" w:color="auto"/>
        <w:right w:val="none" w:sz="0" w:space="0" w:color="auto"/>
      </w:divBdr>
    </w:div>
    <w:div w:id="1902981194">
      <w:bodyDiv w:val="1"/>
      <w:marLeft w:val="0"/>
      <w:marRight w:val="0"/>
      <w:marTop w:val="0"/>
      <w:marBottom w:val="0"/>
      <w:divBdr>
        <w:top w:val="none" w:sz="0" w:space="0" w:color="auto"/>
        <w:left w:val="none" w:sz="0" w:space="0" w:color="auto"/>
        <w:bottom w:val="none" w:sz="0" w:space="0" w:color="auto"/>
        <w:right w:val="none" w:sz="0" w:space="0" w:color="auto"/>
      </w:divBdr>
    </w:div>
    <w:div w:id="206297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1095544/Executive_Summary.pdf" TargetMode="External" Id="rId13" /><Relationship Type="http://schemas.openxmlformats.org/officeDocument/2006/relationships/hyperlink" Target="mailto:Kevin.Higgins@northumberland.gov.uk" TargetMode="Externa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hyperlink" Target="mailto:emma.patterson@northoftyne-ca.gov.uk" TargetMode="External" Id="rId21" /><Relationship Type="http://schemas.openxmlformats.org/officeDocument/2006/relationships/settings" Target="settings.xml" Id="rId7" /><Relationship Type="http://schemas.openxmlformats.org/officeDocument/2006/relationships/hyperlink" Target="https://www.communityfoundation.org.uk/wp-content/uploads/2022/11/Third-Sector-Trends-in-England-and-Wales-2022-structure-purpose-energy-and-impact-November-2022.pdf" TargetMode="External" Id="rId12" /><Relationship Type="http://schemas.openxmlformats.org/officeDocument/2006/relationships/hyperlink" Target="mailto:joanna.lompart.chlasciak@newcastle.gov.uk" TargetMode="External" Id="rId17" /><Relationship Type="http://schemas.openxmlformats.org/officeDocument/2006/relationships/hyperlink" Target="mailto:ruth.gaul@northoftyne-ca.gov.uk"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gov.uk/guidance/uk-shared-prosperity-fund-outputs-and-outcomes-definitions-2" TargetMode="External" Id="rId16" /><Relationship Type="http://schemas.openxmlformats.org/officeDocument/2006/relationships/hyperlink" Target="https://www.spacehive.com/movement/crowdfund-north-of-tyne/projects?status=6&amp;category=0" TargetMode="External" Id="rId20" /><Relationship Type="http://schemas.openxmlformats.org/officeDocument/2006/relationships/footer" Target="footer2.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mailto:mark.barrett@northtyneside.gov.uk"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gov.uk/government/publications/uk-shared-prosperity-fund-evaluation/ukspf-evaluation-strategy" TargetMode="External" Id="rId15" /><Relationship Type="http://schemas.openxmlformats.org/officeDocument/2006/relationships/hyperlink" Target="mailto:kevin.higgins@northumberland.gov.uk" TargetMode="External" Id="rId23" /><Relationship Type="http://schemas.openxmlformats.org/officeDocument/2006/relationships/footer" Target="footer1.xml" Id="rId28" /><Relationship Type="http://schemas.openxmlformats.org/officeDocument/2006/relationships/endnotes" Target="endnotes.xml" Id="rId10" /><Relationship Type="http://schemas.openxmlformats.org/officeDocument/2006/relationships/hyperlink" Target="mailto:Anya.Lawrence@northtyneside.gov.uk"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relationshipsproject.org/active-neighbours/" TargetMode="External" Id="rId14" /><Relationship Type="http://schemas.openxmlformats.org/officeDocument/2006/relationships/hyperlink" Target="mailto:Chris.Ord@newcastle.gov.uk" TargetMode="External" Id="rId22" /><Relationship Type="http://schemas.openxmlformats.org/officeDocument/2006/relationships/header" Target="header2.xml" Id="rId27" /><Relationship Type="http://schemas.openxmlformats.org/officeDocument/2006/relationships/header" Target="header3.xml" Id="rId30" /><Relationship Type="http://schemas.openxmlformats.org/officeDocument/2006/relationships/webSettings" Target="webSettings.xml" Id="rId8" /><Relationship Type="http://schemas.openxmlformats.org/officeDocument/2006/relationships/glossaryDocument" Target="glossary/document.xml" Id="Re35ee6273d93462a" /></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uk-shared-prosperity-fund-prospectus/uk-shared-prosperity-fund-prospectus" TargetMode="External"/><Relationship Id="rId1" Type="http://schemas.openxmlformats.org/officeDocument/2006/relationships/hyperlink" Target="https://www.gov.uk/government/publications/levelling-up-the-united-kingdom"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fa73e91-57f7-4d6f-8ee6-e7a89fd8c5a5}"/>
      </w:docPartPr>
      <w:docPartBody>
        <w:p w14:paraId="47927F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87c1c2e-0242-46eb-9b69-16b1d7ad91d0">
      <Terms xmlns="http://schemas.microsoft.com/office/infopath/2007/PartnerControls"/>
    </lcf76f155ced4ddcb4097134ff3c332f>
    <TaxCatchAll xmlns="a6629934-8f11-43d4-9284-a90f0692aad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54D7D90D3189D47AE66A2D9346DDC16" ma:contentTypeVersion="16" ma:contentTypeDescription="Create a new document." ma:contentTypeScope="" ma:versionID="f8ac7d477b8ebd00471e211f9b1b96a9">
  <xsd:schema xmlns:xsd="http://www.w3.org/2001/XMLSchema" xmlns:xs="http://www.w3.org/2001/XMLSchema" xmlns:p="http://schemas.microsoft.com/office/2006/metadata/properties" xmlns:ns2="987c1c2e-0242-46eb-9b69-16b1d7ad91d0" xmlns:ns3="a6629934-8f11-43d4-9284-a90f0692aadb" targetNamespace="http://schemas.microsoft.com/office/2006/metadata/properties" ma:root="true" ma:fieldsID="3772bddebcbaecbe9fc4a5b63dd631e0" ns2:_="" ns3:_="">
    <xsd:import namespace="987c1c2e-0242-46eb-9b69-16b1d7ad91d0"/>
    <xsd:import namespace="a6629934-8f11-43d4-9284-a90f0692aa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c1c2e-0242-46eb-9b69-16b1d7ad9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2e46b9b-9eb4-4263-a0bd-b634727372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29934-8f11-43d4-9284-a90f0692aad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9ea228-f7cb-4702-a653-b2f212adc1bb}" ma:internalName="TaxCatchAll" ma:showField="CatchAllData" ma:web="a6629934-8f11-43d4-9284-a90f0692aa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9D3363-0FA6-4DDD-B015-7B3157895BC0}">
  <ds:schemaRefs>
    <ds:schemaRef ds:uri="http://schemas.microsoft.com/office/2006/metadata/properties"/>
    <ds:schemaRef ds:uri="http://schemas.microsoft.com/office/infopath/2007/PartnerControls"/>
    <ds:schemaRef ds:uri="987c1c2e-0242-46eb-9b69-16b1d7ad91d0"/>
    <ds:schemaRef ds:uri="a6629934-8f11-43d4-9284-a90f0692aadb"/>
  </ds:schemaRefs>
</ds:datastoreItem>
</file>

<file path=customXml/itemProps2.xml><?xml version="1.0" encoding="utf-8"?>
<ds:datastoreItem xmlns:ds="http://schemas.openxmlformats.org/officeDocument/2006/customXml" ds:itemID="{320B6779-3502-4CC9-AF86-FDE94EE8E39D}">
  <ds:schemaRefs>
    <ds:schemaRef ds:uri="http://schemas.openxmlformats.org/officeDocument/2006/bibliography"/>
  </ds:schemaRefs>
</ds:datastoreItem>
</file>

<file path=customXml/itemProps3.xml><?xml version="1.0" encoding="utf-8"?>
<ds:datastoreItem xmlns:ds="http://schemas.openxmlformats.org/officeDocument/2006/customXml" ds:itemID="{C5227FA7-C0A1-4BB1-B1B0-023624CE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c1c2e-0242-46eb-9b69-16b1d7ad91d0"/>
    <ds:schemaRef ds:uri="a6629934-8f11-43d4-9284-a90f0692aa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6EDA2-10D5-4202-8C86-F012A901D0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Fry, Robin (North Of Tyne)</dc:creator>
  <keywords/>
  <dc:description/>
  <lastModifiedBy>Kelly, Lisa (North Of Tyne)</lastModifiedBy>
  <revision>190</revision>
  <dcterms:created xsi:type="dcterms:W3CDTF">2023-03-08T05:52:00.0000000Z</dcterms:created>
  <dcterms:modified xsi:type="dcterms:W3CDTF">2023-03-21T13:47:54.0847882Z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0x010100B54D7D90D3189D47AE66A2D9346DDC16</vt:lpwstr>
  </property>
  <property fmtid="{D5CDD505-2E9C-101B-9397-08002B2CF9AE}" pid="3" name="MediaServiceImageTags">
    <vt:lpwstr/>
  </property>
</Properties>
</file>