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0" w:type="dxa"/>
        <w:tblLook w:val="04A0" w:firstRow="1" w:lastRow="0" w:firstColumn="1" w:lastColumn="0" w:noHBand="0" w:noVBand="1"/>
      </w:tblPr>
      <w:tblGrid>
        <w:gridCol w:w="7083"/>
        <w:gridCol w:w="7087"/>
      </w:tblGrid>
      <w:tr w:rsidR="006B7561" w14:paraId="0D25D78D" w14:textId="77777777" w:rsidTr="006B7561">
        <w:tc>
          <w:tcPr>
            <w:tcW w:w="7083" w:type="dxa"/>
          </w:tcPr>
          <w:p w14:paraId="75901D10" w14:textId="35EBAC39" w:rsidR="006B7561" w:rsidRPr="006B7561" w:rsidRDefault="006B7561" w:rsidP="006B7561">
            <w:pPr>
              <w:rPr>
                <w:rFonts w:ascii="Arial" w:hAnsi="Arial" w:cs="Arial"/>
                <w:b/>
                <w:bCs/>
                <w:color w:val="000000" w:themeColor="text1"/>
                <w:sz w:val="24"/>
                <w:szCs w:val="24"/>
              </w:rPr>
            </w:pPr>
            <w:r w:rsidRPr="006B7561">
              <w:rPr>
                <w:rFonts w:ascii="Arial" w:hAnsi="Arial" w:cs="Arial"/>
                <w:b/>
                <w:bCs/>
                <w:color w:val="000000" w:themeColor="text1"/>
                <w:sz w:val="24"/>
                <w:szCs w:val="24"/>
              </w:rPr>
              <w:t>Question Received</w:t>
            </w:r>
          </w:p>
        </w:tc>
        <w:tc>
          <w:tcPr>
            <w:tcW w:w="7087" w:type="dxa"/>
          </w:tcPr>
          <w:p w14:paraId="7C12C32D" w14:textId="617FED59" w:rsidR="006B7561" w:rsidRDefault="006B7561" w:rsidP="006B7561">
            <w:pPr>
              <w:rPr>
                <w:rFonts w:ascii="Arial" w:hAnsi="Arial" w:cs="Arial"/>
                <w:b/>
                <w:bCs/>
                <w:color w:val="000000" w:themeColor="text1"/>
                <w:sz w:val="24"/>
                <w:szCs w:val="24"/>
              </w:rPr>
            </w:pPr>
            <w:r w:rsidRPr="006B7561">
              <w:rPr>
                <w:rFonts w:ascii="Arial" w:hAnsi="Arial" w:cs="Arial"/>
                <w:b/>
                <w:bCs/>
                <w:color w:val="000000" w:themeColor="text1"/>
                <w:sz w:val="24"/>
                <w:szCs w:val="24"/>
              </w:rPr>
              <w:t xml:space="preserve">Answer </w:t>
            </w:r>
          </w:p>
          <w:p w14:paraId="34B7E054" w14:textId="3049035D" w:rsidR="006B7561" w:rsidRPr="006B7561" w:rsidRDefault="006B7561" w:rsidP="006B7561">
            <w:pPr>
              <w:rPr>
                <w:rFonts w:ascii="Arial" w:hAnsi="Arial" w:cs="Arial"/>
                <w:b/>
                <w:bCs/>
                <w:color w:val="000000" w:themeColor="text1"/>
                <w:sz w:val="24"/>
                <w:szCs w:val="24"/>
              </w:rPr>
            </w:pPr>
          </w:p>
        </w:tc>
      </w:tr>
      <w:tr w:rsidR="006B7561" w14:paraId="5E5078EB" w14:textId="77777777" w:rsidTr="006B7561">
        <w:tc>
          <w:tcPr>
            <w:tcW w:w="7083" w:type="dxa"/>
          </w:tcPr>
          <w:p w14:paraId="02595B53" w14:textId="27FB20D1" w:rsidR="006B7561" w:rsidRPr="005E2E3D" w:rsidRDefault="006B7561" w:rsidP="006B7561">
            <w:pPr>
              <w:rPr>
                <w:rFonts w:ascii="Arial" w:hAnsi="Arial" w:cs="Arial"/>
              </w:rPr>
            </w:pPr>
            <w:r w:rsidRPr="005E2E3D">
              <w:rPr>
                <w:rFonts w:ascii="Arial" w:hAnsi="Arial" w:cs="Arial"/>
              </w:rPr>
              <w:t>Regarding the recent opening of the UK SPF People and Skills, given the size of the minimum submission have any lead partners come forward to lead a region wide or local authority wide collaborative partnership. We would be very keen to be a delivery partner but as a smaller charity we would not look to be a lead partner – is there a way of convening with other eligible VCSE organisations to develop a delivery partnership?</w:t>
            </w:r>
          </w:p>
          <w:p w14:paraId="7FCAF850" w14:textId="77777777" w:rsidR="006B7561" w:rsidRPr="005E2E3D" w:rsidRDefault="006B7561" w:rsidP="006B7561">
            <w:pPr>
              <w:rPr>
                <w:rFonts w:ascii="Arial" w:hAnsi="Arial" w:cs="Arial"/>
                <w:color w:val="000000" w:themeColor="text1"/>
              </w:rPr>
            </w:pPr>
          </w:p>
        </w:tc>
        <w:tc>
          <w:tcPr>
            <w:tcW w:w="7087" w:type="dxa"/>
          </w:tcPr>
          <w:p w14:paraId="59516B7A" w14:textId="410AE755" w:rsidR="006B7561" w:rsidRPr="005E2E3D" w:rsidRDefault="006B7561" w:rsidP="006B7561">
            <w:pPr>
              <w:rPr>
                <w:rFonts w:ascii="Arial" w:hAnsi="Arial" w:cs="Arial"/>
                <w:color w:val="000000" w:themeColor="text1"/>
              </w:rPr>
            </w:pPr>
            <w:r w:rsidRPr="005E2E3D">
              <w:rPr>
                <w:rFonts w:ascii="Arial" w:hAnsi="Arial" w:cs="Arial"/>
                <w:color w:val="000000" w:themeColor="text1"/>
              </w:rPr>
              <w:t xml:space="preserve">Eligible VCSE organisations are able to work together in a partnership approach to create a coordinated and well-integrated delivery structure of employability provision.  The Local Authorities are arranging workshops </w:t>
            </w:r>
            <w:r w:rsidR="009E6203">
              <w:rPr>
                <w:rFonts w:ascii="Arial" w:hAnsi="Arial" w:cs="Arial"/>
                <w:color w:val="000000" w:themeColor="text1"/>
              </w:rPr>
              <w:t>in week commencing 16</w:t>
            </w:r>
            <w:r w:rsidR="009E6203" w:rsidRPr="000C308A">
              <w:rPr>
                <w:rFonts w:ascii="Arial" w:hAnsi="Arial" w:cs="Arial"/>
                <w:color w:val="000000" w:themeColor="text1"/>
                <w:vertAlign w:val="superscript"/>
              </w:rPr>
              <w:t>th</w:t>
            </w:r>
            <w:r w:rsidR="009E6203">
              <w:rPr>
                <w:rFonts w:ascii="Arial" w:hAnsi="Arial" w:cs="Arial"/>
                <w:color w:val="000000" w:themeColor="text1"/>
              </w:rPr>
              <w:t xml:space="preserve"> January </w:t>
            </w:r>
            <w:r w:rsidRPr="005E2E3D">
              <w:rPr>
                <w:rFonts w:ascii="Arial" w:hAnsi="Arial" w:cs="Arial"/>
                <w:color w:val="000000" w:themeColor="text1"/>
              </w:rPr>
              <w:t xml:space="preserve">that eligible VCSE organisations will be invited to which would allow networking to take place.  Contact details for each Local Authority will be updated on the NTCA website.  </w:t>
            </w:r>
          </w:p>
          <w:p w14:paraId="28A508D4" w14:textId="77777777" w:rsidR="006B7561" w:rsidRPr="005E2E3D" w:rsidRDefault="006B7561" w:rsidP="006B7561">
            <w:pPr>
              <w:rPr>
                <w:rFonts w:ascii="Arial" w:hAnsi="Arial" w:cs="Arial"/>
                <w:color w:val="000000" w:themeColor="text1"/>
              </w:rPr>
            </w:pPr>
          </w:p>
        </w:tc>
      </w:tr>
      <w:tr w:rsidR="006B7561" w14:paraId="1C29B02A" w14:textId="77777777" w:rsidTr="006B7561">
        <w:tc>
          <w:tcPr>
            <w:tcW w:w="7083" w:type="dxa"/>
          </w:tcPr>
          <w:p w14:paraId="5424C8B9" w14:textId="75A8A1CB" w:rsidR="006B7561" w:rsidRPr="005E2E3D" w:rsidRDefault="006B7561" w:rsidP="006B7561">
            <w:pPr>
              <w:rPr>
                <w:rFonts w:ascii="Arial" w:hAnsi="Arial" w:cs="Arial"/>
                <w:lang w:eastAsia="en-GB"/>
              </w:rPr>
            </w:pPr>
            <w:r w:rsidRPr="005E2E3D">
              <w:rPr>
                <w:rFonts w:ascii="Arial" w:hAnsi="Arial" w:cs="Arial"/>
              </w:rPr>
              <w:t>[Our organisation] was</w:t>
            </w:r>
            <w:r w:rsidRPr="005E2E3D">
              <w:rPr>
                <w:rFonts w:ascii="Arial" w:hAnsi="Arial" w:cs="Arial"/>
                <w:lang w:eastAsia="en-GB"/>
              </w:rPr>
              <w:t xml:space="preserve"> part of a wider North Tyneside delivery partner for ESF funding.  This partnership ended on 30th September 22.  Would this end date preclude us from applying for part of the UKSPF funding?</w:t>
            </w:r>
          </w:p>
          <w:p w14:paraId="503BA949" w14:textId="77777777" w:rsidR="006B7561" w:rsidRPr="005E2E3D" w:rsidRDefault="006B7561" w:rsidP="006B7561">
            <w:pPr>
              <w:rPr>
                <w:rFonts w:ascii="Arial" w:hAnsi="Arial" w:cs="Arial"/>
                <w:color w:val="000000" w:themeColor="text1"/>
              </w:rPr>
            </w:pPr>
          </w:p>
        </w:tc>
        <w:tc>
          <w:tcPr>
            <w:tcW w:w="7087" w:type="dxa"/>
          </w:tcPr>
          <w:p w14:paraId="2BA71E6B" w14:textId="118CC11D" w:rsidR="006B7561" w:rsidRPr="005E2E3D" w:rsidRDefault="00BE2AF5" w:rsidP="006B7561">
            <w:pPr>
              <w:rPr>
                <w:rFonts w:ascii="Arial" w:hAnsi="Arial" w:cs="Arial"/>
                <w:color w:val="000000" w:themeColor="text1"/>
              </w:rPr>
            </w:pPr>
            <w:r>
              <w:rPr>
                <w:rFonts w:ascii="Arial" w:hAnsi="Arial" w:cs="Arial"/>
                <w:color w:val="000000" w:themeColor="text1"/>
              </w:rPr>
              <w:t>Appli</w:t>
            </w:r>
            <w:r w:rsidR="000D180B">
              <w:rPr>
                <w:rFonts w:ascii="Arial" w:hAnsi="Arial" w:cs="Arial"/>
                <w:color w:val="000000" w:themeColor="text1"/>
              </w:rPr>
              <w:t xml:space="preserve">cants who have delivered on ESF-funded employability </w:t>
            </w:r>
            <w:r w:rsidR="00803EB4">
              <w:rPr>
                <w:rFonts w:ascii="Arial" w:hAnsi="Arial" w:cs="Arial"/>
                <w:color w:val="000000" w:themeColor="text1"/>
              </w:rPr>
              <w:t xml:space="preserve">support </w:t>
            </w:r>
            <w:r w:rsidR="000D180B">
              <w:rPr>
                <w:rFonts w:ascii="Arial" w:hAnsi="Arial" w:cs="Arial"/>
                <w:color w:val="000000" w:themeColor="text1"/>
              </w:rPr>
              <w:t xml:space="preserve">programmes since </w:t>
            </w:r>
            <w:r w:rsidR="00397B92">
              <w:rPr>
                <w:rFonts w:ascii="Arial" w:hAnsi="Arial" w:cs="Arial"/>
                <w:color w:val="000000" w:themeColor="text1"/>
              </w:rPr>
              <w:t xml:space="preserve">April 2022 are eligible to apply for funding under this call. Applicants are </w:t>
            </w:r>
            <w:r w:rsidR="00F77E3F">
              <w:rPr>
                <w:rFonts w:ascii="Arial" w:hAnsi="Arial" w:cs="Arial"/>
                <w:color w:val="000000" w:themeColor="text1"/>
              </w:rPr>
              <w:t xml:space="preserve">required to provide the ESF Project Reference number(s) on the project application form. </w:t>
            </w:r>
            <w:r w:rsidR="005E2E3D" w:rsidRPr="005E2E3D">
              <w:rPr>
                <w:rFonts w:ascii="Arial" w:hAnsi="Arial" w:cs="Arial"/>
                <w:color w:val="000000" w:themeColor="text1"/>
              </w:rPr>
              <w:t>Please refer to Section 8 of the Open Call Specification for eligibility criteria.</w:t>
            </w:r>
          </w:p>
          <w:p w14:paraId="1BDA2E2A" w14:textId="300785DC" w:rsidR="006B7561" w:rsidRPr="005E2E3D" w:rsidRDefault="006B7561" w:rsidP="006B7561">
            <w:pPr>
              <w:rPr>
                <w:rFonts w:ascii="Arial" w:hAnsi="Arial" w:cs="Arial"/>
                <w:color w:val="000000" w:themeColor="text1"/>
              </w:rPr>
            </w:pPr>
          </w:p>
        </w:tc>
      </w:tr>
      <w:tr w:rsidR="005E2E3D" w14:paraId="64CF9C1A" w14:textId="77777777" w:rsidTr="006B7561">
        <w:tc>
          <w:tcPr>
            <w:tcW w:w="7083" w:type="dxa"/>
          </w:tcPr>
          <w:p w14:paraId="64C42944" w14:textId="77777777" w:rsidR="005E2E3D" w:rsidRPr="005E2E3D" w:rsidRDefault="005E2E3D" w:rsidP="005E2E3D">
            <w:pPr>
              <w:rPr>
                <w:rFonts w:ascii="Arial" w:eastAsia="Times New Roman" w:hAnsi="Arial" w:cs="Arial"/>
                <w:color w:val="000000"/>
                <w:shd w:val="clear" w:color="auto" w:fill="FFFFFF"/>
              </w:rPr>
            </w:pPr>
            <w:r w:rsidRPr="005E2E3D">
              <w:rPr>
                <w:rFonts w:ascii="Arial" w:eastAsia="Times New Roman" w:hAnsi="Arial" w:cs="Arial"/>
                <w:color w:val="000000"/>
                <w:shd w:val="clear" w:color="auto" w:fill="FFFFFF"/>
              </w:rPr>
              <w:t>Do you have (and are able to pass on) a list of VCSE organisations that are eligible to apply for this opportunity? </w:t>
            </w:r>
          </w:p>
          <w:p w14:paraId="395D0F5F" w14:textId="11FAFCE2" w:rsidR="005E2E3D" w:rsidRPr="005E2E3D" w:rsidRDefault="005E2E3D" w:rsidP="005E2E3D">
            <w:pPr>
              <w:rPr>
                <w:rFonts w:ascii="Arial" w:eastAsia="Times New Roman" w:hAnsi="Arial" w:cs="Arial"/>
                <w:color w:val="000000"/>
              </w:rPr>
            </w:pPr>
          </w:p>
        </w:tc>
        <w:tc>
          <w:tcPr>
            <w:tcW w:w="7087" w:type="dxa"/>
          </w:tcPr>
          <w:p w14:paraId="2E25D32B" w14:textId="4F99F291" w:rsidR="005E2E3D" w:rsidRDefault="00CE748B" w:rsidP="005E2E3D">
            <w:pPr>
              <w:rPr>
                <w:rFonts w:ascii="Arial" w:hAnsi="Arial" w:cs="Arial"/>
                <w:color w:val="000000" w:themeColor="text1"/>
              </w:rPr>
            </w:pPr>
            <w:r>
              <w:rPr>
                <w:rFonts w:ascii="Arial" w:hAnsi="Arial" w:cs="Arial"/>
                <w:color w:val="000000" w:themeColor="text1"/>
              </w:rPr>
              <w:t>NTCA does not hold a list of eli</w:t>
            </w:r>
            <w:r w:rsidR="00E35ACC">
              <w:rPr>
                <w:rFonts w:ascii="Arial" w:hAnsi="Arial" w:cs="Arial"/>
                <w:color w:val="000000" w:themeColor="text1"/>
              </w:rPr>
              <w:t xml:space="preserve">gible VCSE organisations. </w:t>
            </w:r>
            <w:r w:rsidR="005E2E3D" w:rsidRPr="005E2E3D">
              <w:rPr>
                <w:rFonts w:ascii="Arial" w:hAnsi="Arial" w:cs="Arial"/>
                <w:color w:val="000000" w:themeColor="text1"/>
              </w:rPr>
              <w:t>Please refer to Section 8 of the Open Call Specification for eligibility criteria.</w:t>
            </w:r>
            <w:r w:rsidR="005E2E3D">
              <w:rPr>
                <w:rFonts w:ascii="Arial" w:hAnsi="Arial" w:cs="Arial"/>
                <w:color w:val="000000" w:themeColor="text1"/>
              </w:rPr>
              <w:t xml:space="preserve"> </w:t>
            </w:r>
            <w:r w:rsidR="003C4B29" w:rsidRPr="005E2E3D">
              <w:rPr>
                <w:rFonts w:ascii="Arial" w:hAnsi="Arial" w:cs="Arial"/>
                <w:color w:val="000000" w:themeColor="text1"/>
              </w:rPr>
              <w:t xml:space="preserve">The Local Authorities are arranging workshops </w:t>
            </w:r>
            <w:r w:rsidR="003C4B29">
              <w:rPr>
                <w:rFonts w:ascii="Arial" w:hAnsi="Arial" w:cs="Arial"/>
                <w:color w:val="000000" w:themeColor="text1"/>
              </w:rPr>
              <w:t>in week commencing 16</w:t>
            </w:r>
            <w:r w:rsidR="003C4B29" w:rsidRPr="00BD1A4A">
              <w:rPr>
                <w:rFonts w:ascii="Arial" w:hAnsi="Arial" w:cs="Arial"/>
                <w:color w:val="000000" w:themeColor="text1"/>
                <w:vertAlign w:val="superscript"/>
              </w:rPr>
              <w:t>th</w:t>
            </w:r>
            <w:r w:rsidR="003C4B29">
              <w:rPr>
                <w:rFonts w:ascii="Arial" w:hAnsi="Arial" w:cs="Arial"/>
                <w:color w:val="000000" w:themeColor="text1"/>
              </w:rPr>
              <w:t xml:space="preserve"> January </w:t>
            </w:r>
            <w:r w:rsidR="003C4B29" w:rsidRPr="005E2E3D">
              <w:rPr>
                <w:rFonts w:ascii="Arial" w:hAnsi="Arial" w:cs="Arial"/>
                <w:color w:val="000000" w:themeColor="text1"/>
              </w:rPr>
              <w:t>that eligible VCSE organisations will be invited to which would allow networking to take place.</w:t>
            </w:r>
          </w:p>
          <w:p w14:paraId="422371C0" w14:textId="11E58B83" w:rsidR="005E2E3D" w:rsidRPr="005E2E3D" w:rsidRDefault="005E2E3D" w:rsidP="005E2E3D">
            <w:pPr>
              <w:rPr>
                <w:rFonts w:ascii="Arial" w:hAnsi="Arial" w:cs="Arial"/>
                <w:color w:val="000000" w:themeColor="text1"/>
              </w:rPr>
            </w:pPr>
          </w:p>
        </w:tc>
      </w:tr>
      <w:tr w:rsidR="005E2E3D" w14:paraId="565B91F3" w14:textId="77777777" w:rsidTr="006B7561">
        <w:tc>
          <w:tcPr>
            <w:tcW w:w="7083" w:type="dxa"/>
          </w:tcPr>
          <w:p w14:paraId="546FF443" w14:textId="77777777" w:rsidR="005E2E3D" w:rsidRPr="005E2E3D" w:rsidRDefault="005E2E3D" w:rsidP="005E2E3D">
            <w:pPr>
              <w:rPr>
                <w:rFonts w:ascii="Arial" w:eastAsia="Times New Roman" w:hAnsi="Arial" w:cs="Arial"/>
                <w:color w:val="000000"/>
              </w:rPr>
            </w:pPr>
            <w:r w:rsidRPr="005E2E3D">
              <w:rPr>
                <w:rFonts w:ascii="Arial" w:eastAsia="Times New Roman" w:hAnsi="Arial" w:cs="Arial"/>
                <w:color w:val="000000"/>
                <w:shd w:val="clear" w:color="auto" w:fill="FFFFFF"/>
              </w:rPr>
              <w:t>Do VCSE delivery partners also need to be </w:t>
            </w:r>
            <w:r w:rsidRPr="005E2E3D">
              <w:rPr>
                <w:rStyle w:val="contentpasted0"/>
                <w:rFonts w:ascii="Arial" w:eastAsia="Times New Roman" w:hAnsi="Arial" w:cs="Arial"/>
                <w:color w:val="080F21"/>
                <w:shd w:val="clear" w:color="auto" w:fill="FFFFFF"/>
              </w:rPr>
              <w:t>defined as VCSE organisations and currently delivering (i.e., in the 2022/ 23 financial year) an ESF funded employability support project supporting unemployed or economically inactive residents to progress towards and / or into the labour market across the North of Tyne area</w:t>
            </w:r>
          </w:p>
          <w:p w14:paraId="3AC15215" w14:textId="77777777" w:rsidR="005E2E3D" w:rsidRPr="005E2E3D" w:rsidRDefault="005E2E3D" w:rsidP="005E2E3D">
            <w:pPr>
              <w:rPr>
                <w:rFonts w:ascii="Arial" w:eastAsia="Times New Roman" w:hAnsi="Arial" w:cs="Arial"/>
                <w:color w:val="000000"/>
                <w:shd w:val="clear" w:color="auto" w:fill="FFFFFF"/>
              </w:rPr>
            </w:pPr>
          </w:p>
        </w:tc>
        <w:tc>
          <w:tcPr>
            <w:tcW w:w="7087" w:type="dxa"/>
          </w:tcPr>
          <w:p w14:paraId="731971FE" w14:textId="68B51D00" w:rsidR="005E2E3D" w:rsidRDefault="005E2E3D" w:rsidP="005E2E3D">
            <w:pPr>
              <w:rPr>
                <w:rFonts w:ascii="Arial" w:hAnsi="Arial" w:cs="Arial"/>
                <w:color w:val="000000" w:themeColor="text1"/>
              </w:rPr>
            </w:pPr>
            <w:r w:rsidRPr="005E2E3D">
              <w:rPr>
                <w:rFonts w:ascii="Arial" w:hAnsi="Arial" w:cs="Arial"/>
                <w:color w:val="000000" w:themeColor="text1"/>
              </w:rPr>
              <w:t xml:space="preserve">Please refer to Section </w:t>
            </w:r>
            <w:r w:rsidR="003B7A16">
              <w:rPr>
                <w:rFonts w:ascii="Arial" w:hAnsi="Arial" w:cs="Arial"/>
                <w:color w:val="000000" w:themeColor="text1"/>
              </w:rPr>
              <w:t>7</w:t>
            </w:r>
            <w:r w:rsidRPr="005E2E3D">
              <w:rPr>
                <w:rFonts w:ascii="Arial" w:hAnsi="Arial" w:cs="Arial"/>
                <w:color w:val="000000" w:themeColor="text1"/>
              </w:rPr>
              <w:t xml:space="preserve"> of the Open Call </w:t>
            </w:r>
            <w:r w:rsidR="00E26469">
              <w:rPr>
                <w:rFonts w:ascii="Arial" w:hAnsi="Arial" w:cs="Arial"/>
                <w:color w:val="000000" w:themeColor="text1"/>
              </w:rPr>
              <w:t>Guidance:</w:t>
            </w:r>
          </w:p>
          <w:p w14:paraId="43DC5365" w14:textId="77777777" w:rsidR="00971946" w:rsidRPr="0053649D" w:rsidRDefault="00971946" w:rsidP="0053649D">
            <w:pPr>
              <w:pStyle w:val="ListParagraph"/>
              <w:widowControl w:val="0"/>
              <w:numPr>
                <w:ilvl w:val="0"/>
                <w:numId w:val="19"/>
              </w:numPr>
              <w:autoSpaceDE w:val="0"/>
              <w:autoSpaceDN w:val="0"/>
              <w:spacing w:after="120"/>
              <w:rPr>
                <w:rFonts w:ascii="Arial" w:eastAsia="Arial" w:hAnsi="Arial" w:cs="Arial"/>
              </w:rPr>
            </w:pPr>
            <w:r w:rsidRPr="0053649D">
              <w:rPr>
                <w:rFonts w:ascii="Arial" w:eastAsia="Arial" w:hAnsi="Arial" w:cs="Arial"/>
              </w:rPr>
              <w:t xml:space="preserve">All organisations involved in direct delivery of support to beneficiaries must also be VCSE organisations. </w:t>
            </w:r>
          </w:p>
          <w:p w14:paraId="1DBB58C3" w14:textId="76782926" w:rsidR="00E26469" w:rsidRPr="0053649D" w:rsidRDefault="00971946" w:rsidP="00971946">
            <w:pPr>
              <w:pStyle w:val="ListParagraph"/>
              <w:numPr>
                <w:ilvl w:val="0"/>
                <w:numId w:val="19"/>
              </w:numPr>
              <w:rPr>
                <w:rFonts w:ascii="Arial" w:hAnsi="Arial" w:cs="Arial"/>
                <w:color w:val="000000" w:themeColor="text1"/>
              </w:rPr>
            </w:pPr>
            <w:r w:rsidRPr="0053649D">
              <w:rPr>
                <w:rFonts w:ascii="Arial" w:eastAsia="Arial" w:hAnsi="Arial" w:cs="Arial"/>
              </w:rPr>
              <w:t>Administrative / back-office support can be provided by non-VCSE organisations</w:t>
            </w:r>
          </w:p>
          <w:p w14:paraId="6C44B89A" w14:textId="7143ECA0" w:rsidR="00123B64" w:rsidRPr="0053649D" w:rsidRDefault="00123B64" w:rsidP="0053649D">
            <w:pPr>
              <w:pStyle w:val="ListParagraph"/>
              <w:numPr>
                <w:ilvl w:val="0"/>
                <w:numId w:val="19"/>
              </w:numPr>
              <w:rPr>
                <w:rFonts w:ascii="Arial" w:hAnsi="Arial" w:cs="Arial"/>
                <w:color w:val="000000" w:themeColor="text1"/>
              </w:rPr>
            </w:pPr>
            <w:r w:rsidRPr="1D1A6796">
              <w:rPr>
                <w:rFonts w:ascii="Arial" w:eastAsia="Arial" w:hAnsi="Arial" w:cs="Arial"/>
              </w:rPr>
              <w:lastRenderedPageBreak/>
              <w:t xml:space="preserve">Not all VCSE delivery partners need to be currently delivering </w:t>
            </w:r>
            <w:r>
              <w:rPr>
                <w:rFonts w:ascii="Arial" w:eastAsia="Arial" w:hAnsi="Arial" w:cs="Arial"/>
              </w:rPr>
              <w:t xml:space="preserve">ESF-funded employability support projects </w:t>
            </w:r>
            <w:r w:rsidRPr="1D1A6796">
              <w:rPr>
                <w:rFonts w:ascii="Arial" w:eastAsia="Arial" w:hAnsi="Arial" w:cs="Arial"/>
              </w:rPr>
              <w:t>(in the 2022/23 financial year</w:t>
            </w:r>
            <w:r w:rsidRPr="282B63B2">
              <w:rPr>
                <w:rFonts w:ascii="Arial" w:eastAsia="Arial" w:hAnsi="Arial" w:cs="Arial"/>
              </w:rPr>
              <w:t>)</w:t>
            </w:r>
          </w:p>
          <w:p w14:paraId="2576B71D" w14:textId="77777777" w:rsidR="005E2E3D" w:rsidRPr="005E2E3D" w:rsidRDefault="005E2E3D" w:rsidP="005E2E3D">
            <w:pPr>
              <w:rPr>
                <w:rFonts w:ascii="Arial" w:hAnsi="Arial" w:cs="Arial"/>
                <w:color w:val="000000" w:themeColor="text1"/>
              </w:rPr>
            </w:pPr>
          </w:p>
        </w:tc>
      </w:tr>
      <w:tr w:rsidR="005E2E3D" w14:paraId="12C9C197" w14:textId="77777777" w:rsidTr="006B7561">
        <w:tc>
          <w:tcPr>
            <w:tcW w:w="7083" w:type="dxa"/>
          </w:tcPr>
          <w:p w14:paraId="5A64596F" w14:textId="77777777" w:rsidR="005E2E3D" w:rsidRDefault="005E2E3D" w:rsidP="005E2E3D">
            <w:pPr>
              <w:rPr>
                <w:rFonts w:ascii="Arial" w:hAnsi="Arial" w:cs="Arial"/>
              </w:rPr>
            </w:pPr>
            <w:r>
              <w:rPr>
                <w:rFonts w:ascii="Arial" w:hAnsi="Arial" w:cs="Arial"/>
              </w:rPr>
              <w:lastRenderedPageBreak/>
              <w:t>[Our organisation]</w:t>
            </w:r>
            <w:r w:rsidRPr="005E2E3D">
              <w:rPr>
                <w:rFonts w:ascii="Arial" w:hAnsi="Arial" w:cs="Arial"/>
              </w:rPr>
              <w:t xml:space="preserve"> submitted a tender application last month for the NTCA Flexible Procurement Agreement for Post 16 Skills Framework.  Can you confirm if this open call is related to this application, and if so, if we are eligible to apply?  Our ESF funding finished last year and I wanted to confirm we were still able to apply for this due to funding ending recently.</w:t>
            </w:r>
          </w:p>
          <w:p w14:paraId="19408F5C" w14:textId="0BE48F91" w:rsidR="005E2E3D" w:rsidRPr="005E2E3D" w:rsidRDefault="005E2E3D" w:rsidP="005E2E3D">
            <w:pPr>
              <w:rPr>
                <w:rFonts w:ascii="Arial" w:eastAsia="Times New Roman" w:hAnsi="Arial" w:cs="Arial"/>
                <w:color w:val="000000"/>
                <w:shd w:val="clear" w:color="auto" w:fill="FFFFFF"/>
              </w:rPr>
            </w:pPr>
          </w:p>
        </w:tc>
        <w:tc>
          <w:tcPr>
            <w:tcW w:w="7087" w:type="dxa"/>
          </w:tcPr>
          <w:p w14:paraId="197A547B" w14:textId="07266910" w:rsidR="005E2E3D" w:rsidRDefault="00660051" w:rsidP="005E2E3D">
            <w:pPr>
              <w:rPr>
                <w:rFonts w:ascii="Arial" w:hAnsi="Arial" w:cs="Arial"/>
                <w:color w:val="000000" w:themeColor="text1"/>
              </w:rPr>
            </w:pPr>
            <w:r>
              <w:rPr>
                <w:rFonts w:ascii="Arial" w:hAnsi="Arial" w:cs="Arial"/>
                <w:color w:val="000000" w:themeColor="text1"/>
              </w:rPr>
              <w:t xml:space="preserve">The UKSPF </w:t>
            </w:r>
            <w:r w:rsidR="009F7605">
              <w:rPr>
                <w:rFonts w:ascii="Arial" w:hAnsi="Arial" w:cs="Arial"/>
                <w:color w:val="000000" w:themeColor="text1"/>
              </w:rPr>
              <w:t xml:space="preserve">People and Skills Open Call is not related to the </w:t>
            </w:r>
            <w:r w:rsidR="009F7605" w:rsidRPr="005E2E3D">
              <w:rPr>
                <w:rFonts w:ascii="Arial" w:hAnsi="Arial" w:cs="Arial"/>
              </w:rPr>
              <w:t>NTCA Flexible Procurement Agreement for Post 16 Skills Framework</w:t>
            </w:r>
            <w:r w:rsidR="009F7605">
              <w:rPr>
                <w:rFonts w:ascii="Arial" w:hAnsi="Arial" w:cs="Arial"/>
              </w:rPr>
              <w:t>.</w:t>
            </w:r>
          </w:p>
          <w:p w14:paraId="7F72DAB1" w14:textId="77777777" w:rsidR="009F7605" w:rsidRDefault="009F7605" w:rsidP="005E2E3D">
            <w:pPr>
              <w:rPr>
                <w:rFonts w:ascii="Arial" w:hAnsi="Arial" w:cs="Arial"/>
                <w:color w:val="000000" w:themeColor="text1"/>
              </w:rPr>
            </w:pPr>
          </w:p>
          <w:p w14:paraId="449ED3F1" w14:textId="77777777" w:rsidR="009F7605" w:rsidRPr="005E2E3D" w:rsidRDefault="009F7605" w:rsidP="009F7605">
            <w:pPr>
              <w:rPr>
                <w:rFonts w:ascii="Arial" w:hAnsi="Arial" w:cs="Arial"/>
                <w:color w:val="000000" w:themeColor="text1"/>
              </w:rPr>
            </w:pPr>
            <w:r>
              <w:rPr>
                <w:rFonts w:ascii="Arial" w:hAnsi="Arial" w:cs="Arial"/>
                <w:color w:val="000000" w:themeColor="text1"/>
              </w:rPr>
              <w:t xml:space="preserve">Applicants who have delivered on ESF-funded employability support programmes since April 2022 are eligible to apply for funding under this call. Applicants are required to provide the ESF Project Reference number(s) on the project application form. </w:t>
            </w:r>
            <w:r w:rsidRPr="005E2E3D">
              <w:rPr>
                <w:rFonts w:ascii="Arial" w:hAnsi="Arial" w:cs="Arial"/>
                <w:color w:val="000000" w:themeColor="text1"/>
              </w:rPr>
              <w:t>Please refer to Section 8 of the Open Call Specification for eligibility criteria.</w:t>
            </w:r>
          </w:p>
          <w:p w14:paraId="5CC87F55" w14:textId="77777777" w:rsidR="005E2E3D" w:rsidRDefault="005E2E3D" w:rsidP="005E2E3D">
            <w:pPr>
              <w:rPr>
                <w:color w:val="000000" w:themeColor="text1"/>
              </w:rPr>
            </w:pPr>
          </w:p>
        </w:tc>
      </w:tr>
      <w:tr w:rsidR="0053649D" w14:paraId="7C7DC2AD" w14:textId="77777777" w:rsidTr="006B7561">
        <w:tc>
          <w:tcPr>
            <w:tcW w:w="7083" w:type="dxa"/>
          </w:tcPr>
          <w:p w14:paraId="69F32E58" w14:textId="79380983" w:rsidR="0053649D" w:rsidRPr="00CA4D9E" w:rsidRDefault="00797CE0" w:rsidP="005E2E3D">
            <w:pPr>
              <w:rPr>
                <w:rFonts w:ascii="Arial" w:hAnsi="Arial" w:cs="Arial"/>
              </w:rPr>
            </w:pPr>
            <w:r w:rsidRPr="00CA4D9E">
              <w:rPr>
                <w:rFonts w:ascii="Arial" w:hAnsi="Arial" w:cs="Arial"/>
              </w:rPr>
              <w:t>Has a unit cost been established</w:t>
            </w:r>
            <w:r w:rsidR="00F43F88" w:rsidRPr="00CA4D9E">
              <w:rPr>
                <w:rFonts w:ascii="Arial" w:hAnsi="Arial" w:cs="Arial"/>
              </w:rPr>
              <w:t>, and what is the expectation for</w:t>
            </w:r>
            <w:r w:rsidR="00423FDF" w:rsidRPr="00CA4D9E">
              <w:rPr>
                <w:rFonts w:ascii="Arial" w:hAnsi="Arial" w:cs="Arial"/>
              </w:rPr>
              <w:t xml:space="preserve"> the number of outputs / outcomes that will be delivered?</w:t>
            </w:r>
          </w:p>
          <w:p w14:paraId="6AC7EB27" w14:textId="36760D90" w:rsidR="00423FDF" w:rsidRPr="00CA4D9E" w:rsidRDefault="00423FDF" w:rsidP="005E2E3D">
            <w:pPr>
              <w:rPr>
                <w:rFonts w:ascii="Arial" w:hAnsi="Arial" w:cs="Arial"/>
              </w:rPr>
            </w:pPr>
          </w:p>
        </w:tc>
        <w:tc>
          <w:tcPr>
            <w:tcW w:w="7087" w:type="dxa"/>
          </w:tcPr>
          <w:p w14:paraId="2219D474" w14:textId="77777777" w:rsidR="0053649D" w:rsidRPr="00CA4D9E" w:rsidRDefault="001D6540" w:rsidP="005E2E3D">
            <w:pPr>
              <w:rPr>
                <w:rFonts w:ascii="Arial" w:hAnsi="Arial" w:cs="Arial"/>
              </w:rPr>
            </w:pPr>
            <w:r w:rsidRPr="00CA4D9E">
              <w:rPr>
                <w:rFonts w:ascii="Arial" w:hAnsi="Arial" w:cs="Arial"/>
              </w:rPr>
              <w:t>The unit cost should be on a sliding scale between £5000 minimum - £8000 maximum</w:t>
            </w:r>
            <w:r w:rsidR="00BF57BE" w:rsidRPr="00CA4D9E">
              <w:rPr>
                <w:rFonts w:ascii="Arial" w:hAnsi="Arial" w:cs="Arial"/>
              </w:rPr>
              <w:t xml:space="preserve"> per beneficiary, depending on the level of support required.</w:t>
            </w:r>
          </w:p>
          <w:p w14:paraId="7345E52E" w14:textId="77777777" w:rsidR="00BF57BE" w:rsidRPr="00CA4D9E" w:rsidRDefault="00BF57BE" w:rsidP="005E2E3D">
            <w:pPr>
              <w:rPr>
                <w:rFonts w:ascii="Arial" w:hAnsi="Arial" w:cs="Arial"/>
              </w:rPr>
            </w:pPr>
          </w:p>
          <w:p w14:paraId="6E415BC0" w14:textId="77777777" w:rsidR="00BF57BE" w:rsidRPr="00CA4D9E" w:rsidRDefault="00BF57BE" w:rsidP="005E2E3D">
            <w:pPr>
              <w:rPr>
                <w:rFonts w:ascii="Arial" w:hAnsi="Arial" w:cs="Arial"/>
              </w:rPr>
            </w:pPr>
            <w:r w:rsidRPr="00CA4D9E">
              <w:rPr>
                <w:rFonts w:ascii="Arial" w:hAnsi="Arial" w:cs="Arial"/>
              </w:rPr>
              <w:t>It is expected that 40% of E33 outputs/outcomes will be achieved.</w:t>
            </w:r>
          </w:p>
          <w:p w14:paraId="1295161B" w14:textId="6A62E03C" w:rsidR="00BF57BE" w:rsidRPr="00CA4D9E" w:rsidRDefault="00BF57BE" w:rsidP="005E2E3D">
            <w:pPr>
              <w:rPr>
                <w:rFonts w:ascii="Arial" w:hAnsi="Arial" w:cs="Arial"/>
              </w:rPr>
            </w:pPr>
          </w:p>
        </w:tc>
      </w:tr>
      <w:tr w:rsidR="00F43F88" w14:paraId="53D8BDA4" w14:textId="77777777" w:rsidTr="006B7561">
        <w:tc>
          <w:tcPr>
            <w:tcW w:w="7083" w:type="dxa"/>
          </w:tcPr>
          <w:p w14:paraId="1F9D7771" w14:textId="6B5D9807" w:rsidR="00F43F88" w:rsidRPr="00CA4D9E" w:rsidRDefault="00752BC8" w:rsidP="005E2E3D">
            <w:pPr>
              <w:rPr>
                <w:rFonts w:ascii="Arial" w:hAnsi="Arial" w:cs="Arial"/>
              </w:rPr>
            </w:pPr>
            <w:r w:rsidRPr="00CA4D9E">
              <w:rPr>
                <w:rFonts w:ascii="Arial" w:hAnsi="Arial" w:cs="Arial"/>
              </w:rPr>
              <w:t xml:space="preserve">Are </w:t>
            </w:r>
            <w:r w:rsidR="00D46828" w:rsidRPr="00CA4D9E">
              <w:rPr>
                <w:rFonts w:ascii="Arial" w:hAnsi="Arial" w:cs="Arial"/>
              </w:rPr>
              <w:t xml:space="preserve">VCSE Organisations who delivered as part of the Newcastle </w:t>
            </w:r>
            <w:r w:rsidRPr="00CA4D9E">
              <w:rPr>
                <w:rFonts w:ascii="Arial" w:hAnsi="Arial" w:cs="Arial"/>
              </w:rPr>
              <w:t xml:space="preserve">CLLD </w:t>
            </w:r>
            <w:r w:rsidR="00D46828" w:rsidRPr="00CA4D9E">
              <w:rPr>
                <w:rFonts w:ascii="Arial" w:hAnsi="Arial" w:cs="Arial"/>
              </w:rPr>
              <w:t>programme</w:t>
            </w:r>
            <w:r w:rsidRPr="00CA4D9E">
              <w:rPr>
                <w:rFonts w:ascii="Arial" w:hAnsi="Arial" w:cs="Arial"/>
              </w:rPr>
              <w:t xml:space="preserve"> eligible to apply to this open call </w:t>
            </w:r>
            <w:r w:rsidR="00A5058C" w:rsidRPr="00CA4D9E">
              <w:rPr>
                <w:rFonts w:ascii="Arial" w:hAnsi="Arial" w:cs="Arial"/>
              </w:rPr>
              <w:t xml:space="preserve">(as a delivery partner) </w:t>
            </w:r>
            <w:r w:rsidRPr="00CA4D9E">
              <w:rPr>
                <w:rFonts w:ascii="Arial" w:hAnsi="Arial" w:cs="Arial"/>
              </w:rPr>
              <w:t>and if so</w:t>
            </w:r>
            <w:r w:rsidR="00CA4D9E" w:rsidRPr="00CA4D9E">
              <w:rPr>
                <w:rFonts w:ascii="Arial" w:hAnsi="Arial" w:cs="Arial"/>
              </w:rPr>
              <w:t>,</w:t>
            </w:r>
            <w:r w:rsidRPr="00CA4D9E">
              <w:rPr>
                <w:rFonts w:ascii="Arial" w:hAnsi="Arial" w:cs="Arial"/>
              </w:rPr>
              <w:t xml:space="preserve"> can we use the ESF project numbers assigned to the overall </w:t>
            </w:r>
            <w:r w:rsidR="004A7FB5" w:rsidRPr="00CA4D9E">
              <w:rPr>
                <w:rFonts w:ascii="Arial" w:hAnsi="Arial" w:cs="Arial"/>
              </w:rPr>
              <w:t xml:space="preserve">CLLD </w:t>
            </w:r>
            <w:r w:rsidRPr="00CA4D9E">
              <w:rPr>
                <w:rFonts w:ascii="Arial" w:hAnsi="Arial" w:cs="Arial"/>
              </w:rPr>
              <w:t>project?</w:t>
            </w:r>
          </w:p>
          <w:p w14:paraId="3E81C7A2" w14:textId="70F26F1C" w:rsidR="00752BC8" w:rsidRPr="00CA4D9E" w:rsidRDefault="00752BC8" w:rsidP="005E2E3D">
            <w:pPr>
              <w:rPr>
                <w:rFonts w:ascii="Arial" w:hAnsi="Arial" w:cs="Arial"/>
              </w:rPr>
            </w:pPr>
          </w:p>
        </w:tc>
        <w:tc>
          <w:tcPr>
            <w:tcW w:w="7087" w:type="dxa"/>
          </w:tcPr>
          <w:p w14:paraId="13D4554A" w14:textId="4E70AE55" w:rsidR="00F43F88" w:rsidRPr="00CA4D9E" w:rsidRDefault="00752BC8" w:rsidP="005E2E3D">
            <w:pPr>
              <w:rPr>
                <w:rFonts w:ascii="Arial" w:hAnsi="Arial" w:cs="Arial"/>
              </w:rPr>
            </w:pPr>
            <w:r w:rsidRPr="00CA4D9E">
              <w:rPr>
                <w:rFonts w:ascii="Arial" w:hAnsi="Arial" w:cs="Arial"/>
              </w:rPr>
              <w:t>Yes</w:t>
            </w:r>
            <w:r w:rsidR="004A7FB5" w:rsidRPr="00CA4D9E">
              <w:rPr>
                <w:rFonts w:ascii="Arial" w:hAnsi="Arial" w:cs="Arial"/>
              </w:rPr>
              <w:t>, the overall project should make the ESF Project Number available to organisations involved in project delivery</w:t>
            </w:r>
            <w:r w:rsidR="00D46828" w:rsidRPr="00CA4D9E">
              <w:rPr>
                <w:rFonts w:ascii="Arial" w:hAnsi="Arial" w:cs="Arial"/>
              </w:rPr>
              <w:t>.</w:t>
            </w:r>
          </w:p>
        </w:tc>
      </w:tr>
    </w:tbl>
    <w:p w14:paraId="5CD9D308" w14:textId="23C3E883" w:rsidR="001F51AA" w:rsidRPr="006B7561" w:rsidRDefault="001F51AA" w:rsidP="005E2E3D">
      <w:pPr>
        <w:spacing w:after="0" w:line="240" w:lineRule="auto"/>
      </w:pPr>
    </w:p>
    <w:sectPr w:rsidR="001F51AA" w:rsidRPr="006B7561" w:rsidSect="006B7561">
      <w:headerReference w:type="default" r:id="rId11"/>
      <w:pgSz w:w="16838" w:h="11906" w:orient="landscape"/>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4854" w14:textId="77777777" w:rsidR="00C64738" w:rsidRDefault="00C64738" w:rsidP="005D0689">
      <w:pPr>
        <w:spacing w:after="0" w:line="240" w:lineRule="auto"/>
      </w:pPr>
      <w:r>
        <w:separator/>
      </w:r>
    </w:p>
  </w:endnote>
  <w:endnote w:type="continuationSeparator" w:id="0">
    <w:p w14:paraId="6982294C" w14:textId="77777777" w:rsidR="00C64738" w:rsidRDefault="00C64738" w:rsidP="005D0689">
      <w:pPr>
        <w:spacing w:after="0" w:line="240" w:lineRule="auto"/>
      </w:pPr>
      <w:r>
        <w:continuationSeparator/>
      </w:r>
    </w:p>
  </w:endnote>
  <w:endnote w:type="continuationNotice" w:id="1">
    <w:p w14:paraId="12FE411E" w14:textId="77777777" w:rsidR="00C64738" w:rsidRDefault="00C647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0EE9" w14:textId="77777777" w:rsidR="00C64738" w:rsidRDefault="00C64738" w:rsidP="005D0689">
      <w:pPr>
        <w:spacing w:after="0" w:line="240" w:lineRule="auto"/>
      </w:pPr>
      <w:r>
        <w:separator/>
      </w:r>
    </w:p>
  </w:footnote>
  <w:footnote w:type="continuationSeparator" w:id="0">
    <w:p w14:paraId="3304CD6E" w14:textId="77777777" w:rsidR="00C64738" w:rsidRDefault="00C64738" w:rsidP="005D0689">
      <w:pPr>
        <w:spacing w:after="0" w:line="240" w:lineRule="auto"/>
      </w:pPr>
      <w:r>
        <w:continuationSeparator/>
      </w:r>
    </w:p>
  </w:footnote>
  <w:footnote w:type="continuationNotice" w:id="1">
    <w:p w14:paraId="5C44A381" w14:textId="77777777" w:rsidR="00C64738" w:rsidRDefault="00C647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8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526"/>
    </w:tblGrid>
    <w:tr w:rsidR="006B7561" w14:paraId="23FC834D" w14:textId="77777777" w:rsidTr="006B7561">
      <w:tc>
        <w:tcPr>
          <w:tcW w:w="8647" w:type="dxa"/>
        </w:tcPr>
        <w:p w14:paraId="4C3EC105" w14:textId="2945E65C" w:rsidR="006B7561" w:rsidRDefault="006B7561" w:rsidP="001F51AA">
          <w:pPr>
            <w:pStyle w:val="Header"/>
            <w:tabs>
              <w:tab w:val="left" w:pos="2342"/>
            </w:tabs>
          </w:pPr>
          <w:r>
            <w:rPr>
              <w:rFonts w:ascii="Trebuchet MS" w:hAnsi="Trebuchet MS"/>
              <w:b/>
              <w:bCs/>
              <w:noProof/>
              <w:sz w:val="36"/>
              <w:szCs w:val="36"/>
            </w:rPr>
            <w:drawing>
              <wp:inline distT="0" distB="0" distL="0" distR="0" wp14:anchorId="79A31289" wp14:editId="000B1E0A">
                <wp:extent cx="1209675" cy="1387033"/>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6031" cy="1394321"/>
                        </a:xfrm>
                        <a:prstGeom prst="rect">
                          <a:avLst/>
                        </a:prstGeom>
                      </pic:spPr>
                    </pic:pic>
                  </a:graphicData>
                </a:graphic>
              </wp:inline>
            </w:drawing>
          </w:r>
        </w:p>
      </w:tc>
      <w:tc>
        <w:tcPr>
          <w:tcW w:w="9526" w:type="dxa"/>
        </w:tcPr>
        <w:p w14:paraId="3E6129F5" w14:textId="77777777" w:rsidR="006B7561" w:rsidRPr="006B7561" w:rsidRDefault="006B7561" w:rsidP="001F51AA">
          <w:pPr>
            <w:pStyle w:val="Header"/>
            <w:tabs>
              <w:tab w:val="left" w:pos="2342"/>
            </w:tabs>
            <w:rPr>
              <w:rFonts w:ascii="Arial" w:hAnsi="Arial" w:cs="Arial"/>
              <w:b/>
              <w:bCs/>
              <w:sz w:val="24"/>
              <w:szCs w:val="24"/>
            </w:rPr>
          </w:pPr>
          <w:r w:rsidRPr="006B7561">
            <w:rPr>
              <w:rFonts w:ascii="Arial" w:hAnsi="Arial" w:cs="Arial"/>
              <w:b/>
              <w:bCs/>
              <w:sz w:val="24"/>
              <w:szCs w:val="24"/>
            </w:rPr>
            <w:t>UKSPF PEOPLE AND SKILLS YEAR 2 FUNDING</w:t>
          </w:r>
        </w:p>
        <w:p w14:paraId="24676DC8" w14:textId="77777777" w:rsidR="006B7561" w:rsidRPr="006B7561" w:rsidRDefault="006B7561" w:rsidP="001F51AA">
          <w:pPr>
            <w:pStyle w:val="Header"/>
            <w:tabs>
              <w:tab w:val="left" w:pos="2342"/>
            </w:tabs>
            <w:rPr>
              <w:rFonts w:ascii="Arial" w:hAnsi="Arial" w:cs="Arial"/>
              <w:b/>
              <w:bCs/>
              <w:sz w:val="24"/>
              <w:szCs w:val="24"/>
            </w:rPr>
          </w:pPr>
        </w:p>
        <w:p w14:paraId="18823A39" w14:textId="77777777" w:rsidR="006B7561" w:rsidRDefault="006B7561" w:rsidP="001F51AA">
          <w:pPr>
            <w:pStyle w:val="Header"/>
            <w:tabs>
              <w:tab w:val="left" w:pos="2342"/>
            </w:tabs>
            <w:rPr>
              <w:rFonts w:ascii="Arial" w:hAnsi="Arial" w:cs="Arial"/>
              <w:b/>
              <w:bCs/>
              <w:sz w:val="24"/>
              <w:szCs w:val="24"/>
            </w:rPr>
          </w:pPr>
          <w:r w:rsidRPr="006B7561">
            <w:rPr>
              <w:rFonts w:ascii="Arial" w:hAnsi="Arial" w:cs="Arial"/>
              <w:b/>
              <w:bCs/>
              <w:sz w:val="24"/>
              <w:szCs w:val="24"/>
            </w:rPr>
            <w:t>Questions and Answers Log</w:t>
          </w:r>
        </w:p>
        <w:p w14:paraId="454CC780" w14:textId="77777777" w:rsidR="006B7561" w:rsidRDefault="006B7561" w:rsidP="001F51AA">
          <w:pPr>
            <w:pStyle w:val="Header"/>
            <w:tabs>
              <w:tab w:val="left" w:pos="2342"/>
            </w:tabs>
            <w:rPr>
              <w:rFonts w:ascii="Arial" w:hAnsi="Arial" w:cs="Arial"/>
              <w:b/>
              <w:bCs/>
              <w:sz w:val="24"/>
              <w:szCs w:val="24"/>
            </w:rPr>
          </w:pPr>
        </w:p>
        <w:p w14:paraId="1E7FB2D6" w14:textId="2D8667E2" w:rsidR="006B7561" w:rsidRDefault="006B7561" w:rsidP="001F51AA">
          <w:pPr>
            <w:pStyle w:val="Header"/>
            <w:tabs>
              <w:tab w:val="left" w:pos="2342"/>
            </w:tabs>
          </w:pPr>
          <w:r>
            <w:rPr>
              <w:rFonts w:ascii="Arial" w:hAnsi="Arial" w:cs="Arial"/>
              <w:b/>
              <w:bCs/>
              <w:sz w:val="24"/>
              <w:szCs w:val="24"/>
            </w:rPr>
            <w:t>Updated:  1</w:t>
          </w:r>
          <w:r w:rsidR="0053649D">
            <w:rPr>
              <w:rFonts w:ascii="Arial" w:hAnsi="Arial" w:cs="Arial"/>
              <w:b/>
              <w:bCs/>
              <w:sz w:val="24"/>
              <w:szCs w:val="24"/>
            </w:rPr>
            <w:t>6</w:t>
          </w:r>
          <w:r>
            <w:rPr>
              <w:rFonts w:ascii="Arial" w:hAnsi="Arial" w:cs="Arial"/>
              <w:b/>
              <w:bCs/>
              <w:sz w:val="24"/>
              <w:szCs w:val="24"/>
            </w:rPr>
            <w:t>/01/2023</w:t>
          </w:r>
        </w:p>
      </w:tc>
    </w:tr>
  </w:tbl>
  <w:p w14:paraId="3F80202A" w14:textId="6C345EE6" w:rsidR="001F51AA" w:rsidRDefault="001F51AA" w:rsidP="001F51AA">
    <w:pPr>
      <w:pStyle w:val="Header"/>
      <w:tabs>
        <w:tab w:val="left" w:pos="23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999"/>
    <w:multiLevelType w:val="hybridMultilevel"/>
    <w:tmpl w:val="66180A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1616C"/>
    <w:multiLevelType w:val="hybridMultilevel"/>
    <w:tmpl w:val="7A5A60EE"/>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B2D7E"/>
    <w:multiLevelType w:val="hybridMultilevel"/>
    <w:tmpl w:val="44EEAE8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9664F"/>
    <w:multiLevelType w:val="hybridMultilevel"/>
    <w:tmpl w:val="F4006D5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A416B"/>
    <w:multiLevelType w:val="hybridMultilevel"/>
    <w:tmpl w:val="2574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16DB3"/>
    <w:multiLevelType w:val="hybridMultilevel"/>
    <w:tmpl w:val="184C90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D26DD"/>
    <w:multiLevelType w:val="hybridMultilevel"/>
    <w:tmpl w:val="30FA6196"/>
    <w:lvl w:ilvl="0" w:tplc="36222EF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D7D6E"/>
    <w:multiLevelType w:val="hybridMultilevel"/>
    <w:tmpl w:val="0D5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3CDB"/>
    <w:multiLevelType w:val="hybridMultilevel"/>
    <w:tmpl w:val="DC821E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EF06D1"/>
    <w:multiLevelType w:val="multilevel"/>
    <w:tmpl w:val="6B2E1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B137D"/>
    <w:multiLevelType w:val="hybridMultilevel"/>
    <w:tmpl w:val="FDB0EB96"/>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06F1E"/>
    <w:multiLevelType w:val="hybridMultilevel"/>
    <w:tmpl w:val="04C8B1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54103"/>
    <w:multiLevelType w:val="hybridMultilevel"/>
    <w:tmpl w:val="17162D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40F8E"/>
    <w:multiLevelType w:val="multilevel"/>
    <w:tmpl w:val="D0A6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E211D5"/>
    <w:multiLevelType w:val="multilevel"/>
    <w:tmpl w:val="922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6471C0"/>
    <w:multiLevelType w:val="hybridMultilevel"/>
    <w:tmpl w:val="2E248542"/>
    <w:lvl w:ilvl="0" w:tplc="2ADA769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FF0A85"/>
    <w:multiLevelType w:val="hybridMultilevel"/>
    <w:tmpl w:val="1AD0DFB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782CB5"/>
    <w:multiLevelType w:val="hybridMultilevel"/>
    <w:tmpl w:val="B06813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ED5EA3"/>
    <w:multiLevelType w:val="hybridMultilevel"/>
    <w:tmpl w:val="AC4EA0AA"/>
    <w:lvl w:ilvl="0" w:tplc="67F0E068">
      <w:start w:val="1"/>
      <w:numFmt w:val="upperLetter"/>
      <w:lvlText w:val="%1."/>
      <w:lvlJc w:val="left"/>
      <w:pPr>
        <w:ind w:left="720" w:hanging="360"/>
      </w:pPr>
      <w:rPr>
        <w:rFonts w:hint="default"/>
        <w:color w:val="080F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6"/>
  </w:num>
  <w:num w:numId="5">
    <w:abstractNumId w:val="12"/>
  </w:num>
  <w:num w:numId="6">
    <w:abstractNumId w:val="3"/>
  </w:num>
  <w:num w:numId="7">
    <w:abstractNumId w:val="2"/>
  </w:num>
  <w:num w:numId="8">
    <w:abstractNumId w:val="18"/>
  </w:num>
  <w:num w:numId="9">
    <w:abstractNumId w:val="6"/>
  </w:num>
  <w:num w:numId="10">
    <w:abstractNumId w:val="10"/>
  </w:num>
  <w:num w:numId="11">
    <w:abstractNumId w:val="8"/>
  </w:num>
  <w:num w:numId="12">
    <w:abstractNumId w:val="14"/>
  </w:num>
  <w:num w:numId="13">
    <w:abstractNumId w:val="11"/>
  </w:num>
  <w:num w:numId="14">
    <w:abstractNumId w:val="13"/>
  </w:num>
  <w:num w:numId="15">
    <w:abstractNumId w:val="1"/>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3A"/>
    <w:rsid w:val="00041AF4"/>
    <w:rsid w:val="0005046E"/>
    <w:rsid w:val="00070750"/>
    <w:rsid w:val="000A5E65"/>
    <w:rsid w:val="000C308A"/>
    <w:rsid w:val="000D180B"/>
    <w:rsid w:val="00123B64"/>
    <w:rsid w:val="001D6540"/>
    <w:rsid w:val="001F51AA"/>
    <w:rsid w:val="002A2B45"/>
    <w:rsid w:val="00397B92"/>
    <w:rsid w:val="003B7A16"/>
    <w:rsid w:val="003C1436"/>
    <w:rsid w:val="003C4B29"/>
    <w:rsid w:val="003C5CD7"/>
    <w:rsid w:val="003D7145"/>
    <w:rsid w:val="00423FDF"/>
    <w:rsid w:val="004461B5"/>
    <w:rsid w:val="004A7FB5"/>
    <w:rsid w:val="0053649D"/>
    <w:rsid w:val="005667EC"/>
    <w:rsid w:val="005D0689"/>
    <w:rsid w:val="005E2E3D"/>
    <w:rsid w:val="00660051"/>
    <w:rsid w:val="006B7561"/>
    <w:rsid w:val="00713B5E"/>
    <w:rsid w:val="00752BC8"/>
    <w:rsid w:val="00792908"/>
    <w:rsid w:val="00797CE0"/>
    <w:rsid w:val="00803EB4"/>
    <w:rsid w:val="008B2CBF"/>
    <w:rsid w:val="0093424E"/>
    <w:rsid w:val="00964F87"/>
    <w:rsid w:val="00971946"/>
    <w:rsid w:val="00987576"/>
    <w:rsid w:val="00991D24"/>
    <w:rsid w:val="009E6203"/>
    <w:rsid w:val="009F7605"/>
    <w:rsid w:val="00A0344E"/>
    <w:rsid w:val="00A17104"/>
    <w:rsid w:val="00A5058C"/>
    <w:rsid w:val="00AF0A5A"/>
    <w:rsid w:val="00B21F83"/>
    <w:rsid w:val="00B66097"/>
    <w:rsid w:val="00B8022B"/>
    <w:rsid w:val="00BE2AF5"/>
    <w:rsid w:val="00BF57BE"/>
    <w:rsid w:val="00C64738"/>
    <w:rsid w:val="00CA4D9E"/>
    <w:rsid w:val="00CC5D2A"/>
    <w:rsid w:val="00CE748B"/>
    <w:rsid w:val="00D46828"/>
    <w:rsid w:val="00DF253A"/>
    <w:rsid w:val="00E26469"/>
    <w:rsid w:val="00E35ACC"/>
    <w:rsid w:val="00E6006F"/>
    <w:rsid w:val="00E81783"/>
    <w:rsid w:val="00E96638"/>
    <w:rsid w:val="00EC565B"/>
    <w:rsid w:val="00ED0EB8"/>
    <w:rsid w:val="00F20A82"/>
    <w:rsid w:val="00F43F88"/>
    <w:rsid w:val="00F77E3F"/>
    <w:rsid w:val="00F94EAB"/>
    <w:rsid w:val="00FF0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5F6E"/>
  <w15:chartTrackingRefBased/>
  <w15:docId w15:val="{5EF3ACB7-6DBC-4113-8D43-D442A8D5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436"/>
    <w:rPr>
      <w:color w:val="0000FF"/>
      <w:u w:val="single"/>
    </w:rPr>
  </w:style>
  <w:style w:type="paragraph" w:customStyle="1" w:styleId="paragraph">
    <w:name w:val="paragraph"/>
    <w:basedOn w:val="Normal"/>
    <w:rsid w:val="00EC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565B"/>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1"/>
    <w:qFormat/>
    <w:rsid w:val="008B2CBF"/>
    <w:pPr>
      <w:ind w:left="720"/>
      <w:contextualSpacing/>
    </w:pPr>
  </w:style>
  <w:style w:type="paragraph" w:styleId="NormalWeb">
    <w:name w:val="Normal (Web)"/>
    <w:basedOn w:val="Normal"/>
    <w:uiPriority w:val="99"/>
    <w:unhideWhenUsed/>
    <w:rsid w:val="00FF0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3424E"/>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3424E"/>
    <w:pPr>
      <w:spacing w:after="0" w:line="240" w:lineRule="auto"/>
    </w:pPr>
  </w:style>
  <w:style w:type="table" w:styleId="TableGrid">
    <w:name w:val="Table Grid"/>
    <w:basedOn w:val="TableNormal"/>
    <w:uiPriority w:val="39"/>
    <w:rsid w:val="00A0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0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689"/>
    <w:rPr>
      <w:sz w:val="20"/>
      <w:szCs w:val="20"/>
    </w:rPr>
  </w:style>
  <w:style w:type="character" w:styleId="FootnoteReference">
    <w:name w:val="footnote reference"/>
    <w:basedOn w:val="DefaultParagraphFont"/>
    <w:uiPriority w:val="99"/>
    <w:semiHidden/>
    <w:unhideWhenUsed/>
    <w:rsid w:val="005D0689"/>
    <w:rPr>
      <w:vertAlign w:val="superscript"/>
    </w:rPr>
  </w:style>
  <w:style w:type="character" w:styleId="CommentReference">
    <w:name w:val="annotation reference"/>
    <w:basedOn w:val="DefaultParagraphFont"/>
    <w:uiPriority w:val="99"/>
    <w:semiHidden/>
    <w:unhideWhenUsed/>
    <w:rsid w:val="005D0689"/>
    <w:rPr>
      <w:sz w:val="16"/>
      <w:szCs w:val="16"/>
    </w:rPr>
  </w:style>
  <w:style w:type="paragraph" w:styleId="CommentText">
    <w:name w:val="annotation text"/>
    <w:basedOn w:val="Normal"/>
    <w:link w:val="CommentTextChar"/>
    <w:uiPriority w:val="99"/>
    <w:unhideWhenUsed/>
    <w:rsid w:val="005D0689"/>
    <w:pPr>
      <w:spacing w:line="240" w:lineRule="auto"/>
    </w:pPr>
    <w:rPr>
      <w:sz w:val="20"/>
      <w:szCs w:val="20"/>
    </w:rPr>
  </w:style>
  <w:style w:type="character" w:customStyle="1" w:styleId="CommentTextChar">
    <w:name w:val="Comment Text Char"/>
    <w:basedOn w:val="DefaultParagraphFont"/>
    <w:link w:val="CommentText"/>
    <w:uiPriority w:val="99"/>
    <w:rsid w:val="005D0689"/>
    <w:rPr>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1"/>
    <w:qFormat/>
    <w:locked/>
    <w:rsid w:val="001F51AA"/>
  </w:style>
  <w:style w:type="paragraph" w:styleId="Header">
    <w:name w:val="header"/>
    <w:basedOn w:val="Normal"/>
    <w:link w:val="HeaderChar"/>
    <w:uiPriority w:val="99"/>
    <w:unhideWhenUsed/>
    <w:rsid w:val="001F5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AA"/>
  </w:style>
  <w:style w:type="paragraph" w:styleId="Footer">
    <w:name w:val="footer"/>
    <w:basedOn w:val="Normal"/>
    <w:link w:val="FooterChar"/>
    <w:uiPriority w:val="99"/>
    <w:unhideWhenUsed/>
    <w:rsid w:val="001F5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AA"/>
  </w:style>
  <w:style w:type="character" w:customStyle="1" w:styleId="contentpasted0">
    <w:name w:val="contentpasted0"/>
    <w:basedOn w:val="DefaultParagraphFont"/>
    <w:rsid w:val="005E2E3D"/>
  </w:style>
  <w:style w:type="paragraph" w:styleId="CommentSubject">
    <w:name w:val="annotation subject"/>
    <w:basedOn w:val="CommentText"/>
    <w:next w:val="CommentText"/>
    <w:link w:val="CommentSubjectChar"/>
    <w:uiPriority w:val="99"/>
    <w:semiHidden/>
    <w:unhideWhenUsed/>
    <w:rsid w:val="00CC5D2A"/>
    <w:rPr>
      <w:b/>
      <w:bCs/>
    </w:rPr>
  </w:style>
  <w:style w:type="character" w:customStyle="1" w:styleId="CommentSubjectChar">
    <w:name w:val="Comment Subject Char"/>
    <w:basedOn w:val="CommentTextChar"/>
    <w:link w:val="CommentSubject"/>
    <w:uiPriority w:val="99"/>
    <w:semiHidden/>
    <w:rsid w:val="00CC5D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0094">
      <w:bodyDiv w:val="1"/>
      <w:marLeft w:val="0"/>
      <w:marRight w:val="0"/>
      <w:marTop w:val="0"/>
      <w:marBottom w:val="0"/>
      <w:divBdr>
        <w:top w:val="none" w:sz="0" w:space="0" w:color="auto"/>
        <w:left w:val="none" w:sz="0" w:space="0" w:color="auto"/>
        <w:bottom w:val="none" w:sz="0" w:space="0" w:color="auto"/>
        <w:right w:val="none" w:sz="0" w:space="0" w:color="auto"/>
      </w:divBdr>
    </w:div>
    <w:div w:id="493030099">
      <w:bodyDiv w:val="1"/>
      <w:marLeft w:val="0"/>
      <w:marRight w:val="0"/>
      <w:marTop w:val="0"/>
      <w:marBottom w:val="0"/>
      <w:divBdr>
        <w:top w:val="none" w:sz="0" w:space="0" w:color="auto"/>
        <w:left w:val="none" w:sz="0" w:space="0" w:color="auto"/>
        <w:bottom w:val="none" w:sz="0" w:space="0" w:color="auto"/>
        <w:right w:val="none" w:sz="0" w:space="0" w:color="auto"/>
      </w:divBdr>
    </w:div>
    <w:div w:id="827015577">
      <w:bodyDiv w:val="1"/>
      <w:marLeft w:val="0"/>
      <w:marRight w:val="0"/>
      <w:marTop w:val="0"/>
      <w:marBottom w:val="0"/>
      <w:divBdr>
        <w:top w:val="none" w:sz="0" w:space="0" w:color="auto"/>
        <w:left w:val="none" w:sz="0" w:space="0" w:color="auto"/>
        <w:bottom w:val="none" w:sz="0" w:space="0" w:color="auto"/>
        <w:right w:val="none" w:sz="0" w:space="0" w:color="auto"/>
      </w:divBdr>
    </w:div>
    <w:div w:id="940644095">
      <w:bodyDiv w:val="1"/>
      <w:marLeft w:val="0"/>
      <w:marRight w:val="0"/>
      <w:marTop w:val="0"/>
      <w:marBottom w:val="0"/>
      <w:divBdr>
        <w:top w:val="none" w:sz="0" w:space="0" w:color="auto"/>
        <w:left w:val="none" w:sz="0" w:space="0" w:color="auto"/>
        <w:bottom w:val="none" w:sz="0" w:space="0" w:color="auto"/>
        <w:right w:val="none" w:sz="0" w:space="0" w:color="auto"/>
      </w:divBdr>
    </w:div>
    <w:div w:id="1048605186">
      <w:bodyDiv w:val="1"/>
      <w:marLeft w:val="0"/>
      <w:marRight w:val="0"/>
      <w:marTop w:val="0"/>
      <w:marBottom w:val="0"/>
      <w:divBdr>
        <w:top w:val="none" w:sz="0" w:space="0" w:color="auto"/>
        <w:left w:val="none" w:sz="0" w:space="0" w:color="auto"/>
        <w:bottom w:val="none" w:sz="0" w:space="0" w:color="auto"/>
        <w:right w:val="none" w:sz="0" w:space="0" w:color="auto"/>
      </w:divBdr>
    </w:div>
    <w:div w:id="1381436497">
      <w:bodyDiv w:val="1"/>
      <w:marLeft w:val="0"/>
      <w:marRight w:val="0"/>
      <w:marTop w:val="0"/>
      <w:marBottom w:val="0"/>
      <w:divBdr>
        <w:top w:val="none" w:sz="0" w:space="0" w:color="auto"/>
        <w:left w:val="none" w:sz="0" w:space="0" w:color="auto"/>
        <w:bottom w:val="none" w:sz="0" w:space="0" w:color="auto"/>
        <w:right w:val="none" w:sz="0" w:space="0" w:color="auto"/>
      </w:divBdr>
    </w:div>
    <w:div w:id="1432432582">
      <w:bodyDiv w:val="1"/>
      <w:marLeft w:val="0"/>
      <w:marRight w:val="0"/>
      <w:marTop w:val="0"/>
      <w:marBottom w:val="0"/>
      <w:divBdr>
        <w:top w:val="none" w:sz="0" w:space="0" w:color="auto"/>
        <w:left w:val="none" w:sz="0" w:space="0" w:color="auto"/>
        <w:bottom w:val="none" w:sz="0" w:space="0" w:color="auto"/>
        <w:right w:val="none" w:sz="0" w:space="0" w:color="auto"/>
      </w:divBdr>
    </w:div>
    <w:div w:id="1527595017">
      <w:bodyDiv w:val="1"/>
      <w:marLeft w:val="0"/>
      <w:marRight w:val="0"/>
      <w:marTop w:val="0"/>
      <w:marBottom w:val="0"/>
      <w:divBdr>
        <w:top w:val="none" w:sz="0" w:space="0" w:color="auto"/>
        <w:left w:val="none" w:sz="0" w:space="0" w:color="auto"/>
        <w:bottom w:val="none" w:sz="0" w:space="0" w:color="auto"/>
        <w:right w:val="none" w:sz="0" w:space="0" w:color="auto"/>
      </w:divBdr>
    </w:div>
    <w:div w:id="1671175343">
      <w:bodyDiv w:val="1"/>
      <w:marLeft w:val="0"/>
      <w:marRight w:val="0"/>
      <w:marTop w:val="0"/>
      <w:marBottom w:val="0"/>
      <w:divBdr>
        <w:top w:val="none" w:sz="0" w:space="0" w:color="auto"/>
        <w:left w:val="none" w:sz="0" w:space="0" w:color="auto"/>
        <w:bottom w:val="none" w:sz="0" w:space="0" w:color="auto"/>
        <w:right w:val="none" w:sz="0" w:space="0" w:color="auto"/>
      </w:divBdr>
    </w:div>
    <w:div w:id="19321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6629934-8f11-43d4-9284-a90f0692aadb">
      <UserInfo>
        <DisplayName>Helen Joicey</DisplayName>
        <AccountId>634</AccountId>
        <AccountType/>
      </UserInfo>
      <UserInfo>
        <DisplayName>Barraclough, Nicola (North Of Tyne)</DisplayName>
        <AccountId>531</AccountId>
        <AccountType/>
      </UserInfo>
      <UserInfo>
        <DisplayName>Gaul, Ruth (North Of Tyne)</DisplayName>
        <AccountId>101</AccountId>
        <AccountType/>
      </UserInfo>
      <UserInfo>
        <DisplayName>Carbert, Paul (North Of Tyne)</DisplayName>
        <AccountId>541</AccountId>
        <AccountType/>
      </UserInfo>
    </SharedWithUsers>
    <lcf76f155ced4ddcb4097134ff3c332f xmlns="987c1c2e-0242-46eb-9b69-16b1d7ad91d0">
      <Terms xmlns="http://schemas.microsoft.com/office/infopath/2007/PartnerControls"/>
    </lcf76f155ced4ddcb4097134ff3c332f>
    <TaxCatchAll xmlns="a6629934-8f11-43d4-9284-a90f0692aa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4F882-833C-443A-A44C-8141CE617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499B6-4D99-4016-ABDB-6C6AB8A7E301}">
  <ds:schemaRefs>
    <ds:schemaRef ds:uri="http://schemas.openxmlformats.org/officeDocument/2006/bibliography"/>
  </ds:schemaRefs>
</ds:datastoreItem>
</file>

<file path=customXml/itemProps3.xml><?xml version="1.0" encoding="utf-8"?>
<ds:datastoreItem xmlns:ds="http://schemas.openxmlformats.org/officeDocument/2006/customXml" ds:itemID="{AFF01F90-BCEE-4786-B35B-089353C42FF2}">
  <ds:schemaRefs>
    <ds:schemaRef ds:uri="http://schemas.microsoft.com/office/2006/metadata/properties"/>
    <ds:schemaRef ds:uri="http://schemas.microsoft.com/office/infopath/2007/PartnerControls"/>
    <ds:schemaRef ds:uri="a6629934-8f11-43d4-9284-a90f0692aadb"/>
    <ds:schemaRef ds:uri="987c1c2e-0242-46eb-9b69-16b1d7ad91d0"/>
  </ds:schemaRefs>
</ds:datastoreItem>
</file>

<file path=customXml/itemProps4.xml><?xml version="1.0" encoding="utf-8"?>
<ds:datastoreItem xmlns:ds="http://schemas.openxmlformats.org/officeDocument/2006/customXml" ds:itemID="{29D582F6-1B3B-416B-821C-77D33EE88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Danielle (North Of Tyne)</dc:creator>
  <cp:keywords/>
  <dc:description/>
  <cp:lastModifiedBy>Barraclough, Nicola (North Of Tyne)</cp:lastModifiedBy>
  <cp:revision>3</cp:revision>
  <dcterms:created xsi:type="dcterms:W3CDTF">2023-01-16T16:40:00Z</dcterms:created>
  <dcterms:modified xsi:type="dcterms:W3CDTF">2023-01-16T16:41:00Z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