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B360" w14:textId="292726CA" w:rsidR="00472DEB" w:rsidRPr="00472DEB" w:rsidRDefault="00263315" w:rsidP="00472DEB">
      <w:pPr>
        <w:widowControl w:val="0"/>
        <w:autoSpaceDE w:val="0"/>
        <w:autoSpaceDN w:val="0"/>
        <w:spacing w:after="0" w:line="240" w:lineRule="auto"/>
        <w:ind w:left="347"/>
        <w:rPr>
          <w:rFonts w:ascii="Times New Roman" w:eastAsia="Arial" w:hAnsi="Arial" w:cs="Arial"/>
          <w:sz w:val="20"/>
          <w:szCs w:val="24"/>
          <w:lang w:val="en-US"/>
        </w:rPr>
      </w:pPr>
      <w:r>
        <w:rPr>
          <w:rFonts w:ascii="Trebuchet MS" w:hAnsi="Trebuchet MS"/>
          <w:b/>
          <w:bCs/>
          <w:noProof/>
          <w:sz w:val="36"/>
          <w:szCs w:val="36"/>
        </w:rPr>
        <w:drawing>
          <wp:anchor distT="0" distB="0" distL="114300" distR="114300" simplePos="0" relativeHeight="251658242" behindDoc="0" locked="0" layoutInCell="1" allowOverlap="1" wp14:anchorId="5E07DA90" wp14:editId="4850DB0F">
            <wp:simplePos x="0" y="0"/>
            <wp:positionH relativeFrom="margin">
              <wp:align>left</wp:align>
            </wp:positionH>
            <wp:positionV relativeFrom="paragraph">
              <wp:posOffset>469</wp:posOffset>
            </wp:positionV>
            <wp:extent cx="1209675" cy="1387033"/>
            <wp:effectExtent l="0" t="0" r="0" b="0"/>
            <wp:wrapThrough wrapText="bothSides">
              <wp:wrapPolygon edited="0">
                <wp:start x="0" y="0"/>
                <wp:lineTo x="0" y="17209"/>
                <wp:lineTo x="17688" y="17209"/>
                <wp:lineTo x="18709" y="10978"/>
                <wp:lineTo x="16328" y="9495"/>
                <wp:lineTo x="11225" y="9495"/>
                <wp:lineTo x="13266" y="5637"/>
                <wp:lineTo x="13266" y="4747"/>
                <wp:lineTo x="11906" y="1187"/>
                <wp:lineTo x="11225"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09675" cy="1387033"/>
                    </a:xfrm>
                    <a:prstGeom prst="rect">
                      <a:avLst/>
                    </a:prstGeom>
                  </pic:spPr>
                </pic:pic>
              </a:graphicData>
            </a:graphic>
          </wp:anchor>
        </w:drawing>
      </w:r>
      <w:r w:rsidRPr="00D31895">
        <w:rPr>
          <w:rFonts w:eastAsia="Times New Roman"/>
          <w:noProof/>
          <w:lang w:eastAsia="en-GB"/>
        </w:rPr>
        <w:drawing>
          <wp:anchor distT="0" distB="0" distL="114300" distR="114300" simplePos="0" relativeHeight="251658240" behindDoc="1" locked="0" layoutInCell="1" allowOverlap="1" wp14:anchorId="02C36E40" wp14:editId="69FF277D">
            <wp:simplePos x="0" y="0"/>
            <wp:positionH relativeFrom="column">
              <wp:posOffset>1488109</wp:posOffset>
            </wp:positionH>
            <wp:positionV relativeFrom="paragraph">
              <wp:posOffset>-39757</wp:posOffset>
            </wp:positionV>
            <wp:extent cx="2560955" cy="894715"/>
            <wp:effectExtent l="0" t="0" r="0" b="635"/>
            <wp:wrapNone/>
            <wp:docPr id="7" name="Picture 6">
              <a:extLst xmlns:a="http://schemas.openxmlformats.org/drawingml/2006/main">
                <a:ext uri="{FF2B5EF4-FFF2-40B4-BE49-F238E27FC236}">
                  <a16:creationId xmlns:a16="http://schemas.microsoft.com/office/drawing/2014/main" id="{331AA545-1AC3-4926-B3F1-F23BF5F35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31AA545-1AC3-4926-B3F1-F23BF5F3570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60955" cy="894715"/>
                    </a:xfrm>
                    <a:prstGeom prst="rect">
                      <a:avLst/>
                    </a:prstGeom>
                  </pic:spPr>
                </pic:pic>
              </a:graphicData>
            </a:graphic>
          </wp:anchor>
        </w:drawing>
      </w:r>
      <w:r w:rsidRPr="00472DEB">
        <w:rPr>
          <w:rFonts w:ascii="Times New Roman" w:eastAsia="Arial" w:hAnsi="Arial" w:cs="Arial"/>
          <w:noProof/>
          <w:sz w:val="20"/>
          <w:szCs w:val="24"/>
          <w:lang w:val="en-US"/>
        </w:rPr>
        <w:drawing>
          <wp:anchor distT="0" distB="0" distL="114300" distR="114300" simplePos="0" relativeHeight="251658241" behindDoc="1" locked="0" layoutInCell="1" allowOverlap="1" wp14:anchorId="6E88F98F" wp14:editId="21A6934B">
            <wp:simplePos x="0" y="0"/>
            <wp:positionH relativeFrom="column">
              <wp:posOffset>4073332</wp:posOffset>
            </wp:positionH>
            <wp:positionV relativeFrom="paragraph">
              <wp:posOffset>-280725</wp:posOffset>
            </wp:positionV>
            <wp:extent cx="2454275" cy="142240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4275" cy="1422400"/>
                    </a:xfrm>
                    <a:prstGeom prst="rect">
                      <a:avLst/>
                    </a:prstGeom>
                    <a:noFill/>
                  </pic:spPr>
                </pic:pic>
              </a:graphicData>
            </a:graphic>
          </wp:anchor>
        </w:drawing>
      </w:r>
    </w:p>
    <w:p w14:paraId="0AD91F01"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46871486"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472B2422"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5D1602D1"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3076FD4B"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5FDFF944"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2E6A896F"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48273819"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p w14:paraId="239FE995" w14:textId="77777777" w:rsidR="00472DEB" w:rsidRPr="00472DEB" w:rsidRDefault="00472DEB" w:rsidP="00472DEB">
      <w:pPr>
        <w:widowControl w:val="0"/>
        <w:autoSpaceDE w:val="0"/>
        <w:autoSpaceDN w:val="0"/>
        <w:spacing w:after="0" w:line="240" w:lineRule="auto"/>
        <w:rPr>
          <w:rFonts w:ascii="Times New Roman" w:eastAsia="Arial" w:hAnsi="Arial" w:cs="Arial"/>
          <w:sz w:val="20"/>
          <w:szCs w:val="24"/>
          <w:lang w:val="en-US"/>
        </w:rPr>
      </w:pPr>
    </w:p>
    <w:tbl>
      <w:tblPr>
        <w:tblpPr w:leftFromText="180" w:rightFromText="180" w:horzAnchor="margin" w:tblpY="3540"/>
        <w:tblW w:w="9190"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left w:w="0" w:type="dxa"/>
          <w:right w:w="0" w:type="dxa"/>
        </w:tblCellMar>
        <w:tblLook w:val="01E0" w:firstRow="1" w:lastRow="1" w:firstColumn="1" w:lastColumn="1" w:noHBand="0" w:noVBand="0"/>
      </w:tblPr>
      <w:tblGrid>
        <w:gridCol w:w="9190"/>
      </w:tblGrid>
      <w:tr w:rsidR="00472DEB" w:rsidRPr="00472DEB" w14:paraId="429DB2A8" w14:textId="77777777" w:rsidTr="00472DEB">
        <w:trPr>
          <w:trHeight w:val="2071"/>
        </w:trPr>
        <w:tc>
          <w:tcPr>
            <w:tcW w:w="9190" w:type="dxa"/>
            <w:shd w:val="clear" w:color="auto" w:fill="BAD4D1"/>
          </w:tcPr>
          <w:p w14:paraId="48D0AC14" w14:textId="77777777" w:rsidR="00472DEB" w:rsidRPr="00472DEB" w:rsidRDefault="00472DEB" w:rsidP="00472DEB">
            <w:pPr>
              <w:widowControl w:val="0"/>
              <w:autoSpaceDE w:val="0"/>
              <w:autoSpaceDN w:val="0"/>
              <w:spacing w:before="1" w:after="0" w:line="240" w:lineRule="auto"/>
              <w:rPr>
                <w:rFonts w:ascii="Times New Roman" w:eastAsia="Arial" w:hAnsi="Arial" w:cs="Arial"/>
                <w:sz w:val="60"/>
                <w:lang w:val="en-US"/>
              </w:rPr>
            </w:pPr>
          </w:p>
          <w:p w14:paraId="086668E4" w14:textId="77777777" w:rsidR="00472DEB" w:rsidRPr="00472DEB" w:rsidRDefault="00472DEB" w:rsidP="00472DEB">
            <w:pPr>
              <w:widowControl w:val="0"/>
              <w:autoSpaceDE w:val="0"/>
              <w:autoSpaceDN w:val="0"/>
              <w:spacing w:after="0" w:line="240" w:lineRule="auto"/>
              <w:ind w:left="104"/>
              <w:rPr>
                <w:rFonts w:ascii="Arial" w:eastAsia="Arial" w:hAnsi="Arial" w:cs="Arial"/>
                <w:b/>
                <w:sz w:val="60"/>
                <w:lang w:val="en-US"/>
              </w:rPr>
            </w:pPr>
            <w:r w:rsidRPr="00472DEB">
              <w:rPr>
                <w:rFonts w:ascii="Arial" w:eastAsia="Arial" w:hAnsi="Arial" w:cs="Arial"/>
                <w:b/>
                <w:sz w:val="60"/>
                <w:lang w:val="en-US"/>
              </w:rPr>
              <w:t xml:space="preserve">North of Tyne </w:t>
            </w:r>
          </w:p>
          <w:p w14:paraId="5BD29C56" w14:textId="77777777" w:rsidR="00472DEB" w:rsidRPr="00472DEB" w:rsidRDefault="00472DEB" w:rsidP="00472DEB">
            <w:pPr>
              <w:widowControl w:val="0"/>
              <w:autoSpaceDE w:val="0"/>
              <w:autoSpaceDN w:val="0"/>
              <w:spacing w:after="0" w:line="240" w:lineRule="auto"/>
              <w:ind w:left="104"/>
              <w:rPr>
                <w:rFonts w:ascii="Arial" w:eastAsia="Arial" w:hAnsi="Arial" w:cs="Arial"/>
                <w:b/>
                <w:sz w:val="60"/>
                <w:lang w:val="en-US"/>
              </w:rPr>
            </w:pPr>
            <w:r w:rsidRPr="00472DEB">
              <w:rPr>
                <w:rFonts w:ascii="Arial" w:eastAsia="Arial" w:hAnsi="Arial" w:cs="Arial"/>
                <w:b/>
                <w:sz w:val="60"/>
                <w:lang w:val="en-US"/>
              </w:rPr>
              <w:t>UK Shared Prosperity Fund</w:t>
            </w:r>
          </w:p>
          <w:p w14:paraId="39C48135" w14:textId="77777777" w:rsidR="00472DEB" w:rsidRPr="00472DEB" w:rsidRDefault="00472DEB" w:rsidP="00472DEB">
            <w:pPr>
              <w:widowControl w:val="0"/>
              <w:autoSpaceDE w:val="0"/>
              <w:autoSpaceDN w:val="0"/>
              <w:spacing w:after="0" w:line="240" w:lineRule="auto"/>
              <w:ind w:left="104"/>
              <w:rPr>
                <w:rFonts w:ascii="Arial" w:eastAsia="Arial" w:hAnsi="Arial" w:cs="Arial"/>
                <w:b/>
                <w:sz w:val="60"/>
                <w:lang w:val="en-US"/>
              </w:rPr>
            </w:pPr>
          </w:p>
        </w:tc>
      </w:tr>
      <w:tr w:rsidR="00472DEB" w:rsidRPr="00472DEB" w14:paraId="33FF476E" w14:textId="77777777" w:rsidTr="00472DEB">
        <w:trPr>
          <w:trHeight w:val="1654"/>
        </w:trPr>
        <w:tc>
          <w:tcPr>
            <w:tcW w:w="9190" w:type="dxa"/>
            <w:shd w:val="clear" w:color="auto" w:fill="BAD4D1"/>
          </w:tcPr>
          <w:p w14:paraId="36DBC028" w14:textId="77777777" w:rsidR="00472DEB" w:rsidRPr="00472DEB" w:rsidRDefault="00472DEB" w:rsidP="00472DEB">
            <w:pPr>
              <w:spacing w:after="0" w:line="240" w:lineRule="auto"/>
              <w:jc w:val="center"/>
              <w:textAlignment w:val="baseline"/>
              <w:rPr>
                <w:rFonts w:ascii="Arial" w:eastAsia="Times New Roman" w:hAnsi="Arial" w:cs="Arial"/>
                <w:b/>
                <w:bCs/>
                <w:sz w:val="40"/>
                <w:szCs w:val="40"/>
                <w:lang w:eastAsia="en-GB"/>
              </w:rPr>
            </w:pPr>
          </w:p>
          <w:p w14:paraId="4C6E8378" w14:textId="77777777" w:rsidR="00B96325" w:rsidRPr="00472DEB" w:rsidRDefault="00B96325" w:rsidP="00B96325">
            <w:pPr>
              <w:widowControl w:val="0"/>
              <w:autoSpaceDE w:val="0"/>
              <w:autoSpaceDN w:val="0"/>
              <w:spacing w:after="0" w:line="240" w:lineRule="auto"/>
              <w:ind w:left="104"/>
              <w:rPr>
                <w:rFonts w:ascii="Arial" w:eastAsia="Arial" w:hAnsi="Arial" w:cs="Arial"/>
                <w:b/>
                <w:sz w:val="60"/>
                <w:lang w:val="en-US"/>
              </w:rPr>
            </w:pPr>
            <w:r w:rsidRPr="00472DEB">
              <w:rPr>
                <w:rFonts w:ascii="Arial" w:eastAsia="Arial" w:hAnsi="Arial" w:cs="Arial"/>
                <w:b/>
                <w:sz w:val="60"/>
                <w:lang w:val="en-US"/>
              </w:rPr>
              <w:t>UK Shared Prosperity Fund</w:t>
            </w:r>
          </w:p>
          <w:p w14:paraId="4B6470A9" w14:textId="77777777" w:rsidR="00472DEB" w:rsidRPr="00472DEB" w:rsidRDefault="00472DEB" w:rsidP="00472DEB">
            <w:pPr>
              <w:widowControl w:val="0"/>
              <w:autoSpaceDE w:val="0"/>
              <w:autoSpaceDN w:val="0"/>
              <w:spacing w:after="0" w:line="240" w:lineRule="auto"/>
              <w:ind w:left="104"/>
              <w:rPr>
                <w:rFonts w:ascii="Arial" w:eastAsia="Arial" w:hAnsi="Arial" w:cs="Arial"/>
                <w:b/>
                <w:sz w:val="60"/>
                <w:lang w:val="en-US"/>
              </w:rPr>
            </w:pPr>
            <w:r w:rsidRPr="00472DEB">
              <w:rPr>
                <w:rFonts w:ascii="Arial" w:eastAsia="Arial" w:hAnsi="Arial" w:cs="Arial"/>
                <w:b/>
                <w:sz w:val="60"/>
                <w:lang w:val="en-US"/>
              </w:rPr>
              <w:t>People and Skills</w:t>
            </w:r>
            <w:r w:rsidRPr="00472DEB">
              <w:rPr>
                <w:rFonts w:ascii="Arial" w:eastAsia="Arial" w:hAnsi="Arial" w:cs="Arial"/>
                <w:sz w:val="60"/>
                <w:lang w:val="en-US"/>
              </w:rPr>
              <w:t> </w:t>
            </w:r>
            <w:r w:rsidRPr="00472DEB">
              <w:rPr>
                <w:rFonts w:ascii="Arial" w:eastAsia="Arial" w:hAnsi="Arial" w:cs="Arial"/>
                <w:b/>
                <w:sz w:val="60"/>
                <w:lang w:val="en-US"/>
              </w:rPr>
              <w:t> </w:t>
            </w:r>
          </w:p>
          <w:p w14:paraId="6742D151" w14:textId="77777777" w:rsidR="00472DEB" w:rsidRPr="00472DEB" w:rsidRDefault="00472DEB" w:rsidP="00472DEB">
            <w:pPr>
              <w:widowControl w:val="0"/>
              <w:autoSpaceDE w:val="0"/>
              <w:autoSpaceDN w:val="0"/>
              <w:spacing w:after="0" w:line="240" w:lineRule="auto"/>
              <w:ind w:left="104"/>
              <w:rPr>
                <w:rFonts w:ascii="Arial" w:eastAsia="Arial" w:hAnsi="Arial" w:cs="Arial"/>
                <w:b/>
                <w:sz w:val="60"/>
                <w:lang w:val="en-US"/>
              </w:rPr>
            </w:pPr>
          </w:p>
          <w:p w14:paraId="09650D09" w14:textId="77777777" w:rsidR="00472DEB" w:rsidRPr="00472DEB" w:rsidRDefault="00472DEB" w:rsidP="00472DEB">
            <w:pPr>
              <w:widowControl w:val="0"/>
              <w:autoSpaceDE w:val="0"/>
              <w:autoSpaceDN w:val="0"/>
              <w:spacing w:after="0" w:line="240" w:lineRule="auto"/>
              <w:ind w:left="104"/>
              <w:rPr>
                <w:rFonts w:ascii="Arial" w:eastAsia="Arial" w:hAnsi="Arial" w:cs="Arial"/>
                <w:b/>
                <w:sz w:val="48"/>
                <w:lang w:val="en-US"/>
              </w:rPr>
            </w:pPr>
            <w:r w:rsidRPr="00472DEB">
              <w:rPr>
                <w:rFonts w:ascii="Arial" w:eastAsia="Arial" w:hAnsi="Arial" w:cs="Arial"/>
                <w:b/>
                <w:sz w:val="48"/>
                <w:lang w:val="en-US"/>
              </w:rPr>
              <w:t xml:space="preserve">Open Call Guidance </w:t>
            </w:r>
          </w:p>
          <w:p w14:paraId="04B1C85F" w14:textId="77777777" w:rsidR="00472DEB" w:rsidRPr="00472DEB" w:rsidRDefault="00472DEB" w:rsidP="00472DEB">
            <w:pPr>
              <w:widowControl w:val="0"/>
              <w:autoSpaceDE w:val="0"/>
              <w:autoSpaceDN w:val="0"/>
              <w:spacing w:after="0" w:line="240" w:lineRule="auto"/>
              <w:ind w:left="104"/>
              <w:rPr>
                <w:rFonts w:ascii="Arial" w:eastAsia="Arial" w:hAnsi="Arial" w:cs="Arial"/>
                <w:b/>
                <w:sz w:val="48"/>
                <w:lang w:val="en-US"/>
              </w:rPr>
            </w:pPr>
          </w:p>
          <w:p w14:paraId="33609D89" w14:textId="77777777" w:rsidR="00472DEB" w:rsidRPr="00472DEB" w:rsidRDefault="00472DEB" w:rsidP="00472DEB">
            <w:pPr>
              <w:widowControl w:val="0"/>
              <w:autoSpaceDE w:val="0"/>
              <w:autoSpaceDN w:val="0"/>
              <w:spacing w:after="0" w:line="240" w:lineRule="auto"/>
              <w:ind w:left="104"/>
              <w:rPr>
                <w:rFonts w:ascii="Arial" w:eastAsia="Arial" w:hAnsi="Arial" w:cs="Arial"/>
                <w:b/>
                <w:sz w:val="48"/>
                <w:lang w:val="en-US"/>
              </w:rPr>
            </w:pPr>
          </w:p>
          <w:p w14:paraId="1C884D04" w14:textId="77777777" w:rsidR="00472DEB" w:rsidRPr="00472DEB" w:rsidRDefault="00472DEB" w:rsidP="00472DEB">
            <w:pPr>
              <w:widowControl w:val="0"/>
              <w:autoSpaceDE w:val="0"/>
              <w:autoSpaceDN w:val="0"/>
              <w:spacing w:after="0" w:line="240" w:lineRule="auto"/>
              <w:ind w:left="104"/>
              <w:rPr>
                <w:rFonts w:ascii="Arial" w:eastAsia="Arial" w:hAnsi="Arial" w:cs="Arial"/>
                <w:b/>
                <w:sz w:val="48"/>
                <w:lang w:val="en-US"/>
              </w:rPr>
            </w:pPr>
          </w:p>
        </w:tc>
      </w:tr>
    </w:tbl>
    <w:p w14:paraId="454315C4" w14:textId="77777777" w:rsidR="0055536D" w:rsidRDefault="0055536D" w:rsidP="005B54E5">
      <w:pPr>
        <w:jc w:val="center"/>
        <w:rPr>
          <w:rFonts w:ascii="Arial" w:hAnsi="Arial" w:cs="Arial"/>
          <w:b/>
          <w:bCs/>
          <w:sz w:val="28"/>
          <w:szCs w:val="28"/>
          <w:lang w:eastAsia="en-GB"/>
        </w:rPr>
      </w:pPr>
    </w:p>
    <w:p w14:paraId="4F839B20" w14:textId="77777777" w:rsidR="0055536D" w:rsidRDefault="0055536D" w:rsidP="005B54E5">
      <w:pPr>
        <w:jc w:val="center"/>
        <w:rPr>
          <w:rFonts w:ascii="Arial" w:hAnsi="Arial" w:cs="Arial"/>
          <w:b/>
          <w:bCs/>
          <w:sz w:val="28"/>
          <w:szCs w:val="28"/>
          <w:lang w:eastAsia="en-GB"/>
        </w:rPr>
      </w:pPr>
    </w:p>
    <w:p w14:paraId="4E9ACA71" w14:textId="77777777" w:rsidR="0055536D" w:rsidRDefault="0055536D" w:rsidP="005B54E5">
      <w:pPr>
        <w:jc w:val="center"/>
        <w:rPr>
          <w:rFonts w:ascii="Arial" w:hAnsi="Arial" w:cs="Arial"/>
          <w:b/>
          <w:bCs/>
          <w:sz w:val="28"/>
          <w:szCs w:val="28"/>
          <w:lang w:eastAsia="en-GB"/>
        </w:rPr>
      </w:pPr>
    </w:p>
    <w:p w14:paraId="56DD96DE" w14:textId="77777777" w:rsidR="0055536D" w:rsidRDefault="0055536D" w:rsidP="005B54E5">
      <w:pPr>
        <w:jc w:val="center"/>
        <w:rPr>
          <w:rFonts w:ascii="Arial" w:hAnsi="Arial" w:cs="Arial"/>
          <w:b/>
          <w:bCs/>
          <w:sz w:val="28"/>
          <w:szCs w:val="28"/>
          <w:lang w:eastAsia="en-GB"/>
        </w:rPr>
      </w:pPr>
    </w:p>
    <w:p w14:paraId="0C65D28C" w14:textId="77777777" w:rsidR="0055536D" w:rsidRDefault="0055536D" w:rsidP="005B54E5">
      <w:pPr>
        <w:jc w:val="center"/>
        <w:rPr>
          <w:rFonts w:ascii="Arial" w:hAnsi="Arial" w:cs="Arial"/>
          <w:b/>
          <w:bCs/>
          <w:sz w:val="28"/>
          <w:szCs w:val="28"/>
          <w:lang w:eastAsia="en-GB"/>
        </w:rPr>
      </w:pPr>
    </w:p>
    <w:p w14:paraId="1B1CAC2C" w14:textId="4B7BF28A" w:rsidR="282B63B2" w:rsidRDefault="282B63B2" w:rsidP="00ED405B">
      <w:pPr>
        <w:rPr>
          <w:rFonts w:ascii="Arial" w:hAnsi="Arial" w:cs="Arial"/>
          <w:b/>
          <w:bCs/>
          <w:sz w:val="28"/>
          <w:szCs w:val="28"/>
          <w:lang w:eastAsia="en-GB"/>
        </w:rPr>
      </w:pPr>
    </w:p>
    <w:p w14:paraId="51CD172A" w14:textId="007389C9" w:rsidR="282B63B2" w:rsidRDefault="282B63B2" w:rsidP="282B63B2">
      <w:pPr>
        <w:jc w:val="center"/>
        <w:rPr>
          <w:rFonts w:ascii="Arial" w:hAnsi="Arial" w:cs="Arial"/>
          <w:b/>
          <w:bCs/>
          <w:sz w:val="28"/>
          <w:szCs w:val="28"/>
          <w:lang w:eastAsia="en-GB"/>
        </w:rPr>
      </w:pPr>
    </w:p>
    <w:p w14:paraId="49D68835" w14:textId="3B59679D" w:rsidR="00472DEB" w:rsidRPr="00291E88" w:rsidRDefault="00472DEB" w:rsidP="005B54E5">
      <w:pPr>
        <w:jc w:val="center"/>
        <w:rPr>
          <w:rFonts w:ascii="Arial" w:hAnsi="Arial" w:cs="Arial"/>
          <w:b/>
          <w:bCs/>
          <w:sz w:val="28"/>
          <w:szCs w:val="28"/>
          <w:lang w:eastAsia="en-GB"/>
        </w:rPr>
      </w:pPr>
      <w:r w:rsidRPr="00AA5FAB">
        <w:rPr>
          <w:rFonts w:ascii="Arial" w:hAnsi="Arial" w:cs="Arial"/>
          <w:b/>
          <w:bCs/>
          <w:sz w:val="28"/>
          <w:szCs w:val="28"/>
          <w:lang w:eastAsia="en-GB"/>
        </w:rPr>
        <w:lastRenderedPageBreak/>
        <w:t>Open Call Application Form Guidance</w:t>
      </w:r>
    </w:p>
    <w:p w14:paraId="463426A8" w14:textId="42F9F2FF"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The North of Tyne Combined Authority (NTCA) is inviting applications f</w:t>
      </w:r>
      <w:r w:rsidR="00B96325">
        <w:rPr>
          <w:rFonts w:ascii="Arial" w:eastAsia="Arial" w:hAnsi="Arial" w:cs="Arial"/>
          <w:lang w:val="en-US"/>
        </w:rPr>
        <w:t xml:space="preserve">rom VCSE organisations for </w:t>
      </w:r>
      <w:r w:rsidRPr="00472DEB">
        <w:rPr>
          <w:rFonts w:ascii="Arial" w:eastAsia="Arial" w:hAnsi="Arial" w:cs="Arial"/>
          <w:lang w:val="en-US"/>
        </w:rPr>
        <w:t xml:space="preserve">provision related to our UKSPF People and Skills investment. We are interested in innovative proposals that focus on providing economically inactive people with access to support to progress into employment.  Further information on the NTCA’s People and Skills Investment is included </w:t>
      </w:r>
      <w:r w:rsidR="00827DCF">
        <w:rPr>
          <w:rFonts w:ascii="Arial" w:eastAsia="Arial" w:hAnsi="Arial" w:cs="Arial"/>
          <w:lang w:val="en-US"/>
        </w:rPr>
        <w:t xml:space="preserve">the </w:t>
      </w:r>
      <w:r w:rsidRPr="00472DEB">
        <w:rPr>
          <w:rFonts w:ascii="Arial" w:eastAsia="Arial" w:hAnsi="Arial" w:cs="Arial"/>
          <w:lang w:val="en-US"/>
        </w:rPr>
        <w:t>‘</w:t>
      </w:r>
      <w:r w:rsidR="00827DCF">
        <w:rPr>
          <w:rFonts w:ascii="Arial" w:eastAsia="Arial" w:hAnsi="Arial" w:cs="Arial"/>
          <w:lang w:val="en-US"/>
        </w:rPr>
        <w:t xml:space="preserve">UKSPF </w:t>
      </w:r>
      <w:r w:rsidRPr="00472DEB">
        <w:rPr>
          <w:rFonts w:ascii="Arial" w:eastAsia="Arial" w:hAnsi="Arial" w:cs="Arial"/>
          <w:lang w:val="en-US"/>
        </w:rPr>
        <w:t xml:space="preserve">People and Skills Specification’ separately attached. </w:t>
      </w:r>
    </w:p>
    <w:p w14:paraId="59BBC6DC" w14:textId="77777777" w:rsidR="00472DEB" w:rsidRPr="00472DEB" w:rsidRDefault="00472DEB" w:rsidP="00472DEB">
      <w:pPr>
        <w:widowControl w:val="0"/>
        <w:autoSpaceDE w:val="0"/>
        <w:autoSpaceDN w:val="0"/>
        <w:ind w:left="568"/>
        <w:contextualSpacing/>
        <w:rPr>
          <w:rFonts w:ascii="Arial" w:eastAsia="Arial" w:hAnsi="Arial" w:cs="Arial"/>
          <w:lang w:val="en-US"/>
        </w:rPr>
      </w:pPr>
      <w:r w:rsidRPr="00472DEB">
        <w:rPr>
          <w:rFonts w:ascii="Arial" w:eastAsia="Arial" w:hAnsi="Arial" w:cs="Arial"/>
          <w:lang w:val="en-US"/>
        </w:rPr>
        <w:t xml:space="preserve">  </w:t>
      </w:r>
    </w:p>
    <w:p w14:paraId="5435060A" w14:textId="13F9E6BF" w:rsidR="00472DEB" w:rsidRPr="008F14A8" w:rsidRDefault="00472DEB" w:rsidP="008F14A8">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You are required to submit your application to meet the specification</w:t>
      </w:r>
      <w:r w:rsidR="006A53F5">
        <w:rPr>
          <w:rFonts w:ascii="Arial" w:eastAsia="Arial" w:hAnsi="Arial" w:cs="Arial"/>
          <w:lang w:val="en-US"/>
        </w:rPr>
        <w:t>,</w:t>
      </w:r>
      <w:r w:rsidRPr="00472DEB">
        <w:rPr>
          <w:rFonts w:ascii="Arial" w:eastAsia="Arial" w:hAnsi="Arial" w:cs="Arial"/>
          <w:lang w:val="en-US"/>
        </w:rPr>
        <w:t xml:space="preserve"> failure to do so will result in your application being excluded and not evaluated further.</w:t>
      </w:r>
      <w:r w:rsidR="008F14A8">
        <w:rPr>
          <w:rFonts w:ascii="Arial" w:eastAsia="Arial" w:hAnsi="Arial" w:cs="Arial"/>
          <w:lang w:val="en-US"/>
        </w:rPr>
        <w:t xml:space="preserve"> </w:t>
      </w:r>
      <w:r w:rsidRPr="008F14A8">
        <w:rPr>
          <w:rFonts w:ascii="Arial" w:eastAsia="Arial" w:hAnsi="Arial" w:cs="Arial"/>
          <w:lang w:val="en-US"/>
        </w:rPr>
        <w:t>It is essential that you comply with the following instructions in the preparation and submission of your application. NTCA reserves the right to reject any application that does not comply with these instructions.</w:t>
      </w:r>
    </w:p>
    <w:p w14:paraId="11357FC2" w14:textId="77777777" w:rsidR="00472DEB" w:rsidRPr="00472DEB" w:rsidRDefault="00472DEB" w:rsidP="00472DEB">
      <w:pPr>
        <w:widowControl w:val="0"/>
        <w:autoSpaceDE w:val="0"/>
        <w:autoSpaceDN w:val="0"/>
        <w:ind w:left="568"/>
        <w:contextualSpacing/>
        <w:rPr>
          <w:rFonts w:ascii="Arial" w:eastAsia="Arial" w:hAnsi="Arial" w:cs="Arial"/>
          <w:color w:val="404040"/>
          <w:lang w:val="en-US"/>
        </w:rPr>
      </w:pPr>
    </w:p>
    <w:p w14:paraId="4C72EBF3" w14:textId="22663359"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Applications must be received by noon on </w:t>
      </w:r>
      <w:r w:rsidR="000A44E8" w:rsidRPr="002E492C">
        <w:rPr>
          <w:rFonts w:ascii="Arial" w:eastAsia="Arial" w:hAnsi="Arial" w:cs="Arial"/>
          <w:lang w:val="en-US"/>
        </w:rPr>
        <w:t>Friday 10</w:t>
      </w:r>
      <w:r w:rsidR="000A44E8" w:rsidRPr="002E492C">
        <w:rPr>
          <w:rFonts w:ascii="Arial" w:eastAsia="Arial" w:hAnsi="Arial" w:cs="Arial"/>
          <w:vertAlign w:val="superscript"/>
          <w:lang w:val="en-US"/>
        </w:rPr>
        <w:t>th</w:t>
      </w:r>
      <w:r w:rsidR="000A44E8" w:rsidRPr="002E492C">
        <w:rPr>
          <w:rFonts w:ascii="Arial" w:eastAsia="Arial" w:hAnsi="Arial" w:cs="Arial"/>
          <w:lang w:val="en-US"/>
        </w:rPr>
        <w:t xml:space="preserve"> February 2023</w:t>
      </w:r>
      <w:r w:rsidRPr="00472DEB">
        <w:rPr>
          <w:rFonts w:ascii="Arial" w:eastAsia="Arial" w:hAnsi="Arial" w:cs="Arial"/>
          <w:color w:val="C00000"/>
          <w:lang w:val="en-US"/>
        </w:rPr>
        <w:t xml:space="preserve">. </w:t>
      </w:r>
      <w:r w:rsidRPr="00472DEB">
        <w:rPr>
          <w:rFonts w:ascii="Arial" w:eastAsia="Arial" w:hAnsi="Arial" w:cs="Arial"/>
          <w:lang w:val="en-US"/>
        </w:rPr>
        <w:t>Any application not fully completed and submitted after this date and time will be disregarded by the assessment panel.</w:t>
      </w:r>
    </w:p>
    <w:p w14:paraId="6FD2A523" w14:textId="77777777" w:rsidR="00472DEB" w:rsidRPr="00472DEB" w:rsidRDefault="00472DEB" w:rsidP="00472DEB">
      <w:pPr>
        <w:widowControl w:val="0"/>
        <w:autoSpaceDE w:val="0"/>
        <w:autoSpaceDN w:val="0"/>
        <w:ind w:left="568"/>
        <w:contextualSpacing/>
        <w:rPr>
          <w:rFonts w:ascii="Arial" w:eastAsia="Arial" w:hAnsi="Arial" w:cs="Arial"/>
          <w:lang w:val="en-US"/>
        </w:rPr>
      </w:pPr>
    </w:p>
    <w:p w14:paraId="7F162413" w14:textId="77777777"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Applications must be submitted electronically to </w:t>
      </w:r>
      <w:hyperlink r:id="rId14" w:history="1">
        <w:r w:rsidRPr="00472DEB">
          <w:rPr>
            <w:rFonts w:ascii="Arial" w:eastAsia="Arial" w:hAnsi="Arial" w:cs="Arial"/>
            <w:color w:val="0000FF"/>
            <w:u w:val="single"/>
            <w:lang w:val="en-US"/>
          </w:rPr>
          <w:t>peopleskills.ukspf@northoftyne-ca.gov.uk</w:t>
        </w:r>
      </w:hyperlink>
      <w:r w:rsidRPr="00472DEB">
        <w:rPr>
          <w:rFonts w:ascii="Arial" w:eastAsia="Arial" w:hAnsi="Arial" w:cs="Arial"/>
          <w:color w:val="404040"/>
          <w:lang w:val="en-US"/>
        </w:rPr>
        <w:t xml:space="preserve">. </w:t>
      </w:r>
      <w:r w:rsidRPr="00472DEB">
        <w:rPr>
          <w:rFonts w:ascii="Arial" w:eastAsia="Arial" w:hAnsi="Arial" w:cs="Arial"/>
          <w:lang w:val="en-US"/>
        </w:rPr>
        <w:t xml:space="preserve">including the words “People and Skills Investment” in the subject line.  </w:t>
      </w:r>
    </w:p>
    <w:p w14:paraId="0F72F08E" w14:textId="77777777" w:rsidR="00472DEB" w:rsidRPr="00472DEB" w:rsidRDefault="00472DEB" w:rsidP="00472DEB">
      <w:pPr>
        <w:widowControl w:val="0"/>
        <w:autoSpaceDE w:val="0"/>
        <w:autoSpaceDN w:val="0"/>
        <w:ind w:left="568"/>
        <w:contextualSpacing/>
        <w:rPr>
          <w:rFonts w:ascii="Arial" w:eastAsia="Arial" w:hAnsi="Arial" w:cs="Arial"/>
          <w:color w:val="404040"/>
          <w:lang w:val="en-US"/>
        </w:rPr>
      </w:pPr>
    </w:p>
    <w:p w14:paraId="4783309B" w14:textId="77777777"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If you have any questions about this application, please direct these to </w:t>
      </w:r>
      <w:hyperlink r:id="rId15" w:history="1">
        <w:r w:rsidRPr="00472DEB">
          <w:rPr>
            <w:rFonts w:ascii="Arial" w:eastAsia="Arial" w:hAnsi="Arial" w:cs="Arial"/>
            <w:color w:val="0000FF"/>
            <w:u w:val="single"/>
            <w:lang w:val="en-US"/>
          </w:rPr>
          <w:t>peopleskills.ukspf@northoftyne-ca.gov.uk</w:t>
        </w:r>
      </w:hyperlink>
      <w:r w:rsidRPr="00472DEB">
        <w:rPr>
          <w:rFonts w:ascii="Arial" w:eastAsia="Arial" w:hAnsi="Arial" w:cs="Arial"/>
          <w:lang w:val="en-US"/>
        </w:rPr>
        <w:t>.</w:t>
      </w:r>
      <w:r w:rsidRPr="00472DEB">
        <w:rPr>
          <w:rFonts w:ascii="Arial" w:eastAsia="Arial" w:hAnsi="Arial" w:cs="Arial"/>
          <w:color w:val="404040"/>
          <w:lang w:val="en-US"/>
        </w:rPr>
        <w:t xml:space="preserve"> </w:t>
      </w:r>
      <w:r w:rsidRPr="00472DEB">
        <w:rPr>
          <w:rFonts w:ascii="Arial" w:eastAsia="Arial" w:hAnsi="Arial" w:cs="Arial"/>
          <w:lang w:val="en-US"/>
        </w:rPr>
        <w:t>including “People and Skills Investment” in the title. Please note that any questions you raise during this application process that are not commercially sensitive will be published publicly on NTCA’s website weekly as part of an FAQ document, this is where questions submitted will be answered.</w:t>
      </w:r>
    </w:p>
    <w:p w14:paraId="0EEC8CEB" w14:textId="77777777" w:rsidR="00472DEB" w:rsidRPr="00472DEB" w:rsidRDefault="00472DEB" w:rsidP="00472DEB">
      <w:pPr>
        <w:widowControl w:val="0"/>
        <w:autoSpaceDE w:val="0"/>
        <w:autoSpaceDN w:val="0"/>
        <w:ind w:left="568"/>
        <w:contextualSpacing/>
        <w:rPr>
          <w:rFonts w:ascii="Arial" w:eastAsia="Arial" w:hAnsi="Arial" w:cs="Arial"/>
          <w:color w:val="404040"/>
          <w:lang w:val="en-US"/>
        </w:rPr>
      </w:pPr>
    </w:p>
    <w:p w14:paraId="67A0C1EA" w14:textId="3F8B562B" w:rsidR="00472DEB" w:rsidRPr="008F14A8" w:rsidRDefault="00472DEB" w:rsidP="008F14A8">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NTCA may accept the application at any time within this prescribed period. NTCA shall, however, not be bound to accept any application.</w:t>
      </w:r>
      <w:r w:rsidR="008F14A8" w:rsidRPr="008F14A8">
        <w:rPr>
          <w:rFonts w:ascii="Arial" w:eastAsia="Arial" w:hAnsi="Arial" w:cs="Arial"/>
          <w:lang w:val="en-US"/>
        </w:rPr>
        <w:t xml:space="preserve"> </w:t>
      </w:r>
      <w:r w:rsidR="008F14A8" w:rsidRPr="00472DEB">
        <w:rPr>
          <w:rFonts w:ascii="Arial" w:eastAsia="Arial" w:hAnsi="Arial" w:cs="Arial"/>
          <w:lang w:val="en-US"/>
        </w:rPr>
        <w:t>Your application must be completed in full and in English. Your application must be submitted in Microsoft Word. Your application must be signed and dated where required.</w:t>
      </w:r>
      <w:r w:rsidR="008F14A8">
        <w:rPr>
          <w:rFonts w:ascii="Arial" w:eastAsia="Arial" w:hAnsi="Arial" w:cs="Arial"/>
          <w:lang w:val="en-US"/>
        </w:rPr>
        <w:br/>
      </w:r>
    </w:p>
    <w:p w14:paraId="1D3C2812" w14:textId="77777777" w:rsidR="00472DEB" w:rsidRPr="00472DEB" w:rsidRDefault="00472DEB" w:rsidP="00472DEB">
      <w:pPr>
        <w:widowControl w:val="0"/>
        <w:numPr>
          <w:ilvl w:val="1"/>
          <w:numId w:val="1"/>
        </w:numPr>
        <w:autoSpaceDE w:val="0"/>
        <w:autoSpaceDN w:val="0"/>
        <w:spacing w:after="0" w:line="240" w:lineRule="auto"/>
        <w:ind w:left="567" w:hanging="567"/>
        <w:contextualSpacing/>
        <w:rPr>
          <w:rFonts w:ascii="Arial" w:eastAsia="Arial" w:hAnsi="Arial" w:cs="Arial"/>
          <w:lang w:val="en-US"/>
        </w:rPr>
      </w:pPr>
      <w:r w:rsidRPr="00472DEB">
        <w:rPr>
          <w:rFonts w:ascii="Arial" w:eastAsia="Arial" w:hAnsi="Arial" w:cs="Arial"/>
          <w:lang w:val="en-US"/>
        </w:rPr>
        <w:t>If your application is deemed successful by NTCA, you will be required to enter into a Grant Agreement with NTCA. The Grant Agreement shall incorporate the terms and conditions published with this Application.</w:t>
      </w:r>
    </w:p>
    <w:p w14:paraId="27D9E9E5" w14:textId="77777777" w:rsidR="00472DEB" w:rsidRPr="00472DEB" w:rsidRDefault="00472DEB" w:rsidP="00472DEB">
      <w:pPr>
        <w:widowControl w:val="0"/>
        <w:autoSpaceDE w:val="0"/>
        <w:autoSpaceDN w:val="0"/>
        <w:ind w:left="567"/>
        <w:contextualSpacing/>
        <w:rPr>
          <w:rFonts w:ascii="Arial" w:eastAsia="Arial" w:hAnsi="Arial" w:cs="Arial"/>
          <w:lang w:val="en-US"/>
        </w:rPr>
      </w:pPr>
    </w:p>
    <w:p w14:paraId="7C84A206" w14:textId="77777777" w:rsidR="00472DEB" w:rsidRPr="00472DEB" w:rsidRDefault="00472DEB" w:rsidP="00472DEB">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r w:rsidRPr="00472DEB">
        <w:rPr>
          <w:rFonts w:ascii="Arial" w:eastAsia="Times New Roman" w:hAnsi="Arial" w:cs="Arial"/>
          <w:b/>
          <w:bCs/>
          <w:sz w:val="24"/>
          <w:szCs w:val="24"/>
          <w:lang w:val="en-US" w:eastAsia="en-GB"/>
        </w:rPr>
        <w:t xml:space="preserve">Specification </w:t>
      </w:r>
    </w:p>
    <w:p w14:paraId="0748C6AE" w14:textId="77777777" w:rsidR="00472DEB" w:rsidRPr="00472DEB" w:rsidRDefault="00472DEB" w:rsidP="00472DEB">
      <w:pPr>
        <w:widowControl w:val="0"/>
        <w:autoSpaceDE w:val="0"/>
        <w:autoSpaceDN w:val="0"/>
        <w:spacing w:after="0" w:line="240" w:lineRule="auto"/>
        <w:rPr>
          <w:rFonts w:ascii="Arial" w:eastAsia="Arial" w:hAnsi="Arial" w:cs="Arial"/>
          <w:lang w:val="en-US"/>
        </w:rPr>
      </w:pPr>
    </w:p>
    <w:p w14:paraId="0DFAB67D" w14:textId="040B654B"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Please see Specification document</w:t>
      </w:r>
      <w:r w:rsidR="64BDE562" w:rsidRPr="0D122B44">
        <w:rPr>
          <w:rFonts w:ascii="Arial" w:eastAsia="Arial" w:hAnsi="Arial" w:cs="Arial"/>
          <w:lang w:val="en-US"/>
        </w:rPr>
        <w:t>.</w:t>
      </w:r>
    </w:p>
    <w:p w14:paraId="66379281" w14:textId="77777777" w:rsidR="00472DEB" w:rsidRPr="00472DEB" w:rsidRDefault="00472DEB" w:rsidP="00472DEB">
      <w:pPr>
        <w:widowControl w:val="0"/>
        <w:autoSpaceDE w:val="0"/>
        <w:autoSpaceDN w:val="0"/>
        <w:spacing w:after="0" w:line="240" w:lineRule="auto"/>
        <w:rPr>
          <w:rFonts w:ascii="Arial" w:eastAsia="Arial" w:hAnsi="Arial" w:cs="Arial"/>
          <w:lang w:val="en-US"/>
        </w:rPr>
      </w:pPr>
    </w:p>
    <w:p w14:paraId="7CFC486F" w14:textId="77777777" w:rsidR="00472DEB" w:rsidRPr="00472DEB" w:rsidRDefault="00472DEB" w:rsidP="00472DEB">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bookmarkStart w:id="0" w:name="_Toc114663032"/>
      <w:r w:rsidRPr="00472DEB">
        <w:rPr>
          <w:rFonts w:ascii="Arial" w:eastAsia="Times New Roman" w:hAnsi="Arial" w:cs="Arial"/>
          <w:b/>
          <w:bCs/>
          <w:sz w:val="24"/>
          <w:szCs w:val="24"/>
          <w:lang w:val="en-US" w:eastAsia="en-GB"/>
        </w:rPr>
        <w:t>Application Evaluation and Selection Process</w:t>
      </w:r>
      <w:bookmarkEnd w:id="0"/>
    </w:p>
    <w:p w14:paraId="7573C7E7" w14:textId="77777777" w:rsidR="00472DEB" w:rsidRPr="00472DEB" w:rsidRDefault="00472DEB" w:rsidP="00472DEB">
      <w:pPr>
        <w:widowControl w:val="0"/>
        <w:autoSpaceDE w:val="0"/>
        <w:autoSpaceDN w:val="0"/>
        <w:spacing w:after="0" w:line="240" w:lineRule="auto"/>
        <w:ind w:left="284"/>
        <w:rPr>
          <w:rFonts w:ascii="Arial" w:eastAsia="Times New Roman" w:hAnsi="Arial" w:cs="Arial"/>
          <w:b/>
          <w:bCs/>
          <w:sz w:val="24"/>
          <w:szCs w:val="24"/>
          <w:lang w:val="en-US" w:eastAsia="en-GB"/>
        </w:rPr>
      </w:pPr>
    </w:p>
    <w:p w14:paraId="75C8D33D" w14:textId="77777777"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b/>
          <w:lang w:val="en-US"/>
        </w:rPr>
      </w:pPr>
      <w:r w:rsidRPr="00472DEB">
        <w:rPr>
          <w:rFonts w:ascii="Arial" w:eastAsia="Arial" w:hAnsi="Arial" w:cs="Arial"/>
          <w:lang w:val="en-US"/>
        </w:rPr>
        <w:t xml:space="preserve">The evaluation in this Application is undertaken in stages, as follows:  </w:t>
      </w:r>
    </w:p>
    <w:p w14:paraId="345CC1C6"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b/>
          <w:lang w:val="en-US"/>
        </w:rPr>
      </w:pPr>
    </w:p>
    <w:p w14:paraId="65829115" w14:textId="56787FA0" w:rsidR="00472DEB" w:rsidRPr="00866B37" w:rsidRDefault="00472DEB" w:rsidP="00472DEB">
      <w:pPr>
        <w:widowControl w:val="0"/>
        <w:autoSpaceDE w:val="0"/>
        <w:autoSpaceDN w:val="0"/>
        <w:ind w:left="568"/>
        <w:contextualSpacing/>
        <w:rPr>
          <w:rFonts w:ascii="Arial" w:eastAsia="Arial" w:hAnsi="Arial" w:cs="Arial"/>
          <w:b/>
          <w:lang w:val="en-US"/>
        </w:rPr>
      </w:pPr>
      <w:r w:rsidRPr="00472DEB">
        <w:rPr>
          <w:rFonts w:ascii="Arial" w:eastAsia="Arial" w:hAnsi="Arial" w:cs="Arial"/>
          <w:b/>
          <w:lang w:val="en-US"/>
        </w:rPr>
        <w:t>Stage 1:</w:t>
      </w:r>
      <w:r w:rsidRPr="00472DEB">
        <w:rPr>
          <w:rFonts w:ascii="Arial" w:eastAsia="Arial" w:hAnsi="Arial" w:cs="Arial"/>
          <w:lang w:val="en-US"/>
        </w:rPr>
        <w:t xml:space="preserve"> Evaluation of the Applicant’s response to the Gateway Criteria </w:t>
      </w:r>
      <w:r w:rsidR="00751F07" w:rsidRPr="00866B37">
        <w:rPr>
          <w:rFonts w:ascii="Arial" w:eastAsia="Arial" w:hAnsi="Arial" w:cs="Arial"/>
          <w:lang w:val="en-US"/>
        </w:rPr>
        <w:t>in Section</w:t>
      </w:r>
      <w:r w:rsidR="00391ECF" w:rsidRPr="00866B37">
        <w:rPr>
          <w:rFonts w:ascii="Arial" w:eastAsia="Arial" w:hAnsi="Arial" w:cs="Arial"/>
          <w:lang w:val="en-US"/>
        </w:rPr>
        <w:t xml:space="preserve"> A</w:t>
      </w:r>
      <w:r w:rsidRPr="00866B37">
        <w:rPr>
          <w:rFonts w:ascii="Arial" w:eastAsia="Arial" w:hAnsi="Arial" w:cs="Arial"/>
          <w:lang w:val="en-US"/>
        </w:rPr>
        <w:t xml:space="preserve">. </w:t>
      </w:r>
      <w:r w:rsidRPr="00472DEB">
        <w:rPr>
          <w:rFonts w:ascii="Arial" w:eastAsia="Arial" w:hAnsi="Arial" w:cs="Arial"/>
          <w:lang w:val="en-US"/>
        </w:rPr>
        <w:t>Applicants will either Pass or Fail at Stage 1.</w:t>
      </w:r>
      <w:r w:rsidR="00C140B1">
        <w:rPr>
          <w:rFonts w:ascii="Arial" w:eastAsia="Arial" w:hAnsi="Arial" w:cs="Arial"/>
          <w:lang w:val="en-US"/>
        </w:rPr>
        <w:t xml:space="preserve"> </w:t>
      </w:r>
      <w:r w:rsidR="00C140B1" w:rsidRPr="00866B37">
        <w:rPr>
          <w:rFonts w:ascii="Arial" w:eastAsia="Arial" w:hAnsi="Arial" w:cs="Arial"/>
          <w:lang w:val="en-US"/>
        </w:rPr>
        <w:t>(See section 7 of this guidance for further details).</w:t>
      </w:r>
    </w:p>
    <w:p w14:paraId="5D04CFC2" w14:textId="20F5AA56" w:rsidR="00472DEB" w:rsidRPr="00472DEB" w:rsidRDefault="00472DEB" w:rsidP="282B63B2">
      <w:pPr>
        <w:widowControl w:val="0"/>
        <w:autoSpaceDE w:val="0"/>
        <w:autoSpaceDN w:val="0"/>
        <w:spacing w:after="0" w:line="240" w:lineRule="auto"/>
        <w:contextualSpacing/>
        <w:rPr>
          <w:rFonts w:ascii="Arial" w:eastAsia="Arial" w:hAnsi="Arial" w:cs="Arial"/>
          <w:lang w:val="en-US"/>
        </w:rPr>
      </w:pPr>
    </w:p>
    <w:p w14:paraId="1CA32C5B" w14:textId="2D792592" w:rsidR="00472DEB" w:rsidRPr="00472DEB" w:rsidRDefault="00472DEB" w:rsidP="00472DEB">
      <w:pPr>
        <w:widowControl w:val="0"/>
        <w:autoSpaceDE w:val="0"/>
        <w:autoSpaceDN w:val="0"/>
        <w:ind w:left="568"/>
        <w:contextualSpacing/>
        <w:rPr>
          <w:rFonts w:ascii="Arial" w:eastAsia="Arial" w:hAnsi="Arial" w:cs="Arial"/>
          <w:b/>
          <w:lang w:val="en-US"/>
        </w:rPr>
      </w:pPr>
      <w:r w:rsidRPr="00472DEB">
        <w:rPr>
          <w:rFonts w:ascii="Arial" w:eastAsia="Arial" w:hAnsi="Arial" w:cs="Arial"/>
          <w:b/>
          <w:lang w:val="en-US"/>
        </w:rPr>
        <w:t>Stage 2:</w:t>
      </w:r>
      <w:r w:rsidRPr="00472DEB">
        <w:rPr>
          <w:rFonts w:ascii="Arial" w:eastAsia="Arial" w:hAnsi="Arial" w:cs="Arial"/>
          <w:lang w:val="en-US"/>
        </w:rPr>
        <w:t xml:space="preserve"> For applicants that pass Stage 1 the rest of their application will be evaluated by the assessment panel using the criteria and designated weightings</w:t>
      </w:r>
      <w:r w:rsidR="00921344">
        <w:rPr>
          <w:rFonts w:ascii="Arial" w:eastAsia="Arial" w:hAnsi="Arial" w:cs="Arial"/>
          <w:lang w:val="en-US"/>
        </w:rPr>
        <w:t xml:space="preserve"> </w:t>
      </w:r>
      <w:r w:rsidRPr="00472DEB">
        <w:rPr>
          <w:rFonts w:ascii="Arial" w:eastAsia="Arial" w:hAnsi="Arial" w:cs="Arial"/>
          <w:lang w:val="en-US"/>
        </w:rPr>
        <w:t>set out below in section 4.</w:t>
      </w:r>
    </w:p>
    <w:p w14:paraId="3AE96198"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b/>
          <w:lang w:val="en-US"/>
        </w:rPr>
      </w:pPr>
    </w:p>
    <w:p w14:paraId="2651E973" w14:textId="77777777" w:rsidR="00472DEB" w:rsidRPr="00472DEB" w:rsidRDefault="00472DEB" w:rsidP="00472DEB">
      <w:pPr>
        <w:widowControl w:val="0"/>
        <w:autoSpaceDE w:val="0"/>
        <w:autoSpaceDN w:val="0"/>
        <w:ind w:left="568"/>
        <w:contextualSpacing/>
        <w:rPr>
          <w:rFonts w:ascii="Arial" w:eastAsia="Arial" w:hAnsi="Arial" w:cs="Arial"/>
          <w:lang w:val="en-US"/>
        </w:rPr>
      </w:pPr>
      <w:r w:rsidRPr="00472DEB">
        <w:rPr>
          <w:rFonts w:ascii="Arial" w:eastAsia="Arial" w:hAnsi="Arial" w:cs="Arial"/>
          <w:b/>
          <w:lang w:val="en-US"/>
        </w:rPr>
        <w:lastRenderedPageBreak/>
        <w:t>Stage 3:</w:t>
      </w:r>
      <w:r w:rsidRPr="00472DEB">
        <w:rPr>
          <w:rFonts w:ascii="Arial" w:eastAsia="Arial" w:hAnsi="Arial" w:cs="Arial"/>
          <w:lang w:val="en-US"/>
        </w:rPr>
        <w:t xml:space="preserve"> NTCA will undertake due diligence prior to making recommendations for funding. </w:t>
      </w:r>
    </w:p>
    <w:p w14:paraId="2F75A377"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rPr>
      </w:pPr>
    </w:p>
    <w:p w14:paraId="4F0CD908" w14:textId="77777777" w:rsidR="00472DEB" w:rsidRPr="00472DEB" w:rsidRDefault="00472DEB" w:rsidP="00472DEB">
      <w:pPr>
        <w:widowControl w:val="0"/>
        <w:autoSpaceDE w:val="0"/>
        <w:autoSpaceDN w:val="0"/>
        <w:ind w:left="568"/>
        <w:contextualSpacing/>
        <w:rPr>
          <w:rFonts w:ascii="Arial" w:eastAsia="Arial" w:hAnsi="Arial" w:cs="Arial"/>
          <w:b/>
          <w:lang w:val="en-US"/>
        </w:rPr>
      </w:pPr>
      <w:r w:rsidRPr="00472DEB">
        <w:rPr>
          <w:rFonts w:ascii="Arial" w:eastAsia="Arial" w:hAnsi="Arial" w:cs="Arial"/>
          <w:b/>
          <w:lang w:val="en-US"/>
        </w:rPr>
        <w:t xml:space="preserve">Stage 4: </w:t>
      </w:r>
      <w:r w:rsidRPr="00472DEB">
        <w:rPr>
          <w:rFonts w:ascii="Arial" w:eastAsia="Arial" w:hAnsi="Arial" w:cs="Arial"/>
          <w:bCs/>
          <w:lang w:val="en-US"/>
        </w:rPr>
        <w:t xml:space="preserve">Recommendations for final decision prior to an award of funding. </w:t>
      </w:r>
    </w:p>
    <w:p w14:paraId="3AEEE8B7"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b/>
          <w:lang w:val="en-US"/>
        </w:rPr>
      </w:pPr>
    </w:p>
    <w:p w14:paraId="7A628207" w14:textId="77777777"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b/>
          <w:lang w:val="en-US"/>
        </w:rPr>
      </w:pPr>
      <w:r w:rsidRPr="00472DEB">
        <w:rPr>
          <w:rFonts w:ascii="Arial" w:eastAsia="Arial" w:hAnsi="Arial" w:cs="Arial"/>
          <w:lang w:val="en-US"/>
        </w:rPr>
        <w:t>The information supplied by Applicant’s in response to the assessment criteria will be evaluated by NTCA using the criteria and designated weightings as set out below.</w:t>
      </w:r>
    </w:p>
    <w:p w14:paraId="302346AC" w14:textId="77777777" w:rsidR="00472DEB" w:rsidRPr="00472DEB" w:rsidRDefault="00472DEB" w:rsidP="00472DEB">
      <w:pPr>
        <w:widowControl w:val="0"/>
        <w:autoSpaceDE w:val="0"/>
        <w:autoSpaceDN w:val="0"/>
        <w:spacing w:after="0" w:line="240" w:lineRule="auto"/>
        <w:rPr>
          <w:rFonts w:ascii="Arial" w:eastAsia="Arial" w:hAnsi="Arial" w:cs="Arial"/>
          <w:lang w:val="en-US"/>
        </w:rPr>
      </w:pPr>
    </w:p>
    <w:p w14:paraId="545AFF56" w14:textId="77777777" w:rsidR="00472DEB" w:rsidRPr="00472DEB" w:rsidRDefault="00472DEB" w:rsidP="00472DEB">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bookmarkStart w:id="1" w:name="_Toc114663033"/>
      <w:r w:rsidRPr="00472DEB">
        <w:rPr>
          <w:rFonts w:ascii="Arial" w:eastAsia="Times New Roman" w:hAnsi="Arial" w:cs="Arial"/>
          <w:b/>
          <w:bCs/>
          <w:sz w:val="24"/>
          <w:szCs w:val="24"/>
          <w:lang w:val="en-US" w:eastAsia="en-GB"/>
        </w:rPr>
        <w:t>Application award criteria</w:t>
      </w:r>
      <w:bookmarkEnd w:id="1"/>
      <w:r w:rsidRPr="00472DEB">
        <w:rPr>
          <w:rFonts w:ascii="Arial" w:eastAsia="Times New Roman" w:hAnsi="Arial" w:cs="Arial"/>
          <w:b/>
          <w:bCs/>
          <w:sz w:val="24"/>
          <w:szCs w:val="24"/>
          <w:lang w:val="en-US" w:eastAsia="en-GB"/>
        </w:rPr>
        <w:t xml:space="preserve"> </w:t>
      </w:r>
    </w:p>
    <w:p w14:paraId="420271B1" w14:textId="77777777" w:rsidR="00472DEB" w:rsidRPr="00472DEB" w:rsidRDefault="00472DEB" w:rsidP="00472DEB">
      <w:pPr>
        <w:widowControl w:val="0"/>
        <w:autoSpaceDE w:val="0"/>
        <w:autoSpaceDN w:val="0"/>
        <w:rPr>
          <w:rFonts w:ascii="Arial" w:eastAsia="Arial" w:hAnsi="Arial" w:cs="Arial"/>
          <w:lang w:val="en-US"/>
        </w:rPr>
      </w:pPr>
    </w:p>
    <w:tbl>
      <w:tblPr>
        <w:tblStyle w:val="TableGrid"/>
        <w:tblW w:w="9016" w:type="dxa"/>
        <w:jc w:val="center"/>
        <w:tblLook w:val="04A0" w:firstRow="1" w:lastRow="0" w:firstColumn="1" w:lastColumn="0" w:noHBand="0" w:noVBand="1"/>
        <w:tblCaption w:val="Award Criteria for Quality Questions"/>
        <w:tblDescription w:val=" Sets out the award criteria for Quality Questions"/>
      </w:tblPr>
      <w:tblGrid>
        <w:gridCol w:w="1129"/>
        <w:gridCol w:w="6459"/>
        <w:gridCol w:w="1428"/>
      </w:tblGrid>
      <w:tr w:rsidR="00472DEB" w:rsidRPr="00472DEB" w14:paraId="13B2E68F" w14:textId="77777777" w:rsidTr="00472DEB">
        <w:trPr>
          <w:cantSplit/>
          <w:trHeight w:val="459"/>
          <w:tblHeader/>
          <w:jc w:val="center"/>
        </w:trPr>
        <w:tc>
          <w:tcPr>
            <w:tcW w:w="1129" w:type="dxa"/>
            <w:shd w:val="clear" w:color="auto" w:fill="244061"/>
          </w:tcPr>
          <w:p w14:paraId="72D058E8" w14:textId="77777777" w:rsidR="00472DEB" w:rsidRPr="00472DEB" w:rsidRDefault="00472DEB" w:rsidP="00472DEB">
            <w:pPr>
              <w:spacing w:before="100" w:beforeAutospacing="1" w:after="100" w:afterAutospacing="1" w:line="276" w:lineRule="auto"/>
              <w:rPr>
                <w:rFonts w:ascii="Arial" w:eastAsia="Arial" w:hAnsi="Arial" w:cs="Arial"/>
              </w:rPr>
            </w:pPr>
          </w:p>
        </w:tc>
        <w:tc>
          <w:tcPr>
            <w:tcW w:w="6459" w:type="dxa"/>
            <w:shd w:val="clear" w:color="auto" w:fill="244061"/>
          </w:tcPr>
          <w:p w14:paraId="3DEFB2AB"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Award Criteria for Quality Questions</w:t>
            </w:r>
          </w:p>
        </w:tc>
        <w:tc>
          <w:tcPr>
            <w:tcW w:w="1428" w:type="dxa"/>
            <w:shd w:val="clear" w:color="auto" w:fill="244061"/>
          </w:tcPr>
          <w:p w14:paraId="2FA623A9"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Percentage Weighting</w:t>
            </w:r>
          </w:p>
        </w:tc>
      </w:tr>
      <w:tr w:rsidR="00472DEB" w:rsidRPr="00472DEB" w14:paraId="1ABF6AA7" w14:textId="77777777" w:rsidTr="282B63B2">
        <w:trPr>
          <w:trHeight w:val="2475"/>
          <w:jc w:val="center"/>
        </w:trPr>
        <w:tc>
          <w:tcPr>
            <w:tcW w:w="1129" w:type="dxa"/>
            <w:shd w:val="clear" w:color="auto" w:fill="F2F2F2" w:themeFill="background1" w:themeFillShade="F2"/>
          </w:tcPr>
          <w:p w14:paraId="5143BF75" w14:textId="77777777" w:rsidR="00472DEB" w:rsidRPr="00472DEB" w:rsidRDefault="00472DEB" w:rsidP="00472DEB">
            <w:pPr>
              <w:spacing w:before="100" w:beforeAutospacing="1" w:after="100" w:afterAutospacing="1" w:line="276" w:lineRule="auto"/>
              <w:rPr>
                <w:rFonts w:ascii="Arial" w:eastAsia="Arial" w:hAnsi="Arial" w:cs="Arial"/>
                <w:b/>
              </w:rPr>
            </w:pPr>
          </w:p>
        </w:tc>
        <w:tc>
          <w:tcPr>
            <w:tcW w:w="6459" w:type="dxa"/>
            <w:shd w:val="clear" w:color="auto" w:fill="F2F2F2" w:themeFill="background1" w:themeFillShade="F2"/>
          </w:tcPr>
          <w:p w14:paraId="2F14DE98" w14:textId="77777777" w:rsidR="00472DEB" w:rsidRPr="00472DEB" w:rsidRDefault="00472DEB" w:rsidP="00472DEB">
            <w:pPr>
              <w:spacing w:before="100" w:beforeAutospacing="1" w:after="100" w:afterAutospacing="1" w:line="276" w:lineRule="auto"/>
              <w:rPr>
                <w:rFonts w:ascii="Arial" w:eastAsia="Arial" w:hAnsi="Arial" w:cs="Arial"/>
                <w:b/>
              </w:rPr>
            </w:pPr>
            <w:r w:rsidRPr="00472DEB">
              <w:rPr>
                <w:rFonts w:ascii="Arial" w:eastAsia="Arial" w:hAnsi="Arial" w:cs="Arial"/>
                <w:b/>
              </w:rPr>
              <w:t xml:space="preserve">Quality Assessment </w:t>
            </w:r>
          </w:p>
          <w:p w14:paraId="4EAC470F"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The Applicants’ responses to each of the Quality Assessment questions 1 to 5 will each be evaluated and a score from 0 (zero) to 4 (four) in accordance with the Scoring Criteria (set out in Section 9 below) will be allocated to each response. Each score will then be weighted in accordance with the weightings allocated to each question, such that the total weighting applied to the Quality Assessment shall be that stated in this table.</w:t>
            </w:r>
          </w:p>
        </w:tc>
        <w:tc>
          <w:tcPr>
            <w:tcW w:w="1428" w:type="dxa"/>
            <w:shd w:val="clear" w:color="auto" w:fill="F2F2F2" w:themeFill="background1" w:themeFillShade="F2"/>
          </w:tcPr>
          <w:p w14:paraId="422EDC1F" w14:textId="77777777" w:rsidR="00472DEB" w:rsidRPr="00472DEB" w:rsidRDefault="00472DEB" w:rsidP="00472DEB">
            <w:pPr>
              <w:spacing w:before="100" w:beforeAutospacing="1" w:after="100" w:afterAutospacing="1" w:line="276" w:lineRule="auto"/>
              <w:rPr>
                <w:rFonts w:ascii="Arial" w:eastAsia="Arial" w:hAnsi="Arial" w:cs="Arial"/>
              </w:rPr>
            </w:pPr>
          </w:p>
        </w:tc>
      </w:tr>
      <w:tr w:rsidR="00472DEB" w:rsidRPr="00472DEB" w14:paraId="332D28DD" w14:textId="77777777" w:rsidTr="282B63B2">
        <w:trPr>
          <w:trHeight w:val="229"/>
          <w:jc w:val="center"/>
        </w:trPr>
        <w:tc>
          <w:tcPr>
            <w:tcW w:w="1129" w:type="dxa"/>
            <w:shd w:val="clear" w:color="auto" w:fill="F2F2F2" w:themeFill="background1" w:themeFillShade="F2"/>
          </w:tcPr>
          <w:p w14:paraId="3C6B56E5" w14:textId="77777777" w:rsidR="00472DEB" w:rsidRPr="00472DEB" w:rsidRDefault="00472DEB" w:rsidP="00472DEB">
            <w:pPr>
              <w:spacing w:before="100" w:beforeAutospacing="1" w:after="100" w:afterAutospacing="1" w:line="276" w:lineRule="auto"/>
              <w:rPr>
                <w:rFonts w:ascii="Arial" w:eastAsia="Arial" w:hAnsi="Arial" w:cs="Arial"/>
              </w:rPr>
            </w:pPr>
          </w:p>
        </w:tc>
        <w:tc>
          <w:tcPr>
            <w:tcW w:w="6459" w:type="dxa"/>
            <w:shd w:val="clear" w:color="auto" w:fill="F2F2F2" w:themeFill="background1" w:themeFillShade="F2"/>
          </w:tcPr>
          <w:p w14:paraId="7CF15AF1"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Question 1: Project Plan</w:t>
            </w:r>
          </w:p>
        </w:tc>
        <w:tc>
          <w:tcPr>
            <w:tcW w:w="1428" w:type="dxa"/>
            <w:shd w:val="clear" w:color="auto" w:fill="F2F2F2" w:themeFill="background1" w:themeFillShade="F2"/>
          </w:tcPr>
          <w:p w14:paraId="523AC1E4"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25%</w:t>
            </w:r>
          </w:p>
        </w:tc>
      </w:tr>
      <w:tr w:rsidR="00472DEB" w:rsidRPr="00472DEB" w14:paraId="1FE95BBB" w14:textId="77777777" w:rsidTr="282B63B2">
        <w:trPr>
          <w:trHeight w:val="229"/>
          <w:jc w:val="center"/>
        </w:trPr>
        <w:tc>
          <w:tcPr>
            <w:tcW w:w="1129" w:type="dxa"/>
            <w:shd w:val="clear" w:color="auto" w:fill="F2F2F2" w:themeFill="background1" w:themeFillShade="F2"/>
          </w:tcPr>
          <w:p w14:paraId="66856260" w14:textId="77777777" w:rsidR="00472DEB" w:rsidRPr="00472DEB" w:rsidRDefault="00472DEB" w:rsidP="00472DEB">
            <w:pPr>
              <w:spacing w:before="100" w:beforeAutospacing="1" w:after="100" w:afterAutospacing="1" w:line="276" w:lineRule="auto"/>
              <w:rPr>
                <w:rFonts w:ascii="Arial" w:eastAsia="Arial" w:hAnsi="Arial" w:cs="Arial"/>
              </w:rPr>
            </w:pPr>
          </w:p>
        </w:tc>
        <w:tc>
          <w:tcPr>
            <w:tcW w:w="6459" w:type="dxa"/>
            <w:shd w:val="clear" w:color="auto" w:fill="F2F2F2" w:themeFill="background1" w:themeFillShade="F2"/>
          </w:tcPr>
          <w:p w14:paraId="261BF0A4"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Question 2: Target participants/outputs</w:t>
            </w:r>
          </w:p>
        </w:tc>
        <w:tc>
          <w:tcPr>
            <w:tcW w:w="1428" w:type="dxa"/>
            <w:shd w:val="clear" w:color="auto" w:fill="F2F2F2" w:themeFill="background1" w:themeFillShade="F2"/>
          </w:tcPr>
          <w:p w14:paraId="18EB8F69" w14:textId="0D7932CC"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2</w:t>
            </w:r>
            <w:r w:rsidR="001673EB">
              <w:rPr>
                <w:rFonts w:ascii="Arial" w:eastAsia="Arial" w:hAnsi="Arial" w:cs="Arial"/>
              </w:rPr>
              <w:t>0</w:t>
            </w:r>
            <w:r w:rsidRPr="00472DEB">
              <w:rPr>
                <w:rFonts w:ascii="Arial" w:eastAsia="Arial" w:hAnsi="Arial" w:cs="Arial"/>
              </w:rPr>
              <w:t>%</w:t>
            </w:r>
          </w:p>
        </w:tc>
      </w:tr>
      <w:tr w:rsidR="00472DEB" w:rsidRPr="00472DEB" w14:paraId="3E1E658F" w14:textId="77777777" w:rsidTr="282B63B2">
        <w:trPr>
          <w:trHeight w:val="229"/>
          <w:jc w:val="center"/>
        </w:trPr>
        <w:tc>
          <w:tcPr>
            <w:tcW w:w="1129" w:type="dxa"/>
            <w:shd w:val="clear" w:color="auto" w:fill="F2F2F2" w:themeFill="background1" w:themeFillShade="F2"/>
          </w:tcPr>
          <w:p w14:paraId="5670CB55" w14:textId="77777777" w:rsidR="00472DEB" w:rsidRPr="00472DEB" w:rsidRDefault="00472DEB" w:rsidP="00472DEB">
            <w:pPr>
              <w:spacing w:before="100" w:beforeAutospacing="1" w:after="100" w:afterAutospacing="1" w:line="276" w:lineRule="auto"/>
              <w:rPr>
                <w:rFonts w:ascii="Arial" w:eastAsia="Arial" w:hAnsi="Arial" w:cs="Arial"/>
              </w:rPr>
            </w:pPr>
          </w:p>
        </w:tc>
        <w:tc>
          <w:tcPr>
            <w:tcW w:w="6459" w:type="dxa"/>
            <w:shd w:val="clear" w:color="auto" w:fill="F2F2F2" w:themeFill="background1" w:themeFillShade="F2"/>
          </w:tcPr>
          <w:p w14:paraId="403550C6"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Question 3: Governance/Capacity</w:t>
            </w:r>
          </w:p>
        </w:tc>
        <w:tc>
          <w:tcPr>
            <w:tcW w:w="1428" w:type="dxa"/>
            <w:shd w:val="clear" w:color="auto" w:fill="F2F2F2" w:themeFill="background1" w:themeFillShade="F2"/>
          </w:tcPr>
          <w:p w14:paraId="58688E0D" w14:textId="732837C2" w:rsidR="00472DEB" w:rsidRPr="00472DEB" w:rsidRDefault="001673EB" w:rsidP="00472DEB">
            <w:pPr>
              <w:spacing w:before="100" w:beforeAutospacing="1" w:after="100" w:afterAutospacing="1" w:line="276" w:lineRule="auto"/>
              <w:rPr>
                <w:rFonts w:ascii="Arial" w:eastAsia="Arial" w:hAnsi="Arial" w:cs="Arial"/>
              </w:rPr>
            </w:pPr>
            <w:r>
              <w:rPr>
                <w:rFonts w:ascii="Arial" w:eastAsia="Arial" w:hAnsi="Arial" w:cs="Arial"/>
              </w:rPr>
              <w:t>15</w:t>
            </w:r>
            <w:r w:rsidR="00472DEB" w:rsidRPr="00472DEB">
              <w:rPr>
                <w:rFonts w:ascii="Arial" w:eastAsia="Arial" w:hAnsi="Arial" w:cs="Arial"/>
              </w:rPr>
              <w:t>%</w:t>
            </w:r>
          </w:p>
        </w:tc>
      </w:tr>
      <w:tr w:rsidR="00472DEB" w:rsidRPr="00472DEB" w14:paraId="33EC5D05" w14:textId="77777777" w:rsidTr="282B63B2">
        <w:trPr>
          <w:trHeight w:val="229"/>
          <w:jc w:val="center"/>
        </w:trPr>
        <w:tc>
          <w:tcPr>
            <w:tcW w:w="1129" w:type="dxa"/>
            <w:shd w:val="clear" w:color="auto" w:fill="F2F2F2" w:themeFill="background1" w:themeFillShade="F2"/>
          </w:tcPr>
          <w:p w14:paraId="2F2AFAD0" w14:textId="77777777" w:rsidR="00472DEB" w:rsidRPr="00472DEB" w:rsidRDefault="00472DEB" w:rsidP="00472DEB">
            <w:pPr>
              <w:spacing w:before="100" w:beforeAutospacing="1" w:after="100" w:afterAutospacing="1" w:line="276" w:lineRule="auto"/>
              <w:rPr>
                <w:rFonts w:ascii="Arial" w:eastAsia="Arial" w:hAnsi="Arial" w:cs="Arial"/>
              </w:rPr>
            </w:pPr>
          </w:p>
        </w:tc>
        <w:tc>
          <w:tcPr>
            <w:tcW w:w="6459" w:type="dxa"/>
            <w:shd w:val="clear" w:color="auto" w:fill="F2F2F2" w:themeFill="background1" w:themeFillShade="F2"/>
          </w:tcPr>
          <w:p w14:paraId="1EE4CB91" w14:textId="77777777"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 xml:space="preserve">Question 4: Record of Delivery </w:t>
            </w:r>
          </w:p>
        </w:tc>
        <w:tc>
          <w:tcPr>
            <w:tcW w:w="1428" w:type="dxa"/>
            <w:shd w:val="clear" w:color="auto" w:fill="F2F2F2" w:themeFill="background1" w:themeFillShade="F2"/>
          </w:tcPr>
          <w:p w14:paraId="4A623086" w14:textId="0B38E943"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1</w:t>
            </w:r>
            <w:r w:rsidR="00957682">
              <w:rPr>
                <w:rFonts w:ascii="Arial" w:eastAsia="Arial" w:hAnsi="Arial" w:cs="Arial"/>
              </w:rPr>
              <w:t>5</w:t>
            </w:r>
            <w:r w:rsidRPr="00472DEB">
              <w:rPr>
                <w:rFonts w:ascii="Arial" w:eastAsia="Arial" w:hAnsi="Arial" w:cs="Arial"/>
              </w:rPr>
              <w:t>%</w:t>
            </w:r>
          </w:p>
        </w:tc>
      </w:tr>
      <w:tr w:rsidR="00E83C54" w:rsidRPr="00472DEB" w14:paraId="0460E183" w14:textId="77777777" w:rsidTr="282B63B2">
        <w:trPr>
          <w:trHeight w:val="229"/>
          <w:jc w:val="center"/>
        </w:trPr>
        <w:tc>
          <w:tcPr>
            <w:tcW w:w="1129" w:type="dxa"/>
            <w:shd w:val="clear" w:color="auto" w:fill="F2F2F2" w:themeFill="background1" w:themeFillShade="F2"/>
          </w:tcPr>
          <w:p w14:paraId="3167DF91" w14:textId="77777777" w:rsidR="00E83C54" w:rsidRPr="00472DEB" w:rsidRDefault="00E83C54" w:rsidP="00472DEB">
            <w:pPr>
              <w:spacing w:before="100" w:beforeAutospacing="1" w:after="100" w:afterAutospacing="1" w:line="276" w:lineRule="auto"/>
              <w:rPr>
                <w:rFonts w:ascii="Arial" w:eastAsia="Arial" w:hAnsi="Arial" w:cs="Arial"/>
              </w:rPr>
            </w:pPr>
          </w:p>
        </w:tc>
        <w:tc>
          <w:tcPr>
            <w:tcW w:w="6459" w:type="dxa"/>
            <w:shd w:val="clear" w:color="auto" w:fill="F2F2F2" w:themeFill="background1" w:themeFillShade="F2"/>
          </w:tcPr>
          <w:p w14:paraId="78F88F58" w14:textId="1309EF7B" w:rsidR="00E83C54" w:rsidRPr="00472DEB" w:rsidRDefault="00E83C54" w:rsidP="00472DEB">
            <w:pPr>
              <w:spacing w:before="100" w:beforeAutospacing="1" w:after="100" w:afterAutospacing="1" w:line="276" w:lineRule="auto"/>
              <w:rPr>
                <w:rFonts w:ascii="Arial" w:eastAsia="Arial" w:hAnsi="Arial" w:cs="Arial"/>
              </w:rPr>
            </w:pPr>
            <w:r>
              <w:rPr>
                <w:rFonts w:ascii="Arial" w:eastAsia="Arial" w:hAnsi="Arial" w:cs="Arial"/>
              </w:rPr>
              <w:t xml:space="preserve">Question 5: Added Value </w:t>
            </w:r>
          </w:p>
        </w:tc>
        <w:tc>
          <w:tcPr>
            <w:tcW w:w="1428" w:type="dxa"/>
            <w:shd w:val="clear" w:color="auto" w:fill="F2F2F2" w:themeFill="background1" w:themeFillShade="F2"/>
          </w:tcPr>
          <w:p w14:paraId="72A022B8" w14:textId="7B6B9FB3" w:rsidR="00E83C54" w:rsidRPr="00472DEB" w:rsidRDefault="00957682" w:rsidP="00472DEB">
            <w:pPr>
              <w:spacing w:before="100" w:beforeAutospacing="1" w:after="100" w:afterAutospacing="1" w:line="276" w:lineRule="auto"/>
              <w:rPr>
                <w:rFonts w:ascii="Arial" w:eastAsia="Arial" w:hAnsi="Arial" w:cs="Arial"/>
              </w:rPr>
            </w:pPr>
            <w:r>
              <w:rPr>
                <w:rFonts w:ascii="Arial" w:eastAsia="Arial" w:hAnsi="Arial" w:cs="Arial"/>
              </w:rPr>
              <w:t>15%</w:t>
            </w:r>
          </w:p>
        </w:tc>
      </w:tr>
      <w:tr w:rsidR="00472DEB" w:rsidRPr="00472DEB" w14:paraId="24E428E7" w14:textId="77777777" w:rsidTr="282B63B2">
        <w:trPr>
          <w:trHeight w:val="229"/>
          <w:jc w:val="center"/>
        </w:trPr>
        <w:tc>
          <w:tcPr>
            <w:tcW w:w="1129" w:type="dxa"/>
            <w:shd w:val="clear" w:color="auto" w:fill="F2F2F2" w:themeFill="background1" w:themeFillShade="F2"/>
          </w:tcPr>
          <w:p w14:paraId="0DB96894" w14:textId="77777777" w:rsidR="00472DEB" w:rsidRPr="00472DEB" w:rsidRDefault="00472DEB" w:rsidP="00472DEB">
            <w:pPr>
              <w:spacing w:before="100" w:beforeAutospacing="1" w:after="100" w:afterAutospacing="1" w:line="276" w:lineRule="auto"/>
              <w:rPr>
                <w:rFonts w:ascii="Arial" w:eastAsia="Arial" w:hAnsi="Arial" w:cs="Arial"/>
              </w:rPr>
            </w:pPr>
          </w:p>
        </w:tc>
        <w:tc>
          <w:tcPr>
            <w:tcW w:w="6459" w:type="dxa"/>
            <w:shd w:val="clear" w:color="auto" w:fill="F2F2F2" w:themeFill="background1" w:themeFillShade="F2"/>
          </w:tcPr>
          <w:p w14:paraId="1CEDAE7D" w14:textId="312BEF59"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 xml:space="preserve">Question </w:t>
            </w:r>
            <w:r w:rsidR="00E83C54">
              <w:rPr>
                <w:rFonts w:ascii="Arial" w:eastAsia="Arial" w:hAnsi="Arial" w:cs="Arial"/>
              </w:rPr>
              <w:t>6</w:t>
            </w:r>
            <w:r w:rsidRPr="00472DEB">
              <w:rPr>
                <w:rFonts w:ascii="Arial" w:eastAsia="Arial" w:hAnsi="Arial" w:cs="Arial"/>
              </w:rPr>
              <w:t>: Social Value</w:t>
            </w:r>
          </w:p>
        </w:tc>
        <w:tc>
          <w:tcPr>
            <w:tcW w:w="1428" w:type="dxa"/>
            <w:shd w:val="clear" w:color="auto" w:fill="F2F2F2" w:themeFill="background1" w:themeFillShade="F2"/>
          </w:tcPr>
          <w:p w14:paraId="654BB824" w14:textId="3DB0248D" w:rsidR="00472DEB" w:rsidRPr="00472DEB" w:rsidRDefault="00472DEB" w:rsidP="00472DEB">
            <w:pPr>
              <w:spacing w:before="100" w:beforeAutospacing="1" w:after="100" w:afterAutospacing="1" w:line="276" w:lineRule="auto"/>
              <w:rPr>
                <w:rFonts w:ascii="Arial" w:eastAsia="Arial" w:hAnsi="Arial" w:cs="Arial"/>
              </w:rPr>
            </w:pPr>
            <w:r w:rsidRPr="00472DEB">
              <w:rPr>
                <w:rFonts w:ascii="Arial" w:eastAsia="Arial" w:hAnsi="Arial" w:cs="Arial"/>
              </w:rPr>
              <w:t>1</w:t>
            </w:r>
            <w:r w:rsidR="00957682">
              <w:rPr>
                <w:rFonts w:ascii="Arial" w:eastAsia="Arial" w:hAnsi="Arial" w:cs="Arial"/>
              </w:rPr>
              <w:t>0</w:t>
            </w:r>
            <w:r w:rsidRPr="00472DEB">
              <w:rPr>
                <w:rFonts w:ascii="Arial" w:eastAsia="Arial" w:hAnsi="Arial" w:cs="Arial"/>
              </w:rPr>
              <w:t>%</w:t>
            </w:r>
          </w:p>
        </w:tc>
      </w:tr>
      <w:tr w:rsidR="00472DEB" w:rsidRPr="00472DEB" w14:paraId="156D7A1D" w14:textId="77777777" w:rsidTr="00472DEB">
        <w:trPr>
          <w:trHeight w:val="229"/>
          <w:jc w:val="center"/>
        </w:trPr>
        <w:tc>
          <w:tcPr>
            <w:tcW w:w="1129" w:type="dxa"/>
            <w:shd w:val="clear" w:color="auto" w:fill="EEECE1"/>
          </w:tcPr>
          <w:p w14:paraId="6001E801" w14:textId="77777777" w:rsidR="00472DEB" w:rsidRPr="00472DEB" w:rsidRDefault="00472DEB" w:rsidP="00472DEB">
            <w:pPr>
              <w:spacing w:before="100" w:beforeAutospacing="1" w:after="100" w:afterAutospacing="1" w:line="276" w:lineRule="auto"/>
              <w:rPr>
                <w:rFonts w:ascii="Arial" w:eastAsia="Arial" w:hAnsi="Arial" w:cs="Arial"/>
                <w:b/>
              </w:rPr>
            </w:pPr>
          </w:p>
        </w:tc>
        <w:tc>
          <w:tcPr>
            <w:tcW w:w="6459" w:type="dxa"/>
            <w:shd w:val="clear" w:color="auto" w:fill="EEECE1"/>
          </w:tcPr>
          <w:p w14:paraId="442E5025" w14:textId="77777777" w:rsidR="00472DEB" w:rsidRPr="00472DEB" w:rsidRDefault="00472DEB" w:rsidP="00472DEB">
            <w:pPr>
              <w:spacing w:before="100" w:beforeAutospacing="1" w:after="100" w:afterAutospacing="1" w:line="276" w:lineRule="auto"/>
              <w:rPr>
                <w:rFonts w:ascii="Arial" w:eastAsia="Arial" w:hAnsi="Arial" w:cs="Arial"/>
                <w:b/>
              </w:rPr>
            </w:pPr>
            <w:r w:rsidRPr="00472DEB">
              <w:rPr>
                <w:rFonts w:ascii="Arial" w:eastAsia="Arial" w:hAnsi="Arial" w:cs="Arial"/>
                <w:b/>
              </w:rPr>
              <w:t>Total weighting</w:t>
            </w:r>
          </w:p>
        </w:tc>
        <w:tc>
          <w:tcPr>
            <w:tcW w:w="1428" w:type="dxa"/>
            <w:shd w:val="clear" w:color="auto" w:fill="EEECE1"/>
          </w:tcPr>
          <w:p w14:paraId="3FC576DB" w14:textId="77777777" w:rsidR="00472DEB" w:rsidRPr="00472DEB" w:rsidRDefault="00472DEB" w:rsidP="00472DEB">
            <w:pPr>
              <w:spacing w:before="100" w:beforeAutospacing="1" w:after="100" w:afterAutospacing="1" w:line="276" w:lineRule="auto"/>
              <w:rPr>
                <w:rFonts w:ascii="Arial" w:eastAsia="Arial" w:hAnsi="Arial" w:cs="Arial"/>
                <w:b/>
                <w:bCs/>
              </w:rPr>
            </w:pPr>
            <w:r w:rsidRPr="00472DEB">
              <w:rPr>
                <w:rFonts w:ascii="Arial" w:eastAsia="Arial" w:hAnsi="Arial" w:cs="Arial"/>
                <w:b/>
              </w:rPr>
              <w:t>100%</w:t>
            </w:r>
          </w:p>
        </w:tc>
      </w:tr>
    </w:tbl>
    <w:p w14:paraId="28435A44" w14:textId="77777777" w:rsidR="00472DEB" w:rsidRPr="00472DEB" w:rsidRDefault="00472DEB" w:rsidP="00472DEB">
      <w:pPr>
        <w:widowControl w:val="0"/>
        <w:autoSpaceDE w:val="0"/>
        <w:autoSpaceDN w:val="0"/>
        <w:spacing w:after="0" w:line="240" w:lineRule="auto"/>
        <w:rPr>
          <w:rFonts w:ascii="Arial" w:eastAsia="Arial" w:hAnsi="Arial" w:cs="Arial"/>
          <w:lang w:val="en-US"/>
        </w:rPr>
      </w:pPr>
    </w:p>
    <w:p w14:paraId="3AEAB13B" w14:textId="77777777" w:rsidR="00472DEB" w:rsidRPr="00472DEB" w:rsidRDefault="00472DEB" w:rsidP="00472DEB">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bookmarkStart w:id="2" w:name="_Toc114663034"/>
      <w:r w:rsidRPr="00472DEB">
        <w:rPr>
          <w:rFonts w:ascii="Arial" w:eastAsia="Times New Roman" w:hAnsi="Arial" w:cs="Arial"/>
          <w:b/>
          <w:bCs/>
          <w:sz w:val="24"/>
          <w:szCs w:val="24"/>
          <w:lang w:val="en-US" w:eastAsia="en-GB"/>
        </w:rPr>
        <w:t>Clarifications</w:t>
      </w:r>
      <w:bookmarkEnd w:id="2"/>
      <w:r w:rsidRPr="00472DEB">
        <w:rPr>
          <w:rFonts w:ascii="Arial" w:eastAsia="Times New Roman" w:hAnsi="Arial" w:cs="Arial"/>
          <w:b/>
          <w:bCs/>
          <w:sz w:val="24"/>
          <w:szCs w:val="24"/>
          <w:lang w:val="en-US" w:eastAsia="en-GB"/>
        </w:rPr>
        <w:t xml:space="preserve"> </w:t>
      </w:r>
    </w:p>
    <w:p w14:paraId="589DE5B2" w14:textId="77777777" w:rsidR="00472DEB" w:rsidRPr="00472DEB" w:rsidRDefault="00472DEB" w:rsidP="00472DEB">
      <w:pPr>
        <w:widowControl w:val="0"/>
        <w:autoSpaceDE w:val="0"/>
        <w:autoSpaceDN w:val="0"/>
        <w:spacing w:after="0" w:line="240" w:lineRule="auto"/>
        <w:rPr>
          <w:rFonts w:ascii="Arial" w:eastAsia="Arial" w:hAnsi="Arial" w:cs="Arial"/>
          <w:lang w:val="en-US"/>
        </w:rPr>
      </w:pPr>
    </w:p>
    <w:p w14:paraId="3C81BF85" w14:textId="71B3647C"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5D4443D6">
        <w:rPr>
          <w:rFonts w:ascii="Arial" w:eastAsia="Arial" w:hAnsi="Arial" w:cs="Arial"/>
          <w:lang w:val="en-US"/>
        </w:rPr>
        <w:t xml:space="preserve">NTCA reserves the right to make an award decision without holding any clarification meetings with Applicants.  Should NTCA wish to </w:t>
      </w:r>
      <w:proofErr w:type="gramStart"/>
      <w:r w:rsidRPr="5D4443D6">
        <w:rPr>
          <w:rFonts w:ascii="Arial" w:eastAsia="Arial" w:hAnsi="Arial" w:cs="Arial"/>
          <w:lang w:val="en-US"/>
        </w:rPr>
        <w:t>enter into</w:t>
      </w:r>
      <w:proofErr w:type="gramEnd"/>
      <w:r w:rsidRPr="5D4443D6">
        <w:rPr>
          <w:rFonts w:ascii="Arial" w:eastAsia="Arial" w:hAnsi="Arial" w:cs="Arial"/>
          <w:lang w:val="en-US"/>
        </w:rPr>
        <w:t xml:space="preserve"> clarifications, clarification meetings may be held with Applicants to discuss their applications in their entirety. Alternatively, where clarifications are clearly identifiable, applicants will be emailed clarification questions.</w:t>
      </w:r>
      <w:r w:rsidR="082FD68A" w:rsidRPr="5D4443D6">
        <w:rPr>
          <w:rFonts w:ascii="Arial" w:eastAsia="Arial" w:hAnsi="Arial" w:cs="Arial"/>
          <w:lang w:val="en-US"/>
        </w:rPr>
        <w:t xml:space="preserve"> Where there are similar areas of clarification across multiple project submissions, all applicants will be contacted and asked the same question to ensure transparency and equality of opportunity.</w:t>
      </w:r>
    </w:p>
    <w:p w14:paraId="589D33B2"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rPr>
      </w:pPr>
    </w:p>
    <w:p w14:paraId="21D52076" w14:textId="77777777"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proofErr w:type="gramStart"/>
      <w:r w:rsidRPr="00472DEB">
        <w:rPr>
          <w:rFonts w:ascii="Arial" w:eastAsia="Arial" w:hAnsi="Arial" w:cs="Arial"/>
          <w:lang w:val="en-US"/>
        </w:rPr>
        <w:t>In the event that</w:t>
      </w:r>
      <w:proofErr w:type="gramEnd"/>
      <w:r w:rsidRPr="00472DEB">
        <w:rPr>
          <w:rFonts w:ascii="Arial" w:eastAsia="Arial" w:hAnsi="Arial" w:cs="Arial"/>
          <w:lang w:val="en-US"/>
        </w:rPr>
        <w:t xml:space="preserve"> clarifications are required, clarifications will not be scored, but the results of the clarification will be used to amend application evaluation scores in relation to relevant parts of an application. Clarifications will not be requested where average panel scores are zero. </w:t>
      </w:r>
    </w:p>
    <w:p w14:paraId="084B1ED2"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rPr>
      </w:pPr>
    </w:p>
    <w:p w14:paraId="44EA0A7F" w14:textId="3038DD48" w:rsid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The assessment panel submits decision after clarifications and there are no grounds for appealing final decisions prior to award of funding.  </w:t>
      </w:r>
    </w:p>
    <w:p w14:paraId="4FEA5A87" w14:textId="075CBCC9" w:rsidR="001673EB" w:rsidRPr="00472DEB" w:rsidRDefault="001673EB" w:rsidP="00291E88">
      <w:pPr>
        <w:widowControl w:val="0"/>
        <w:autoSpaceDE w:val="0"/>
        <w:autoSpaceDN w:val="0"/>
        <w:spacing w:after="0" w:line="240" w:lineRule="auto"/>
        <w:contextualSpacing/>
        <w:rPr>
          <w:rFonts w:ascii="Arial" w:eastAsia="Arial" w:hAnsi="Arial" w:cs="Arial"/>
          <w:lang w:val="en-US"/>
        </w:rPr>
      </w:pPr>
    </w:p>
    <w:p w14:paraId="0D481460" w14:textId="77777777" w:rsidR="00472DEB" w:rsidRPr="00472DEB" w:rsidRDefault="00472DEB" w:rsidP="00472DEB">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bookmarkStart w:id="3" w:name="_Toc114663035"/>
      <w:r w:rsidRPr="00472DEB">
        <w:rPr>
          <w:rFonts w:ascii="Arial" w:eastAsia="Times New Roman" w:hAnsi="Arial" w:cs="Arial"/>
          <w:b/>
          <w:bCs/>
          <w:sz w:val="24"/>
          <w:szCs w:val="24"/>
          <w:lang w:val="en-US" w:eastAsia="en-GB"/>
        </w:rPr>
        <w:t>Allocation process</w:t>
      </w:r>
      <w:bookmarkEnd w:id="3"/>
    </w:p>
    <w:p w14:paraId="214250C3" w14:textId="77777777" w:rsidR="00472DEB" w:rsidRPr="00472DEB" w:rsidRDefault="00472DEB" w:rsidP="00472DEB">
      <w:pPr>
        <w:widowControl w:val="0"/>
        <w:autoSpaceDE w:val="0"/>
        <w:autoSpaceDN w:val="0"/>
        <w:spacing w:after="0" w:line="240" w:lineRule="auto"/>
        <w:rPr>
          <w:rFonts w:ascii="Arial" w:eastAsia="Arial" w:hAnsi="Arial" w:cs="Arial"/>
          <w:lang w:val="en-US"/>
        </w:rPr>
      </w:pPr>
    </w:p>
    <w:p w14:paraId="082110ED" w14:textId="77777777"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The highest ranked Applicant(s) will be considered for the award of a grant agreement, </w:t>
      </w:r>
      <w:r w:rsidRPr="00472DEB">
        <w:rPr>
          <w:rFonts w:ascii="Arial" w:eastAsia="Arial" w:hAnsi="Arial" w:cs="Arial"/>
          <w:lang w:val="en-US"/>
        </w:rPr>
        <w:lastRenderedPageBreak/>
        <w:t xml:space="preserve">subject to the appropriate coverage of project outcomes, geographical location, target groups and successfully passing the due diligence process and having sufficient capability and capacity. </w:t>
      </w:r>
    </w:p>
    <w:p w14:paraId="7792FD88"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rPr>
      </w:pPr>
    </w:p>
    <w:p w14:paraId="5D153567" w14:textId="77777777" w:rsid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From the initial submissions received, if NTCA do not have sufficient coverage of project outcomes, geographical </w:t>
      </w:r>
      <w:proofErr w:type="gramStart"/>
      <w:r w:rsidRPr="00472DEB">
        <w:rPr>
          <w:rFonts w:ascii="Arial" w:eastAsia="Arial" w:hAnsi="Arial" w:cs="Arial"/>
          <w:lang w:val="en-US"/>
        </w:rPr>
        <w:t>location</w:t>
      </w:r>
      <w:proofErr w:type="gramEnd"/>
      <w:r w:rsidRPr="00472DEB">
        <w:rPr>
          <w:rFonts w:ascii="Arial" w:eastAsia="Arial" w:hAnsi="Arial" w:cs="Arial"/>
          <w:lang w:val="en-US"/>
        </w:rPr>
        <w:t xml:space="preserve"> and target groups NTCA will enter into clarifications with bidders to discuss their initial submission and ensure that there is sufficient coverage of project outcomes, geographical location and target groups. As per the above this will be done on a ranking basis.</w:t>
      </w:r>
    </w:p>
    <w:p w14:paraId="3074B38C" w14:textId="77777777" w:rsidR="00D220C2" w:rsidRDefault="00D220C2" w:rsidP="00D220C2">
      <w:pPr>
        <w:widowControl w:val="0"/>
        <w:autoSpaceDE w:val="0"/>
        <w:autoSpaceDN w:val="0"/>
        <w:spacing w:after="0" w:line="240" w:lineRule="auto"/>
        <w:contextualSpacing/>
        <w:rPr>
          <w:rFonts w:ascii="Arial" w:eastAsia="Arial" w:hAnsi="Arial" w:cs="Arial"/>
          <w:lang w:val="en-US"/>
        </w:rPr>
      </w:pPr>
    </w:p>
    <w:p w14:paraId="6AC05361" w14:textId="04EA4D4C" w:rsidR="00CA123E" w:rsidRDefault="00CA123E" w:rsidP="00CA123E">
      <w:pPr>
        <w:widowControl w:val="0"/>
        <w:numPr>
          <w:ilvl w:val="1"/>
          <w:numId w:val="1"/>
        </w:numPr>
        <w:autoSpaceDE w:val="0"/>
        <w:autoSpaceDN w:val="0"/>
        <w:spacing w:after="0" w:line="240" w:lineRule="auto"/>
        <w:ind w:hanging="568"/>
        <w:contextualSpacing/>
        <w:rPr>
          <w:rFonts w:ascii="Arial" w:eastAsia="Arial" w:hAnsi="Arial" w:cs="Arial"/>
          <w:lang w:val="en-US"/>
        </w:rPr>
      </w:pPr>
      <w:bookmarkStart w:id="4" w:name="_Hlk37948131"/>
      <w:r w:rsidRPr="00CA123E">
        <w:rPr>
          <w:rFonts w:ascii="Arial" w:eastAsia="Arial" w:hAnsi="Arial" w:cs="Arial"/>
          <w:lang w:val="en-US"/>
        </w:rPr>
        <w:t>NTCA will use the overall Final Evaluation Score obtained through Questions 1-6 in the evaluation process to prioritise allocations for provision.  Overall scores will be ranked from highest to lowest and grant agreements will be awarded on this basis until it is no longer possible to award any more agreements within the indicative total funding value of £3m. NTCA reserve the right not to allocate the full indicative funding value.  </w:t>
      </w:r>
      <w:bookmarkEnd w:id="4"/>
    </w:p>
    <w:p w14:paraId="1F110C7D" w14:textId="77777777" w:rsidR="00CA123E" w:rsidRPr="00CA123E" w:rsidRDefault="00CA123E" w:rsidP="00CA123E">
      <w:pPr>
        <w:widowControl w:val="0"/>
        <w:autoSpaceDE w:val="0"/>
        <w:autoSpaceDN w:val="0"/>
        <w:spacing w:after="0" w:line="240" w:lineRule="auto"/>
        <w:contextualSpacing/>
        <w:rPr>
          <w:rFonts w:ascii="Arial" w:eastAsia="Arial" w:hAnsi="Arial" w:cs="Arial"/>
          <w:lang w:val="en-US"/>
        </w:rPr>
      </w:pPr>
    </w:p>
    <w:p w14:paraId="55F509BC" w14:textId="23D96B48" w:rsidR="00D220C2" w:rsidRPr="00CA123E" w:rsidRDefault="00CA123E" w:rsidP="00CA123E">
      <w:pPr>
        <w:widowControl w:val="0"/>
        <w:numPr>
          <w:ilvl w:val="1"/>
          <w:numId w:val="1"/>
        </w:numPr>
        <w:autoSpaceDE w:val="0"/>
        <w:autoSpaceDN w:val="0"/>
        <w:spacing w:after="0" w:line="240" w:lineRule="auto"/>
        <w:ind w:hanging="568"/>
        <w:contextualSpacing/>
        <w:rPr>
          <w:rFonts w:ascii="Arial" w:eastAsia="Arial" w:hAnsi="Arial" w:cs="Arial"/>
          <w:lang w:val="en-US"/>
        </w:rPr>
      </w:pPr>
      <w:r w:rsidRPr="00CA123E">
        <w:rPr>
          <w:rFonts w:ascii="Arial" w:eastAsia="Arial" w:hAnsi="Arial" w:cs="Arial"/>
          <w:lang w:val="en-US"/>
        </w:rPr>
        <w:t xml:space="preserve">Where two or more </w:t>
      </w:r>
      <w:r w:rsidR="002F62DA">
        <w:rPr>
          <w:rFonts w:ascii="Arial" w:eastAsia="Arial" w:hAnsi="Arial" w:cs="Arial"/>
          <w:lang w:val="en-US"/>
        </w:rPr>
        <w:t xml:space="preserve">Applicants </w:t>
      </w:r>
      <w:r w:rsidRPr="00CA123E">
        <w:rPr>
          <w:rFonts w:ascii="Arial" w:eastAsia="Arial" w:hAnsi="Arial" w:cs="Arial"/>
          <w:lang w:val="en-US"/>
        </w:rPr>
        <w:t xml:space="preserve">have identical scores for Quality Questions 1-6, and the NTCA budget will not allow for </w:t>
      </w:r>
      <w:proofErr w:type="gramStart"/>
      <w:r w:rsidRPr="00CA123E">
        <w:rPr>
          <w:rFonts w:ascii="Arial" w:eastAsia="Arial" w:hAnsi="Arial" w:cs="Arial"/>
          <w:lang w:val="en-US"/>
        </w:rPr>
        <w:t>all of</w:t>
      </w:r>
      <w:proofErr w:type="gramEnd"/>
      <w:r w:rsidRPr="00CA123E">
        <w:rPr>
          <w:rFonts w:ascii="Arial" w:eastAsia="Arial" w:hAnsi="Arial" w:cs="Arial"/>
          <w:lang w:val="en-US"/>
        </w:rPr>
        <w:t xml:space="preserve"> those </w:t>
      </w:r>
      <w:r w:rsidR="002F62DA">
        <w:rPr>
          <w:rFonts w:ascii="Arial" w:eastAsia="Arial" w:hAnsi="Arial" w:cs="Arial"/>
          <w:lang w:val="en-US"/>
        </w:rPr>
        <w:t xml:space="preserve">Applicants </w:t>
      </w:r>
      <w:r w:rsidRPr="00CA123E">
        <w:rPr>
          <w:rFonts w:ascii="Arial" w:eastAsia="Arial" w:hAnsi="Arial" w:cs="Arial"/>
          <w:lang w:val="en-US"/>
        </w:rPr>
        <w:t xml:space="preserve">to be awarded grant agreements, the unit price (cost per participant) will be used be used to shortlist / select projects. This will be done on a ranking basis, with the lowest unit cost ranked 1 </w:t>
      </w:r>
      <w:r w:rsidR="004D0AC3" w:rsidRPr="00CA123E">
        <w:rPr>
          <w:rFonts w:ascii="Arial" w:eastAsia="Arial" w:hAnsi="Arial" w:cs="Arial"/>
          <w:lang w:val="en-US"/>
        </w:rPr>
        <w:t>etc.</w:t>
      </w:r>
    </w:p>
    <w:p w14:paraId="46AF67F6" w14:textId="77777777" w:rsidR="006A7425" w:rsidRPr="006A7425" w:rsidRDefault="006A7425" w:rsidP="006A7425">
      <w:pPr>
        <w:widowControl w:val="0"/>
        <w:autoSpaceDE w:val="0"/>
        <w:autoSpaceDN w:val="0"/>
        <w:spacing w:after="0" w:line="240" w:lineRule="auto"/>
        <w:contextualSpacing/>
        <w:rPr>
          <w:rFonts w:ascii="Arial" w:eastAsia="Arial" w:hAnsi="Arial" w:cs="Arial"/>
          <w:lang w:val="en-US"/>
        </w:rPr>
      </w:pPr>
    </w:p>
    <w:p w14:paraId="60E0C387" w14:textId="77777777" w:rsidR="00C9449A" w:rsidRPr="003B1893" w:rsidRDefault="00C9449A" w:rsidP="00C9449A">
      <w:pPr>
        <w:widowControl w:val="0"/>
        <w:numPr>
          <w:ilvl w:val="0"/>
          <w:numId w:val="1"/>
        </w:numPr>
        <w:autoSpaceDE w:val="0"/>
        <w:autoSpaceDN w:val="0"/>
        <w:spacing w:after="0" w:line="240" w:lineRule="auto"/>
        <w:contextualSpacing/>
        <w:rPr>
          <w:rFonts w:ascii="Arial" w:eastAsia="Times New Roman" w:hAnsi="Arial" w:cs="Arial"/>
          <w:b/>
          <w:bCs/>
          <w:sz w:val="24"/>
          <w:szCs w:val="24"/>
          <w:lang w:eastAsia="en-GB"/>
        </w:rPr>
      </w:pPr>
      <w:bookmarkStart w:id="5" w:name="_Toc114663037"/>
      <w:r w:rsidRPr="003B1893">
        <w:rPr>
          <w:rFonts w:ascii="Arial" w:eastAsia="Times New Roman" w:hAnsi="Arial" w:cs="Arial"/>
          <w:b/>
          <w:bCs/>
          <w:sz w:val="24"/>
          <w:szCs w:val="24"/>
          <w:lang w:eastAsia="en-GB"/>
        </w:rPr>
        <w:t>Gateway assessment</w:t>
      </w:r>
    </w:p>
    <w:p w14:paraId="29B9F3C0" w14:textId="77777777" w:rsidR="00C9449A" w:rsidRPr="003B1893" w:rsidRDefault="00C9449A" w:rsidP="00C9449A">
      <w:pPr>
        <w:widowControl w:val="0"/>
        <w:autoSpaceDE w:val="0"/>
        <w:autoSpaceDN w:val="0"/>
        <w:spacing w:after="0" w:line="240" w:lineRule="auto"/>
        <w:contextualSpacing/>
        <w:rPr>
          <w:rFonts w:ascii="Arial" w:eastAsia="Times New Roman" w:hAnsi="Arial" w:cs="Arial"/>
          <w:b/>
          <w:bCs/>
          <w:sz w:val="24"/>
          <w:szCs w:val="24"/>
          <w:lang w:eastAsia="en-GB"/>
        </w:rPr>
      </w:pPr>
    </w:p>
    <w:p w14:paraId="06610175" w14:textId="44339755" w:rsidR="0055536D" w:rsidRDefault="00C9449A" w:rsidP="007D2E9A">
      <w:pPr>
        <w:widowControl w:val="0"/>
        <w:numPr>
          <w:ilvl w:val="1"/>
          <w:numId w:val="1"/>
        </w:numPr>
        <w:autoSpaceDE w:val="0"/>
        <w:autoSpaceDN w:val="0"/>
        <w:spacing w:after="120" w:line="240" w:lineRule="auto"/>
        <w:ind w:left="567" w:hanging="567"/>
        <w:rPr>
          <w:rFonts w:ascii="Arial" w:eastAsia="Arial" w:hAnsi="Arial" w:cs="Arial"/>
        </w:rPr>
      </w:pPr>
      <w:r w:rsidRPr="003B1893">
        <w:rPr>
          <w:rFonts w:ascii="Arial" w:eastAsia="Arial" w:hAnsi="Arial" w:cs="Arial"/>
        </w:rPr>
        <w:t>All applications will be assessed against the core eligibility criteria for the call. Applications which do not meet the eligibility criteria will not progress to the next stage of the assessment process.</w:t>
      </w:r>
    </w:p>
    <w:p w14:paraId="094A6D53" w14:textId="77777777" w:rsidR="007D2E9A" w:rsidRPr="007D2E9A" w:rsidRDefault="007D2E9A" w:rsidP="007D2E9A">
      <w:pPr>
        <w:widowControl w:val="0"/>
        <w:autoSpaceDE w:val="0"/>
        <w:autoSpaceDN w:val="0"/>
        <w:spacing w:after="120" w:line="240" w:lineRule="auto"/>
        <w:ind w:left="567"/>
        <w:rPr>
          <w:rFonts w:ascii="Arial" w:eastAsia="Arial" w:hAnsi="Arial" w:cs="Arial"/>
        </w:rPr>
      </w:pPr>
    </w:p>
    <w:tbl>
      <w:tblPr>
        <w:tblStyle w:val="TableGrid"/>
        <w:tblW w:w="9016" w:type="dxa"/>
        <w:tblCellMar>
          <w:top w:w="28" w:type="dxa"/>
          <w:bottom w:w="28" w:type="dxa"/>
        </w:tblCellMar>
        <w:tblLook w:val="04A0" w:firstRow="1" w:lastRow="0" w:firstColumn="1" w:lastColumn="0" w:noHBand="0" w:noVBand="1"/>
      </w:tblPr>
      <w:tblGrid>
        <w:gridCol w:w="1620"/>
        <w:gridCol w:w="7396"/>
      </w:tblGrid>
      <w:tr w:rsidR="003B1893" w:rsidRPr="003B1893" w14:paraId="6F459E47" w14:textId="77777777" w:rsidTr="282B63B2">
        <w:tc>
          <w:tcPr>
            <w:tcW w:w="1620" w:type="dxa"/>
          </w:tcPr>
          <w:p w14:paraId="44AA4C4E" w14:textId="77777777" w:rsidR="00C9449A" w:rsidRPr="003B1893" w:rsidRDefault="00C9449A" w:rsidP="00C862F8">
            <w:pPr>
              <w:widowControl w:val="0"/>
              <w:autoSpaceDE w:val="0"/>
              <w:autoSpaceDN w:val="0"/>
              <w:spacing w:after="120"/>
              <w:rPr>
                <w:rFonts w:ascii="Arial" w:eastAsia="Arial" w:hAnsi="Arial" w:cs="Arial"/>
                <w:b/>
                <w:bCs/>
              </w:rPr>
            </w:pPr>
            <w:r w:rsidRPr="003B1893">
              <w:rPr>
                <w:rFonts w:ascii="Arial" w:eastAsia="Arial" w:hAnsi="Arial" w:cs="Arial"/>
                <w:b/>
                <w:bCs/>
              </w:rPr>
              <w:t>Question</w:t>
            </w:r>
          </w:p>
        </w:tc>
        <w:tc>
          <w:tcPr>
            <w:tcW w:w="7396" w:type="dxa"/>
          </w:tcPr>
          <w:p w14:paraId="543E2606" w14:textId="77777777" w:rsidR="00C9449A" w:rsidRPr="003B1893" w:rsidRDefault="00C9449A" w:rsidP="00C862F8">
            <w:pPr>
              <w:widowControl w:val="0"/>
              <w:autoSpaceDE w:val="0"/>
              <w:autoSpaceDN w:val="0"/>
              <w:spacing w:after="120"/>
              <w:rPr>
                <w:rFonts w:ascii="Arial" w:eastAsia="Arial" w:hAnsi="Arial" w:cs="Arial"/>
                <w:b/>
                <w:bCs/>
              </w:rPr>
            </w:pPr>
            <w:r w:rsidRPr="003B1893">
              <w:rPr>
                <w:rFonts w:ascii="Arial" w:eastAsia="Arial" w:hAnsi="Arial" w:cs="Arial"/>
                <w:b/>
                <w:bCs/>
              </w:rPr>
              <w:t>Guidance</w:t>
            </w:r>
          </w:p>
        </w:tc>
      </w:tr>
      <w:tr w:rsidR="003B1893" w:rsidRPr="003B1893" w14:paraId="6F4EC591" w14:textId="77777777" w:rsidTr="282B63B2">
        <w:tc>
          <w:tcPr>
            <w:tcW w:w="1620" w:type="dxa"/>
          </w:tcPr>
          <w:p w14:paraId="5CD5EB6C"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Lead organisation</w:t>
            </w:r>
          </w:p>
        </w:tc>
        <w:tc>
          <w:tcPr>
            <w:tcW w:w="7396" w:type="dxa"/>
          </w:tcPr>
          <w:p w14:paraId="15B58227"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To be eligible for funding, all applicants must be a VCSE organisation</w:t>
            </w:r>
          </w:p>
        </w:tc>
      </w:tr>
      <w:tr w:rsidR="003B1893" w:rsidRPr="003B1893" w14:paraId="17EE9FEE" w14:textId="77777777" w:rsidTr="282B63B2">
        <w:tc>
          <w:tcPr>
            <w:tcW w:w="1620" w:type="dxa"/>
          </w:tcPr>
          <w:p w14:paraId="3BFE3CBE"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Delivery partners</w:t>
            </w:r>
          </w:p>
        </w:tc>
        <w:tc>
          <w:tcPr>
            <w:tcW w:w="7396" w:type="dxa"/>
          </w:tcPr>
          <w:p w14:paraId="236D229C"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 xml:space="preserve">All organisations involved in direct delivery of support to beneficiaries must also be VCSE organisations. </w:t>
            </w:r>
          </w:p>
          <w:p w14:paraId="2CD58F7E" w14:textId="53B784F4"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Administrative / back</w:t>
            </w:r>
            <w:r w:rsidR="29B0BC41" w:rsidRPr="282B63B2">
              <w:rPr>
                <w:rFonts w:ascii="Arial" w:eastAsia="Arial" w:hAnsi="Arial" w:cs="Arial"/>
              </w:rPr>
              <w:t>-</w:t>
            </w:r>
            <w:r w:rsidRPr="003B1893">
              <w:rPr>
                <w:rFonts w:ascii="Arial" w:eastAsia="Arial" w:hAnsi="Arial" w:cs="Arial"/>
              </w:rPr>
              <w:t>office support can be provided by non-VCSE organisations</w:t>
            </w:r>
          </w:p>
        </w:tc>
      </w:tr>
      <w:tr w:rsidR="003B1893" w:rsidRPr="003B1893" w14:paraId="796D238C" w14:textId="77777777" w:rsidTr="282B63B2">
        <w:tc>
          <w:tcPr>
            <w:tcW w:w="1620" w:type="dxa"/>
          </w:tcPr>
          <w:p w14:paraId="387A280E"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Geographic area of delivery</w:t>
            </w:r>
          </w:p>
        </w:tc>
        <w:tc>
          <w:tcPr>
            <w:tcW w:w="7396" w:type="dxa"/>
          </w:tcPr>
          <w:p w14:paraId="415F7C93" w14:textId="0526AC7B"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 xml:space="preserve">Please describe where your project will be delivered </w:t>
            </w:r>
            <w:r w:rsidR="007D2E9A" w:rsidRPr="003B1893">
              <w:rPr>
                <w:rFonts w:ascii="Arial" w:eastAsia="Arial" w:hAnsi="Arial" w:cs="Arial"/>
              </w:rPr>
              <w:t>e.g.,</w:t>
            </w:r>
            <w:r w:rsidRPr="003B1893">
              <w:rPr>
                <w:rFonts w:ascii="Arial" w:eastAsia="Arial" w:hAnsi="Arial" w:cs="Arial"/>
              </w:rPr>
              <w:t xml:space="preserve"> Across the entire North of Tyne area; across the entire Local Authority area/s of Newcastle, North Tyneside and / or Northumberland; focused on specific wards / areas within a Local Authority area. </w:t>
            </w:r>
          </w:p>
          <w:p w14:paraId="073AE4EE"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All delivery must be within the North of Tyne Combined Authority area</w:t>
            </w:r>
          </w:p>
        </w:tc>
      </w:tr>
      <w:tr w:rsidR="003B1893" w:rsidRPr="003B1893" w14:paraId="73EC4E2B" w14:textId="77777777" w:rsidTr="282B63B2">
        <w:tc>
          <w:tcPr>
            <w:tcW w:w="1620" w:type="dxa"/>
          </w:tcPr>
          <w:p w14:paraId="6AF9AEB0"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Estimated start date</w:t>
            </w:r>
          </w:p>
        </w:tc>
        <w:tc>
          <w:tcPr>
            <w:tcW w:w="7396" w:type="dxa"/>
          </w:tcPr>
          <w:p w14:paraId="07AF8775" w14:textId="41CC9DD1"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 xml:space="preserve">The earliest potential start date for delivery is the </w:t>
            </w:r>
            <w:r w:rsidR="007D2E9A" w:rsidRPr="003B1893">
              <w:rPr>
                <w:rFonts w:ascii="Arial" w:eastAsia="Arial" w:hAnsi="Arial" w:cs="Arial"/>
              </w:rPr>
              <w:t>1</w:t>
            </w:r>
            <w:r w:rsidR="007D2E9A" w:rsidRPr="003B1893">
              <w:rPr>
                <w:rFonts w:ascii="Arial" w:eastAsia="Arial" w:hAnsi="Arial" w:cs="Arial"/>
                <w:vertAlign w:val="superscript"/>
              </w:rPr>
              <w:t>st of</w:t>
            </w:r>
            <w:r w:rsidRPr="003B1893">
              <w:rPr>
                <w:rFonts w:ascii="Arial" w:eastAsia="Arial" w:hAnsi="Arial" w:cs="Arial"/>
              </w:rPr>
              <w:t xml:space="preserve"> April 2023</w:t>
            </w:r>
          </w:p>
        </w:tc>
      </w:tr>
      <w:tr w:rsidR="003B1893" w:rsidRPr="003B1893" w14:paraId="32C389B6" w14:textId="77777777" w:rsidTr="282B63B2">
        <w:tc>
          <w:tcPr>
            <w:tcW w:w="1620" w:type="dxa"/>
          </w:tcPr>
          <w:p w14:paraId="4B7FD071"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Estimated end date</w:t>
            </w:r>
          </w:p>
        </w:tc>
        <w:tc>
          <w:tcPr>
            <w:tcW w:w="7396" w:type="dxa"/>
          </w:tcPr>
          <w:p w14:paraId="016C4C9B" w14:textId="43F548E4"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 xml:space="preserve">All activity and spend must be complete by the </w:t>
            </w:r>
            <w:r w:rsidR="007D2E9A" w:rsidRPr="003B1893">
              <w:rPr>
                <w:rFonts w:ascii="Arial" w:eastAsia="Arial" w:hAnsi="Arial" w:cs="Arial"/>
              </w:rPr>
              <w:t>31</w:t>
            </w:r>
            <w:r w:rsidR="007D2E9A" w:rsidRPr="003B1893">
              <w:rPr>
                <w:rFonts w:ascii="Arial" w:eastAsia="Arial" w:hAnsi="Arial" w:cs="Arial"/>
                <w:vertAlign w:val="superscript"/>
              </w:rPr>
              <w:t>st of</w:t>
            </w:r>
            <w:r w:rsidRPr="003B1893">
              <w:rPr>
                <w:rFonts w:ascii="Arial" w:eastAsia="Arial" w:hAnsi="Arial" w:cs="Arial"/>
              </w:rPr>
              <w:t xml:space="preserve"> March 2025</w:t>
            </w:r>
          </w:p>
        </w:tc>
      </w:tr>
      <w:tr w:rsidR="003B1893" w:rsidRPr="003B1893" w14:paraId="4C9F51AE" w14:textId="77777777" w:rsidTr="282B63B2">
        <w:tc>
          <w:tcPr>
            <w:tcW w:w="1620" w:type="dxa"/>
          </w:tcPr>
          <w:p w14:paraId="1286D5D3"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Current ESF delivery</w:t>
            </w:r>
          </w:p>
        </w:tc>
        <w:tc>
          <w:tcPr>
            <w:tcW w:w="7396" w:type="dxa"/>
          </w:tcPr>
          <w:p w14:paraId="59C5C24D" w14:textId="3DE564AB"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Applicants must be currently delivering (</w:t>
            </w:r>
            <w:r w:rsidR="007D2E9A" w:rsidRPr="003B1893">
              <w:rPr>
                <w:rFonts w:ascii="Arial" w:eastAsia="Arial" w:hAnsi="Arial" w:cs="Arial"/>
              </w:rPr>
              <w:t>i.e.,</w:t>
            </w:r>
            <w:r w:rsidRPr="003B1893">
              <w:rPr>
                <w:rFonts w:ascii="Arial" w:eastAsia="Arial" w:hAnsi="Arial" w:cs="Arial"/>
              </w:rPr>
              <w:t xml:space="preserve"> in the 2022/ 23 financial year) an ESF funded employability support project supporting unemployed or economically inactive residents to progress towards and / </w:t>
            </w:r>
            <w:r w:rsidRPr="003B1893">
              <w:rPr>
                <w:rFonts w:ascii="Arial" w:eastAsia="Arial" w:hAnsi="Arial" w:cs="Arial"/>
              </w:rPr>
              <w:lastRenderedPageBreak/>
              <w:t xml:space="preserve">or into the labour market. </w:t>
            </w:r>
          </w:p>
          <w:p w14:paraId="7813A11A" w14:textId="47E11DC6" w:rsidR="00C9449A" w:rsidRPr="003B1893" w:rsidRDefault="00C9449A" w:rsidP="1D1A6796">
            <w:pPr>
              <w:widowControl w:val="0"/>
              <w:autoSpaceDE w:val="0"/>
              <w:autoSpaceDN w:val="0"/>
              <w:spacing w:after="120"/>
              <w:rPr>
                <w:rFonts w:ascii="Arial" w:eastAsia="Arial" w:hAnsi="Arial" w:cs="Arial"/>
              </w:rPr>
            </w:pPr>
            <w:r w:rsidRPr="1D1A6796">
              <w:rPr>
                <w:rFonts w:ascii="Arial" w:eastAsia="Arial" w:hAnsi="Arial" w:cs="Arial"/>
              </w:rPr>
              <w:t xml:space="preserve">This could be as the lead organisation or as a delivery partner. </w:t>
            </w:r>
          </w:p>
          <w:p w14:paraId="12BBE07A" w14:textId="1372AE4C" w:rsidR="00C9449A" w:rsidRPr="003B1893" w:rsidRDefault="64A83C30" w:rsidP="1D1A6796">
            <w:pPr>
              <w:widowControl w:val="0"/>
              <w:autoSpaceDE w:val="0"/>
              <w:autoSpaceDN w:val="0"/>
              <w:spacing w:after="120"/>
              <w:rPr>
                <w:rFonts w:ascii="Arial" w:eastAsia="Arial" w:hAnsi="Arial" w:cs="Arial"/>
              </w:rPr>
            </w:pPr>
            <w:r w:rsidRPr="1D1A6796">
              <w:rPr>
                <w:rFonts w:ascii="Arial" w:eastAsia="Arial" w:hAnsi="Arial" w:cs="Arial"/>
              </w:rPr>
              <w:t>Not all VCSE delivery partners need to be currently delivering (in the 2022/23</w:t>
            </w:r>
            <w:r w:rsidR="3FBBCA63" w:rsidRPr="1D1A6796">
              <w:rPr>
                <w:rFonts w:ascii="Arial" w:eastAsia="Arial" w:hAnsi="Arial" w:cs="Arial"/>
              </w:rPr>
              <w:t xml:space="preserve"> financial year</w:t>
            </w:r>
            <w:r w:rsidR="47393667" w:rsidRPr="282B63B2">
              <w:rPr>
                <w:rFonts w:ascii="Arial" w:eastAsia="Arial" w:hAnsi="Arial" w:cs="Arial"/>
              </w:rPr>
              <w:t>)</w:t>
            </w:r>
          </w:p>
        </w:tc>
      </w:tr>
      <w:tr w:rsidR="003B1893" w:rsidRPr="003B1893" w14:paraId="50E71B36" w14:textId="77777777" w:rsidTr="282B63B2">
        <w:tc>
          <w:tcPr>
            <w:tcW w:w="1620" w:type="dxa"/>
          </w:tcPr>
          <w:p w14:paraId="170D643E"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lastRenderedPageBreak/>
              <w:t>UKSPF funding request</w:t>
            </w:r>
          </w:p>
        </w:tc>
        <w:tc>
          <w:tcPr>
            <w:tcW w:w="7396" w:type="dxa"/>
          </w:tcPr>
          <w:p w14:paraId="77CB64CE"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hAnsi="Arial" w:cs="Arial"/>
                <w:bCs/>
              </w:rPr>
              <w:t>The minimum grant request is £500,000, and the maximum request is £1 million</w:t>
            </w:r>
          </w:p>
        </w:tc>
      </w:tr>
      <w:tr w:rsidR="003B1893" w:rsidRPr="003B1893" w14:paraId="6949D434" w14:textId="77777777" w:rsidTr="282B63B2">
        <w:tc>
          <w:tcPr>
            <w:tcW w:w="1620" w:type="dxa"/>
          </w:tcPr>
          <w:p w14:paraId="4D0BC181"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Employment Partnerships</w:t>
            </w:r>
          </w:p>
        </w:tc>
        <w:tc>
          <w:tcPr>
            <w:tcW w:w="7396" w:type="dxa"/>
          </w:tcPr>
          <w:p w14:paraId="570B585D" w14:textId="77777777" w:rsidR="00C9449A" w:rsidRPr="003B1893" w:rsidRDefault="00C9449A" w:rsidP="00C862F8">
            <w:pPr>
              <w:widowControl w:val="0"/>
              <w:autoSpaceDE w:val="0"/>
              <w:autoSpaceDN w:val="0"/>
              <w:spacing w:after="120"/>
              <w:rPr>
                <w:rFonts w:ascii="Arial" w:eastAsia="Arial" w:hAnsi="Arial" w:cs="Arial"/>
              </w:rPr>
            </w:pPr>
            <w:r w:rsidRPr="003B1893">
              <w:rPr>
                <w:rFonts w:ascii="Arial" w:eastAsia="Arial" w:hAnsi="Arial" w:cs="Arial"/>
              </w:rPr>
              <w:t>All successful applicants will be required to actively work with the relevant Employment Partnership/s (in Newcastle, Northumberland and / or North Tyneside) to ensure UKSPF funded projects add value to, and do not duplicate existing activity. This could include, for example, regularly attending Employment Partnership meetings; providing regular update reports on progress and delivery; ensuring activity can be targeted to address gaps and / or identified needs; referring beneficiaries to partner provision as appropriate; accepting referrals from partner organisations.</w:t>
            </w:r>
          </w:p>
        </w:tc>
      </w:tr>
    </w:tbl>
    <w:p w14:paraId="1D4AFD36" w14:textId="77777777" w:rsidR="00C9449A" w:rsidRDefault="00C9449A" w:rsidP="00C9449A">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722E3E4C" w14:textId="1E397505" w:rsidR="00472DEB" w:rsidRPr="00472DEB" w:rsidRDefault="00472DEB" w:rsidP="00472DEB">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r w:rsidRPr="00472DEB">
        <w:rPr>
          <w:rFonts w:ascii="Arial" w:eastAsia="Times New Roman" w:hAnsi="Arial" w:cs="Arial"/>
          <w:b/>
          <w:bCs/>
          <w:sz w:val="24"/>
          <w:szCs w:val="24"/>
          <w:lang w:val="en-US" w:eastAsia="en-GB"/>
        </w:rPr>
        <w:t>Quality assessment</w:t>
      </w:r>
      <w:bookmarkEnd w:id="5"/>
    </w:p>
    <w:p w14:paraId="7318E743" w14:textId="77777777" w:rsidR="00472DEB" w:rsidRPr="00472DEB" w:rsidRDefault="00472DEB" w:rsidP="00472DEB">
      <w:pPr>
        <w:widowControl w:val="0"/>
        <w:autoSpaceDE w:val="0"/>
        <w:autoSpaceDN w:val="0"/>
        <w:spacing w:after="0" w:line="240" w:lineRule="auto"/>
        <w:ind w:left="284"/>
        <w:rPr>
          <w:rFonts w:ascii="Arial" w:eastAsia="Times New Roman" w:hAnsi="Arial" w:cs="Arial"/>
          <w:b/>
          <w:bCs/>
          <w:sz w:val="24"/>
          <w:szCs w:val="24"/>
          <w:lang w:val="en-US" w:eastAsia="en-GB"/>
        </w:rPr>
      </w:pPr>
    </w:p>
    <w:p w14:paraId="00EAEF89" w14:textId="5AA37216" w:rsidR="00472DEB" w:rsidRPr="00961804" w:rsidRDefault="00472DEB" w:rsidP="00961804">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Applicants shall submit responses to Quality Assessment Questions set out </w:t>
      </w:r>
      <w:r w:rsidRPr="00751F07">
        <w:rPr>
          <w:rFonts w:ascii="Arial" w:eastAsia="Arial" w:hAnsi="Arial" w:cs="Arial"/>
          <w:lang w:val="en-US"/>
        </w:rPr>
        <w:t>in</w:t>
      </w:r>
      <w:r w:rsidR="00C140B1" w:rsidRPr="00751F07">
        <w:rPr>
          <w:rFonts w:ascii="Arial" w:eastAsia="Arial" w:hAnsi="Arial" w:cs="Arial"/>
          <w:lang w:val="en-US"/>
        </w:rPr>
        <w:t xml:space="preserve"> Section C of</w:t>
      </w:r>
      <w:r w:rsidRPr="00751F07">
        <w:rPr>
          <w:rFonts w:ascii="Arial" w:eastAsia="Arial" w:hAnsi="Arial" w:cs="Arial"/>
          <w:lang w:val="en-US"/>
        </w:rPr>
        <w:t xml:space="preserve"> the application form</w:t>
      </w:r>
      <w:r w:rsidR="00C140B1" w:rsidRPr="00751F07">
        <w:rPr>
          <w:rFonts w:ascii="Arial" w:eastAsia="Arial" w:hAnsi="Arial" w:cs="Arial"/>
          <w:lang w:val="en-US"/>
        </w:rPr>
        <w:t>.</w:t>
      </w:r>
      <w:r w:rsidR="00961804" w:rsidRPr="00751F07">
        <w:rPr>
          <w:rFonts w:ascii="Arial" w:eastAsia="Arial" w:hAnsi="Arial" w:cs="Arial"/>
          <w:lang w:val="en-US"/>
        </w:rPr>
        <w:t xml:space="preserve"> </w:t>
      </w:r>
      <w:r w:rsidRPr="00751F07">
        <w:rPr>
          <w:rFonts w:ascii="Arial" w:eastAsia="Arial" w:hAnsi="Arial" w:cs="Arial"/>
          <w:lang w:val="en-US"/>
        </w:rPr>
        <w:t>Applicants are not permitted to append any additional appendices that have not been issued or requested by NTCA. Any appendices submitted that were not issued</w:t>
      </w:r>
      <w:r w:rsidR="00C140B1" w:rsidRPr="00751F07">
        <w:rPr>
          <w:rFonts w:ascii="Arial" w:eastAsia="Arial" w:hAnsi="Arial" w:cs="Arial"/>
          <w:lang w:val="en-US"/>
        </w:rPr>
        <w:t xml:space="preserve"> or requested</w:t>
      </w:r>
      <w:r w:rsidRPr="00751F07">
        <w:rPr>
          <w:rFonts w:ascii="Arial" w:eastAsia="Arial" w:hAnsi="Arial" w:cs="Arial"/>
          <w:lang w:val="en-US"/>
        </w:rPr>
        <w:t xml:space="preserve"> by NTCA will not be </w:t>
      </w:r>
      <w:proofErr w:type="gramStart"/>
      <w:r w:rsidRPr="00751F07">
        <w:rPr>
          <w:rFonts w:ascii="Arial" w:eastAsia="Arial" w:hAnsi="Arial" w:cs="Arial"/>
          <w:lang w:val="en-US"/>
        </w:rPr>
        <w:t>taken into account</w:t>
      </w:r>
      <w:proofErr w:type="gramEnd"/>
      <w:r w:rsidRPr="00751F07">
        <w:rPr>
          <w:rFonts w:ascii="Arial" w:eastAsia="Arial" w:hAnsi="Arial" w:cs="Arial"/>
          <w:lang w:val="en-US"/>
        </w:rPr>
        <w:t xml:space="preserve"> by </w:t>
      </w:r>
      <w:r w:rsidRPr="00961804">
        <w:rPr>
          <w:rFonts w:ascii="Arial" w:eastAsia="Arial" w:hAnsi="Arial" w:cs="Arial"/>
          <w:lang w:val="en-US"/>
        </w:rPr>
        <w:t>the panel when evaluating.  NTCA has the absolute discretion to disregard any appendices, either in part or in full, that contain information that is not relevant supporting information.</w:t>
      </w:r>
    </w:p>
    <w:p w14:paraId="4FF4010F"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rPr>
      </w:pPr>
    </w:p>
    <w:p w14:paraId="0040635C" w14:textId="7B609180" w:rsidR="00472DEB" w:rsidRPr="00961804" w:rsidRDefault="00472DEB" w:rsidP="00961804">
      <w:pPr>
        <w:widowControl w:val="0"/>
        <w:numPr>
          <w:ilvl w:val="1"/>
          <w:numId w:val="1"/>
        </w:numPr>
        <w:autoSpaceDE w:val="0"/>
        <w:autoSpaceDN w:val="0"/>
        <w:spacing w:after="0" w:line="240" w:lineRule="auto"/>
        <w:ind w:hanging="568"/>
        <w:contextualSpacing/>
        <w:rPr>
          <w:rFonts w:ascii="Arial" w:eastAsia="Arial" w:hAnsi="Arial" w:cs="Arial"/>
          <w:lang w:val="en-US"/>
        </w:rPr>
      </w:pPr>
      <w:r w:rsidRPr="00472DEB">
        <w:rPr>
          <w:rFonts w:ascii="Arial" w:eastAsia="Arial" w:hAnsi="Arial" w:cs="Arial"/>
          <w:lang w:val="en-US"/>
        </w:rPr>
        <w:t xml:space="preserve">Responses to each Quality question will be scored on a grading system from 0 (zero) to 4 (four) as set out in Section </w:t>
      </w:r>
      <w:r w:rsidR="00194085">
        <w:rPr>
          <w:rFonts w:ascii="Arial" w:eastAsia="Arial" w:hAnsi="Arial" w:cs="Arial"/>
          <w:lang w:val="en-US"/>
        </w:rPr>
        <w:t>9</w:t>
      </w:r>
      <w:r w:rsidRPr="00472DEB">
        <w:rPr>
          <w:rFonts w:ascii="Arial" w:eastAsia="Arial" w:hAnsi="Arial" w:cs="Arial"/>
          <w:lang w:val="en-US"/>
        </w:rPr>
        <w:t xml:space="preserve"> and that score shall then be weighted in accordance with the percentage weighting allocated to the individual Quality Assessment question.</w:t>
      </w:r>
      <w:r w:rsidR="00961804">
        <w:rPr>
          <w:rFonts w:ascii="Arial" w:eastAsia="Arial" w:hAnsi="Arial" w:cs="Arial"/>
          <w:lang w:val="en-US"/>
        </w:rPr>
        <w:t xml:space="preserve"> </w:t>
      </w:r>
      <w:r w:rsidRPr="00961804">
        <w:rPr>
          <w:rFonts w:ascii="Arial" w:eastAsia="Arial" w:hAnsi="Arial" w:cs="Arial"/>
          <w:lang w:val="en-US"/>
        </w:rPr>
        <w:t>If a section averages a zero score the assessment panel will cease assessing and dismiss the application as not meeting the minimum threshold.</w:t>
      </w:r>
    </w:p>
    <w:p w14:paraId="7CE358D1" w14:textId="77777777" w:rsidR="00472DEB" w:rsidRPr="00472DEB" w:rsidRDefault="00472DEB" w:rsidP="00961804">
      <w:pPr>
        <w:widowControl w:val="0"/>
        <w:autoSpaceDE w:val="0"/>
        <w:autoSpaceDN w:val="0"/>
        <w:spacing w:after="0" w:line="240" w:lineRule="auto"/>
        <w:contextualSpacing/>
        <w:rPr>
          <w:rFonts w:ascii="Arial" w:eastAsia="Arial" w:hAnsi="Arial" w:cs="Arial"/>
          <w:color w:val="404040"/>
          <w:lang w:val="en-US"/>
        </w:rPr>
      </w:pPr>
    </w:p>
    <w:p w14:paraId="38D3470F" w14:textId="77777777" w:rsidR="00472DEB" w:rsidRPr="00472DEB" w:rsidRDefault="00472DEB" w:rsidP="00472DEB">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bookmarkStart w:id="6" w:name="_Toc114663038"/>
      <w:r w:rsidRPr="00472DEB">
        <w:rPr>
          <w:rFonts w:ascii="Arial" w:eastAsia="Times New Roman" w:hAnsi="Arial" w:cs="Arial"/>
          <w:b/>
          <w:bCs/>
          <w:sz w:val="24"/>
          <w:szCs w:val="24"/>
          <w:lang w:val="en-US" w:eastAsia="en-GB"/>
        </w:rPr>
        <w:t>Scoring methodology</w:t>
      </w:r>
      <w:bookmarkEnd w:id="6"/>
    </w:p>
    <w:p w14:paraId="1C59CB1D" w14:textId="77777777" w:rsidR="00472DEB" w:rsidRPr="00472DEB" w:rsidRDefault="00472DEB" w:rsidP="00472DEB">
      <w:pPr>
        <w:widowControl w:val="0"/>
        <w:autoSpaceDE w:val="0"/>
        <w:autoSpaceDN w:val="0"/>
        <w:spacing w:after="0" w:line="240" w:lineRule="auto"/>
        <w:rPr>
          <w:rFonts w:ascii="Arial" w:eastAsia="Arial" w:hAnsi="Arial" w:cs="Arial"/>
          <w:lang w:val="en-US"/>
        </w:rPr>
      </w:pPr>
    </w:p>
    <w:p w14:paraId="3BD1E802" w14:textId="77777777" w:rsidR="00472DEB" w:rsidRPr="00472DEB" w:rsidRDefault="00472DEB" w:rsidP="00472DEB">
      <w:pPr>
        <w:widowControl w:val="0"/>
        <w:numPr>
          <w:ilvl w:val="1"/>
          <w:numId w:val="1"/>
        </w:numPr>
        <w:autoSpaceDE w:val="0"/>
        <w:autoSpaceDN w:val="0"/>
        <w:spacing w:after="0" w:line="240" w:lineRule="auto"/>
        <w:ind w:hanging="568"/>
        <w:contextualSpacing/>
        <w:rPr>
          <w:rFonts w:ascii="Arial" w:eastAsia="Arial" w:hAnsi="Arial" w:cs="Arial"/>
          <w:color w:val="404040"/>
          <w:lang w:val="en-US"/>
        </w:rPr>
      </w:pPr>
      <w:r w:rsidRPr="00472DEB">
        <w:rPr>
          <w:rFonts w:ascii="Arial" w:eastAsia="Arial" w:hAnsi="Arial" w:cs="Arial"/>
          <w:color w:val="404040"/>
          <w:lang w:val="en-US"/>
        </w:rPr>
        <w:t xml:space="preserve">Quality question scoring methodology </w:t>
      </w:r>
    </w:p>
    <w:p w14:paraId="7EBE71B6"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color w:val="404040"/>
          <w:lang w:val="en-US"/>
        </w:rPr>
      </w:pPr>
    </w:p>
    <w:tbl>
      <w:tblPr>
        <w:tblStyle w:val="TableGrid"/>
        <w:tblW w:w="9488" w:type="dxa"/>
        <w:tblLook w:val="04A0" w:firstRow="1" w:lastRow="0" w:firstColumn="1" w:lastColumn="0" w:noHBand="0" w:noVBand="1"/>
        <w:tblCaption w:val="Scoring criteria"/>
        <w:tblDescription w:val="A table to set out the scoring critiera for quality questions."/>
      </w:tblPr>
      <w:tblGrid>
        <w:gridCol w:w="2122"/>
        <w:gridCol w:w="6520"/>
        <w:gridCol w:w="846"/>
      </w:tblGrid>
      <w:tr w:rsidR="00472DEB" w:rsidRPr="00472DEB" w14:paraId="53763134" w14:textId="77777777" w:rsidTr="00472DEB">
        <w:trPr>
          <w:cantSplit/>
          <w:tblHeader/>
        </w:trPr>
        <w:tc>
          <w:tcPr>
            <w:tcW w:w="2122" w:type="dxa"/>
            <w:shd w:val="clear" w:color="auto" w:fill="244061"/>
          </w:tcPr>
          <w:p w14:paraId="6B1D3CEA" w14:textId="77777777" w:rsidR="00472DEB" w:rsidRPr="00472DEB" w:rsidRDefault="00472DEB" w:rsidP="00472DEB">
            <w:pPr>
              <w:rPr>
                <w:rFonts w:ascii="Arial" w:eastAsia="Arial" w:hAnsi="Arial" w:cs="Arial"/>
              </w:rPr>
            </w:pPr>
            <w:r w:rsidRPr="00472DEB">
              <w:rPr>
                <w:rFonts w:ascii="Arial" w:eastAsia="Arial" w:hAnsi="Arial" w:cs="Arial"/>
              </w:rPr>
              <w:t>Scoring criteria</w:t>
            </w:r>
          </w:p>
          <w:p w14:paraId="5BB6C921" w14:textId="77777777" w:rsidR="00472DEB" w:rsidRPr="00472DEB" w:rsidRDefault="00472DEB" w:rsidP="00472DEB">
            <w:pPr>
              <w:rPr>
                <w:rFonts w:ascii="Arial" w:eastAsia="Arial" w:hAnsi="Arial" w:cs="Arial"/>
              </w:rPr>
            </w:pPr>
          </w:p>
        </w:tc>
        <w:tc>
          <w:tcPr>
            <w:tcW w:w="6520" w:type="dxa"/>
            <w:shd w:val="clear" w:color="auto" w:fill="244061"/>
          </w:tcPr>
          <w:p w14:paraId="0E4ED507" w14:textId="77777777" w:rsidR="00472DEB" w:rsidRPr="00472DEB" w:rsidRDefault="00472DEB" w:rsidP="00472DEB">
            <w:pPr>
              <w:rPr>
                <w:rFonts w:ascii="Arial" w:eastAsia="Arial" w:hAnsi="Arial" w:cs="Arial"/>
              </w:rPr>
            </w:pPr>
          </w:p>
        </w:tc>
        <w:tc>
          <w:tcPr>
            <w:tcW w:w="846" w:type="dxa"/>
            <w:shd w:val="clear" w:color="auto" w:fill="244061"/>
          </w:tcPr>
          <w:p w14:paraId="014F1F73" w14:textId="77777777" w:rsidR="00472DEB" w:rsidRPr="00472DEB" w:rsidRDefault="00472DEB" w:rsidP="00472DEB">
            <w:pPr>
              <w:rPr>
                <w:rFonts w:ascii="Arial" w:eastAsia="Arial" w:hAnsi="Arial" w:cs="Arial"/>
              </w:rPr>
            </w:pPr>
          </w:p>
        </w:tc>
      </w:tr>
      <w:tr w:rsidR="00472DEB" w:rsidRPr="00472DEB" w14:paraId="5DF4FEDE" w14:textId="77777777" w:rsidTr="00472DEB">
        <w:trPr>
          <w:tblHeader/>
        </w:trPr>
        <w:tc>
          <w:tcPr>
            <w:tcW w:w="2122" w:type="dxa"/>
            <w:shd w:val="clear" w:color="auto" w:fill="244061"/>
          </w:tcPr>
          <w:p w14:paraId="784A7B18" w14:textId="77777777" w:rsidR="00472DEB" w:rsidRPr="00472DEB" w:rsidRDefault="00472DEB" w:rsidP="00472DEB">
            <w:pPr>
              <w:rPr>
                <w:rFonts w:ascii="Arial" w:eastAsia="Arial" w:hAnsi="Arial" w:cs="Arial"/>
              </w:rPr>
            </w:pPr>
            <w:r w:rsidRPr="00472DEB">
              <w:rPr>
                <w:rFonts w:ascii="Arial" w:eastAsia="Arial" w:hAnsi="Arial" w:cs="Arial"/>
              </w:rPr>
              <w:t>Assessment</w:t>
            </w:r>
          </w:p>
        </w:tc>
        <w:tc>
          <w:tcPr>
            <w:tcW w:w="6520" w:type="dxa"/>
            <w:shd w:val="clear" w:color="auto" w:fill="244061"/>
          </w:tcPr>
          <w:p w14:paraId="5C613FE7" w14:textId="77777777" w:rsidR="00472DEB" w:rsidRPr="00472DEB" w:rsidRDefault="00472DEB" w:rsidP="00472DEB">
            <w:pPr>
              <w:rPr>
                <w:rFonts w:ascii="Arial" w:eastAsia="Arial" w:hAnsi="Arial" w:cs="Arial"/>
              </w:rPr>
            </w:pPr>
            <w:r w:rsidRPr="00472DEB">
              <w:rPr>
                <w:rFonts w:ascii="Arial" w:eastAsia="Arial" w:hAnsi="Arial" w:cs="Arial"/>
              </w:rPr>
              <w:t xml:space="preserve"> Interpretation</w:t>
            </w:r>
          </w:p>
        </w:tc>
        <w:tc>
          <w:tcPr>
            <w:tcW w:w="846" w:type="dxa"/>
            <w:shd w:val="clear" w:color="auto" w:fill="244061"/>
          </w:tcPr>
          <w:p w14:paraId="19DD683F" w14:textId="77777777" w:rsidR="00472DEB" w:rsidRPr="00472DEB" w:rsidRDefault="00472DEB" w:rsidP="00472DEB">
            <w:pPr>
              <w:rPr>
                <w:rFonts w:ascii="Arial" w:eastAsia="Arial" w:hAnsi="Arial" w:cs="Arial"/>
              </w:rPr>
            </w:pPr>
            <w:r w:rsidRPr="00472DEB">
              <w:rPr>
                <w:rFonts w:ascii="Arial" w:eastAsia="Arial" w:hAnsi="Arial" w:cs="Arial"/>
              </w:rPr>
              <w:t>Max score</w:t>
            </w:r>
          </w:p>
        </w:tc>
      </w:tr>
      <w:tr w:rsidR="00472DEB" w:rsidRPr="00472DEB" w14:paraId="70667D5E" w14:textId="77777777" w:rsidTr="282B63B2">
        <w:tc>
          <w:tcPr>
            <w:tcW w:w="2122" w:type="dxa"/>
            <w:shd w:val="clear" w:color="auto" w:fill="F2F2F2" w:themeFill="background1" w:themeFillShade="F2"/>
          </w:tcPr>
          <w:p w14:paraId="1AE27D84" w14:textId="77777777" w:rsidR="00472DEB" w:rsidRPr="00472DEB" w:rsidRDefault="00472DEB" w:rsidP="00472DEB">
            <w:pPr>
              <w:rPr>
                <w:rFonts w:ascii="Arial" w:eastAsia="Arial" w:hAnsi="Arial" w:cs="Arial"/>
                <w:b/>
              </w:rPr>
            </w:pPr>
            <w:r w:rsidRPr="00472DEB">
              <w:rPr>
                <w:rFonts w:ascii="Arial" w:eastAsia="Arial" w:hAnsi="Arial" w:cs="Arial"/>
                <w:b/>
              </w:rPr>
              <w:t>Unacceptable</w:t>
            </w:r>
          </w:p>
        </w:tc>
        <w:tc>
          <w:tcPr>
            <w:tcW w:w="6520" w:type="dxa"/>
            <w:shd w:val="clear" w:color="auto" w:fill="F2F2F2" w:themeFill="background1" w:themeFillShade="F2"/>
          </w:tcPr>
          <w:p w14:paraId="7DF5F5E2" w14:textId="77777777" w:rsidR="00472DEB" w:rsidRPr="00472DEB" w:rsidRDefault="00472DEB" w:rsidP="00472DEB">
            <w:pPr>
              <w:rPr>
                <w:rFonts w:ascii="Arial" w:eastAsia="Arial" w:hAnsi="Arial" w:cs="Arial"/>
              </w:rPr>
            </w:pPr>
            <w:r w:rsidRPr="00472DEB">
              <w:rPr>
                <w:rFonts w:ascii="Arial" w:eastAsia="Arial" w:hAnsi="Arial" w:cs="Arial"/>
              </w:rPr>
              <w:t xml:space="preserve">Does not meet the requirement. Does not comply and/or insufficient information provided to demonstrate that the supplier has the ability, understanding, experience, skills, resource &amp; quality measures required to provide the supplies, with little or no evidence to support the response. </w:t>
            </w:r>
          </w:p>
          <w:p w14:paraId="5FE6E380" w14:textId="77777777" w:rsidR="00472DEB" w:rsidRPr="00472DEB" w:rsidRDefault="00472DEB" w:rsidP="00472DEB">
            <w:pPr>
              <w:rPr>
                <w:rFonts w:ascii="Arial" w:eastAsia="Arial" w:hAnsi="Arial" w:cs="Arial"/>
              </w:rPr>
            </w:pPr>
            <w:r w:rsidRPr="00472DEB">
              <w:rPr>
                <w:rFonts w:ascii="Arial" w:eastAsia="Arial" w:hAnsi="Arial" w:cs="Arial"/>
              </w:rPr>
              <w:t xml:space="preserve">OR </w:t>
            </w:r>
          </w:p>
          <w:p w14:paraId="37B27DD7" w14:textId="77777777" w:rsidR="00472DEB" w:rsidRPr="00472DEB" w:rsidRDefault="00472DEB" w:rsidP="00472DEB">
            <w:pPr>
              <w:rPr>
                <w:rFonts w:ascii="Arial" w:eastAsia="Arial" w:hAnsi="Arial" w:cs="Arial"/>
              </w:rPr>
            </w:pPr>
            <w:r w:rsidRPr="00472DEB">
              <w:rPr>
                <w:rFonts w:ascii="Arial" w:eastAsia="Arial" w:hAnsi="Arial" w:cs="Arial"/>
              </w:rPr>
              <w:t>No response</w:t>
            </w:r>
          </w:p>
        </w:tc>
        <w:tc>
          <w:tcPr>
            <w:tcW w:w="846" w:type="dxa"/>
            <w:shd w:val="clear" w:color="auto" w:fill="F2F2F2" w:themeFill="background1" w:themeFillShade="F2"/>
          </w:tcPr>
          <w:p w14:paraId="559280DD" w14:textId="77777777" w:rsidR="00472DEB" w:rsidRPr="00472DEB" w:rsidRDefault="00472DEB" w:rsidP="00472DEB">
            <w:pPr>
              <w:rPr>
                <w:rFonts w:ascii="Arial" w:eastAsia="Arial" w:hAnsi="Arial" w:cs="Arial"/>
              </w:rPr>
            </w:pPr>
            <w:r w:rsidRPr="00472DEB">
              <w:rPr>
                <w:rFonts w:ascii="Arial" w:eastAsia="Arial" w:hAnsi="Arial" w:cs="Arial"/>
              </w:rPr>
              <w:t>0</w:t>
            </w:r>
          </w:p>
        </w:tc>
      </w:tr>
      <w:tr w:rsidR="00472DEB" w:rsidRPr="00472DEB" w14:paraId="024C24A8" w14:textId="77777777" w:rsidTr="282B63B2">
        <w:tc>
          <w:tcPr>
            <w:tcW w:w="2122" w:type="dxa"/>
            <w:shd w:val="clear" w:color="auto" w:fill="F2F2F2" w:themeFill="background1" w:themeFillShade="F2"/>
          </w:tcPr>
          <w:p w14:paraId="26E46C3F" w14:textId="77777777" w:rsidR="00472DEB" w:rsidRPr="00472DEB" w:rsidRDefault="00472DEB" w:rsidP="00472DEB">
            <w:pPr>
              <w:rPr>
                <w:rFonts w:ascii="Arial" w:eastAsia="Arial" w:hAnsi="Arial" w:cs="Arial"/>
                <w:b/>
              </w:rPr>
            </w:pPr>
            <w:bookmarkStart w:id="7" w:name="_Int_rIjTairK"/>
            <w:r w:rsidRPr="00472DEB">
              <w:rPr>
                <w:rFonts w:ascii="Arial" w:eastAsia="Arial" w:hAnsi="Arial" w:cs="Arial"/>
                <w:b/>
              </w:rPr>
              <w:t>Serious</w:t>
            </w:r>
            <w:bookmarkEnd w:id="7"/>
            <w:r w:rsidRPr="00472DEB">
              <w:rPr>
                <w:rFonts w:ascii="Arial" w:eastAsia="Arial" w:hAnsi="Arial" w:cs="Arial"/>
                <w:b/>
              </w:rPr>
              <w:t xml:space="preserve"> reservations</w:t>
            </w:r>
          </w:p>
        </w:tc>
        <w:tc>
          <w:tcPr>
            <w:tcW w:w="6520" w:type="dxa"/>
            <w:shd w:val="clear" w:color="auto" w:fill="F2F2F2" w:themeFill="background1" w:themeFillShade="F2"/>
          </w:tcPr>
          <w:p w14:paraId="24197259" w14:textId="77777777" w:rsidR="00472DEB" w:rsidRPr="00472DEB" w:rsidRDefault="00472DEB" w:rsidP="00472DEB">
            <w:pPr>
              <w:rPr>
                <w:rFonts w:ascii="Arial" w:eastAsia="Arial" w:hAnsi="Arial" w:cs="Arial"/>
              </w:rPr>
            </w:pPr>
            <w:r w:rsidRPr="00472DEB">
              <w:rPr>
                <w:rFonts w:ascii="Arial" w:eastAsia="Arial" w:hAnsi="Arial" w:cs="Arial"/>
              </w:rPr>
              <w:t xml:space="preserve">Satisfies the requirement with major reservations. Considerable reservations of the supplier’s relevant ability, understanding, experience, skills, resource &amp; quality measures required to </w:t>
            </w:r>
            <w:r w:rsidRPr="00472DEB">
              <w:rPr>
                <w:rFonts w:ascii="Arial" w:eastAsia="Arial" w:hAnsi="Arial" w:cs="Arial"/>
              </w:rPr>
              <w:lastRenderedPageBreak/>
              <w:t>provide the supplies, with little or no evidence to support the response.</w:t>
            </w:r>
          </w:p>
        </w:tc>
        <w:tc>
          <w:tcPr>
            <w:tcW w:w="846" w:type="dxa"/>
            <w:shd w:val="clear" w:color="auto" w:fill="F2F2F2" w:themeFill="background1" w:themeFillShade="F2"/>
          </w:tcPr>
          <w:p w14:paraId="7F44826A" w14:textId="77777777" w:rsidR="00472DEB" w:rsidRPr="00472DEB" w:rsidRDefault="00472DEB" w:rsidP="00472DEB">
            <w:pPr>
              <w:rPr>
                <w:rFonts w:ascii="Arial" w:eastAsia="Arial" w:hAnsi="Arial" w:cs="Arial"/>
              </w:rPr>
            </w:pPr>
            <w:r w:rsidRPr="00472DEB">
              <w:rPr>
                <w:rFonts w:ascii="Arial" w:eastAsia="Arial" w:hAnsi="Arial" w:cs="Arial"/>
              </w:rPr>
              <w:lastRenderedPageBreak/>
              <w:t>1</w:t>
            </w:r>
          </w:p>
        </w:tc>
      </w:tr>
      <w:tr w:rsidR="00472DEB" w:rsidRPr="00472DEB" w14:paraId="671CEF0B" w14:textId="77777777" w:rsidTr="282B63B2">
        <w:tc>
          <w:tcPr>
            <w:tcW w:w="2122" w:type="dxa"/>
            <w:shd w:val="clear" w:color="auto" w:fill="F2F2F2" w:themeFill="background1" w:themeFillShade="F2"/>
          </w:tcPr>
          <w:p w14:paraId="3E26F628" w14:textId="77777777" w:rsidR="00472DEB" w:rsidRPr="00472DEB" w:rsidRDefault="00472DEB" w:rsidP="00472DEB">
            <w:pPr>
              <w:rPr>
                <w:rFonts w:ascii="Arial" w:eastAsia="Arial" w:hAnsi="Arial" w:cs="Arial"/>
                <w:b/>
              </w:rPr>
            </w:pPr>
            <w:r w:rsidRPr="00472DEB">
              <w:rPr>
                <w:rFonts w:ascii="Arial" w:eastAsia="Arial" w:hAnsi="Arial" w:cs="Arial"/>
                <w:b/>
              </w:rPr>
              <w:t>Minor reservations</w:t>
            </w:r>
          </w:p>
        </w:tc>
        <w:tc>
          <w:tcPr>
            <w:tcW w:w="6520" w:type="dxa"/>
            <w:shd w:val="clear" w:color="auto" w:fill="F2F2F2" w:themeFill="background1" w:themeFillShade="F2"/>
          </w:tcPr>
          <w:p w14:paraId="77BE2E0D" w14:textId="77777777" w:rsidR="00472DEB" w:rsidRPr="00472DEB" w:rsidRDefault="00472DEB" w:rsidP="00472DEB">
            <w:pPr>
              <w:rPr>
                <w:rFonts w:ascii="Arial" w:eastAsia="Arial" w:hAnsi="Arial" w:cs="Arial"/>
              </w:rPr>
            </w:pPr>
            <w:r w:rsidRPr="00472DEB">
              <w:rPr>
                <w:rFonts w:ascii="Arial" w:eastAsia="Arial" w:hAnsi="Arial" w:cs="Arial"/>
              </w:rPr>
              <w:t>Satisfies the requirement with minor reservations. Some minor reservations of the supplier’s relevant ability, understanding, experience, skills, resource &amp; quality measures required to provide the supplies, with little or no evidence to support the response.</w:t>
            </w:r>
          </w:p>
        </w:tc>
        <w:tc>
          <w:tcPr>
            <w:tcW w:w="846" w:type="dxa"/>
            <w:shd w:val="clear" w:color="auto" w:fill="F2F2F2" w:themeFill="background1" w:themeFillShade="F2"/>
          </w:tcPr>
          <w:p w14:paraId="55F9B18A" w14:textId="77777777" w:rsidR="00472DEB" w:rsidRPr="00472DEB" w:rsidRDefault="00472DEB" w:rsidP="00472DEB">
            <w:pPr>
              <w:rPr>
                <w:rFonts w:ascii="Arial" w:eastAsia="Arial" w:hAnsi="Arial" w:cs="Arial"/>
              </w:rPr>
            </w:pPr>
            <w:r w:rsidRPr="00472DEB">
              <w:rPr>
                <w:rFonts w:ascii="Arial" w:eastAsia="Arial" w:hAnsi="Arial" w:cs="Arial"/>
              </w:rPr>
              <w:t>2</w:t>
            </w:r>
          </w:p>
        </w:tc>
      </w:tr>
      <w:tr w:rsidR="00472DEB" w:rsidRPr="00472DEB" w14:paraId="5ED32164" w14:textId="77777777" w:rsidTr="282B63B2">
        <w:tc>
          <w:tcPr>
            <w:tcW w:w="2122" w:type="dxa"/>
            <w:shd w:val="clear" w:color="auto" w:fill="F2F2F2" w:themeFill="background1" w:themeFillShade="F2"/>
          </w:tcPr>
          <w:p w14:paraId="5C0B791F" w14:textId="77777777" w:rsidR="00472DEB" w:rsidRPr="00472DEB" w:rsidRDefault="00472DEB" w:rsidP="00472DEB">
            <w:pPr>
              <w:rPr>
                <w:rFonts w:ascii="Arial" w:eastAsia="Arial" w:hAnsi="Arial" w:cs="Arial"/>
                <w:b/>
              </w:rPr>
            </w:pPr>
            <w:r w:rsidRPr="00472DEB">
              <w:rPr>
                <w:rFonts w:ascii="Arial" w:eastAsia="Arial" w:hAnsi="Arial" w:cs="Arial"/>
                <w:b/>
              </w:rPr>
              <w:t>Acceptable</w:t>
            </w:r>
          </w:p>
        </w:tc>
        <w:tc>
          <w:tcPr>
            <w:tcW w:w="6520" w:type="dxa"/>
            <w:shd w:val="clear" w:color="auto" w:fill="F2F2F2" w:themeFill="background1" w:themeFillShade="F2"/>
          </w:tcPr>
          <w:p w14:paraId="3F328B54" w14:textId="77777777" w:rsidR="00472DEB" w:rsidRPr="00472DEB" w:rsidRDefault="00472DEB" w:rsidP="00472DEB">
            <w:pPr>
              <w:rPr>
                <w:rFonts w:ascii="Arial" w:eastAsia="Arial" w:hAnsi="Arial" w:cs="Arial"/>
              </w:rPr>
            </w:pPr>
            <w:r w:rsidRPr="00472DEB">
              <w:rPr>
                <w:rFonts w:ascii="Arial" w:eastAsia="Arial" w:hAnsi="Arial" w:cs="Arial"/>
              </w:rPr>
              <w:t>Satisfies the requirement. Demonstration by the supplier of the relevant ability, understanding, experience, skills, resource &amp; quality measures required to provide the supplies, with evidence to support the response.</w:t>
            </w:r>
          </w:p>
        </w:tc>
        <w:tc>
          <w:tcPr>
            <w:tcW w:w="846" w:type="dxa"/>
            <w:shd w:val="clear" w:color="auto" w:fill="F2F2F2" w:themeFill="background1" w:themeFillShade="F2"/>
          </w:tcPr>
          <w:p w14:paraId="1117F308" w14:textId="77777777" w:rsidR="00472DEB" w:rsidRPr="00472DEB" w:rsidRDefault="00472DEB" w:rsidP="00472DEB">
            <w:pPr>
              <w:rPr>
                <w:rFonts w:ascii="Arial" w:eastAsia="Arial" w:hAnsi="Arial" w:cs="Arial"/>
              </w:rPr>
            </w:pPr>
            <w:r w:rsidRPr="00472DEB">
              <w:rPr>
                <w:rFonts w:ascii="Arial" w:eastAsia="Arial" w:hAnsi="Arial" w:cs="Arial"/>
              </w:rPr>
              <w:t>3</w:t>
            </w:r>
          </w:p>
        </w:tc>
      </w:tr>
      <w:tr w:rsidR="00472DEB" w:rsidRPr="00472DEB" w14:paraId="6AB82EAA" w14:textId="77777777" w:rsidTr="282B63B2">
        <w:tc>
          <w:tcPr>
            <w:tcW w:w="2122" w:type="dxa"/>
            <w:shd w:val="clear" w:color="auto" w:fill="F2F2F2" w:themeFill="background1" w:themeFillShade="F2"/>
          </w:tcPr>
          <w:p w14:paraId="64B4EEF7" w14:textId="77777777" w:rsidR="00472DEB" w:rsidRPr="00472DEB" w:rsidRDefault="00472DEB" w:rsidP="00472DEB">
            <w:pPr>
              <w:rPr>
                <w:rFonts w:ascii="Arial" w:eastAsia="Arial" w:hAnsi="Arial" w:cs="Arial"/>
                <w:b/>
              </w:rPr>
            </w:pPr>
            <w:r w:rsidRPr="00472DEB">
              <w:rPr>
                <w:rFonts w:ascii="Arial" w:eastAsia="Arial" w:hAnsi="Arial" w:cs="Arial"/>
                <w:b/>
              </w:rPr>
              <w:t>Good</w:t>
            </w:r>
          </w:p>
        </w:tc>
        <w:tc>
          <w:tcPr>
            <w:tcW w:w="6520" w:type="dxa"/>
            <w:shd w:val="clear" w:color="auto" w:fill="F2F2F2" w:themeFill="background1" w:themeFillShade="F2"/>
          </w:tcPr>
          <w:p w14:paraId="0C405A51" w14:textId="77777777" w:rsidR="00472DEB" w:rsidRPr="00472DEB" w:rsidRDefault="00472DEB" w:rsidP="00472DEB">
            <w:pPr>
              <w:rPr>
                <w:rFonts w:ascii="Arial" w:eastAsia="Arial" w:hAnsi="Arial" w:cs="Arial"/>
              </w:rPr>
            </w:pPr>
            <w:r w:rsidRPr="00472DEB">
              <w:rPr>
                <w:rFonts w:ascii="Arial" w:eastAsia="Arial" w:hAnsi="Arial" w:cs="Arial"/>
              </w:rPr>
              <w:t>Satisfies the requirement with minor additional benefits. Above average demonstration by the supplier of the relevant ability, understanding, experience, skills, resource &amp; quality measure required to provide the supplies. Response identifies factors that will offer potential added value, with evidence to support the response.</w:t>
            </w:r>
          </w:p>
        </w:tc>
        <w:tc>
          <w:tcPr>
            <w:tcW w:w="846" w:type="dxa"/>
            <w:shd w:val="clear" w:color="auto" w:fill="F2F2F2" w:themeFill="background1" w:themeFillShade="F2"/>
          </w:tcPr>
          <w:p w14:paraId="1BD58E13" w14:textId="77777777" w:rsidR="00472DEB" w:rsidRPr="00472DEB" w:rsidRDefault="00472DEB" w:rsidP="00472DEB">
            <w:pPr>
              <w:rPr>
                <w:rFonts w:ascii="Arial" w:eastAsia="Arial" w:hAnsi="Arial" w:cs="Arial"/>
              </w:rPr>
            </w:pPr>
            <w:r w:rsidRPr="00472DEB">
              <w:rPr>
                <w:rFonts w:ascii="Arial" w:eastAsia="Arial" w:hAnsi="Arial" w:cs="Arial"/>
              </w:rPr>
              <w:t>4</w:t>
            </w:r>
          </w:p>
        </w:tc>
      </w:tr>
    </w:tbl>
    <w:p w14:paraId="5A2EC238" w14:textId="77777777" w:rsidR="002735D6" w:rsidRDefault="002735D6"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5B59814C" w14:textId="77777777" w:rsidR="00153655" w:rsidRPr="00472DEB" w:rsidRDefault="00153655" w:rsidP="00B173A0">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bookmarkStart w:id="8" w:name="_Toc114663040"/>
      <w:r w:rsidRPr="00472DEB">
        <w:rPr>
          <w:rFonts w:ascii="Arial" w:eastAsia="Times New Roman" w:hAnsi="Arial" w:cs="Arial"/>
          <w:b/>
          <w:bCs/>
          <w:sz w:val="24"/>
          <w:szCs w:val="24"/>
          <w:lang w:val="en-US" w:eastAsia="en-GB"/>
        </w:rPr>
        <w:t>Evaluation panel</w:t>
      </w:r>
      <w:bookmarkEnd w:id="8"/>
    </w:p>
    <w:p w14:paraId="57E71C05" w14:textId="2B37570A" w:rsidR="00153655" w:rsidRDefault="00153655" w:rsidP="00153655">
      <w:pPr>
        <w:widowControl w:val="0"/>
        <w:autoSpaceDE w:val="0"/>
        <w:autoSpaceDN w:val="0"/>
        <w:spacing w:after="0" w:line="240" w:lineRule="auto"/>
        <w:contextualSpacing/>
        <w:rPr>
          <w:rFonts w:ascii="Arial" w:eastAsia="Arial" w:hAnsi="Arial" w:cs="Arial"/>
          <w:lang w:val="en-US"/>
        </w:rPr>
      </w:pPr>
    </w:p>
    <w:p w14:paraId="339D93EC" w14:textId="4E351A90" w:rsidR="00B173A0" w:rsidRPr="00805DF5" w:rsidRDefault="00153655" w:rsidP="1D1A6796">
      <w:pPr>
        <w:widowControl w:val="0"/>
        <w:numPr>
          <w:ilvl w:val="1"/>
          <w:numId w:val="1"/>
        </w:numPr>
        <w:autoSpaceDE w:val="0"/>
        <w:autoSpaceDN w:val="0"/>
        <w:spacing w:after="0" w:line="240" w:lineRule="auto"/>
        <w:ind w:hanging="568"/>
        <w:contextualSpacing/>
        <w:rPr>
          <w:rFonts w:ascii="Arial" w:eastAsia="Arial" w:hAnsi="Arial" w:cs="Arial"/>
          <w:lang w:val="en-US"/>
        </w:rPr>
      </w:pPr>
      <w:r w:rsidRPr="1D1A6796">
        <w:rPr>
          <w:rFonts w:ascii="Arial" w:eastAsia="Arial" w:hAnsi="Arial" w:cs="Arial"/>
          <w:color w:val="404040" w:themeColor="text1" w:themeTint="BF"/>
          <w:lang w:val="en-US"/>
        </w:rPr>
        <w:t>The evaluation panel will individually score responses to the Quality Assessment questions in accordance with the above procedure, after which, the panel will com</w:t>
      </w:r>
      <w:r w:rsidR="00291E88" w:rsidRPr="1D1A6796">
        <w:rPr>
          <w:rFonts w:ascii="Arial" w:eastAsia="Arial" w:hAnsi="Arial" w:cs="Arial"/>
          <w:color w:val="404040" w:themeColor="text1" w:themeTint="BF"/>
          <w:lang w:val="en-US"/>
        </w:rPr>
        <w:t xml:space="preserve">e </w:t>
      </w:r>
      <w:r w:rsidRPr="1D1A6796">
        <w:rPr>
          <w:rFonts w:ascii="Arial" w:eastAsia="Arial" w:hAnsi="Arial" w:cs="Arial"/>
          <w:color w:val="404040" w:themeColor="text1" w:themeTint="BF"/>
          <w:lang w:val="en-US"/>
        </w:rPr>
        <w:t>together to moderate and produce a single score for each Applicant’s response to each Quality Assessment question.</w:t>
      </w:r>
    </w:p>
    <w:p w14:paraId="3935AB25" w14:textId="743D1FD2" w:rsidR="00B173A0" w:rsidRPr="00805DF5" w:rsidRDefault="00B173A0" w:rsidP="1D1A6796">
      <w:pPr>
        <w:widowControl w:val="0"/>
        <w:autoSpaceDE w:val="0"/>
        <w:autoSpaceDN w:val="0"/>
        <w:spacing w:after="0" w:line="240" w:lineRule="auto"/>
        <w:contextualSpacing/>
        <w:rPr>
          <w:rFonts w:ascii="Arial" w:eastAsia="Arial" w:hAnsi="Arial" w:cs="Arial"/>
          <w:lang w:val="en-US"/>
        </w:rPr>
      </w:pPr>
    </w:p>
    <w:p w14:paraId="1878A611" w14:textId="13EA5626" w:rsidR="00B173A0" w:rsidRPr="00805DF5" w:rsidRDefault="00153655" w:rsidP="1D1A6796">
      <w:pPr>
        <w:widowControl w:val="0"/>
        <w:numPr>
          <w:ilvl w:val="1"/>
          <w:numId w:val="1"/>
        </w:numPr>
        <w:autoSpaceDE w:val="0"/>
        <w:autoSpaceDN w:val="0"/>
        <w:spacing w:after="0" w:line="240" w:lineRule="auto"/>
        <w:ind w:hanging="568"/>
        <w:contextualSpacing/>
        <w:rPr>
          <w:rFonts w:ascii="Arial" w:eastAsia="Arial" w:hAnsi="Arial" w:cs="Arial"/>
          <w:lang w:val="en-US"/>
        </w:rPr>
      </w:pPr>
      <w:r w:rsidRPr="1D1A6796">
        <w:rPr>
          <w:rFonts w:ascii="Arial" w:eastAsia="Arial" w:hAnsi="Arial" w:cs="Arial"/>
          <w:lang w:val="en-US"/>
        </w:rPr>
        <w:t xml:space="preserve">The assessment panel </w:t>
      </w:r>
      <w:r w:rsidRPr="1D1A6796">
        <w:rPr>
          <w:rFonts w:ascii="Arial" w:eastAsia="Times New Roman" w:hAnsi="Arial" w:cs="Arial"/>
          <w:lang w:val="en-US" w:eastAsia="en-GB"/>
        </w:rPr>
        <w:t>submits</w:t>
      </w:r>
      <w:r w:rsidRPr="1D1A6796">
        <w:rPr>
          <w:rFonts w:ascii="Arial" w:eastAsia="Arial" w:hAnsi="Arial" w:cs="Arial"/>
          <w:lang w:val="en-US"/>
        </w:rPr>
        <w:t xml:space="preserve"> final decisions </w:t>
      </w:r>
      <w:r w:rsidR="210E4A51" w:rsidRPr="1D1A6796">
        <w:rPr>
          <w:rFonts w:ascii="Arial" w:eastAsia="Arial" w:hAnsi="Arial" w:cs="Arial"/>
          <w:lang w:val="en-US"/>
        </w:rPr>
        <w:t xml:space="preserve">to DLUHC for confirmation, </w:t>
      </w:r>
      <w:r w:rsidRPr="1D1A6796">
        <w:rPr>
          <w:rFonts w:ascii="Arial" w:eastAsia="Arial" w:hAnsi="Arial" w:cs="Arial"/>
          <w:lang w:val="en-US"/>
        </w:rPr>
        <w:t xml:space="preserve">prior to award of funding.  </w:t>
      </w:r>
      <w:bookmarkStart w:id="9" w:name="_Toc114663041"/>
    </w:p>
    <w:p w14:paraId="3D98FBDC" w14:textId="77777777" w:rsidR="00805DF5" w:rsidRPr="00805DF5" w:rsidRDefault="00805DF5" w:rsidP="00805DF5">
      <w:pPr>
        <w:widowControl w:val="0"/>
        <w:autoSpaceDE w:val="0"/>
        <w:autoSpaceDN w:val="0"/>
        <w:spacing w:after="0" w:line="240" w:lineRule="auto"/>
        <w:ind w:left="284"/>
        <w:contextualSpacing/>
        <w:rPr>
          <w:rFonts w:ascii="Arial" w:eastAsia="Arial" w:hAnsi="Arial" w:cs="Arial"/>
          <w:lang w:val="en-US"/>
        </w:rPr>
      </w:pPr>
    </w:p>
    <w:p w14:paraId="2AB69194" w14:textId="7E87407A" w:rsidR="00B173A0" w:rsidRDefault="00B173A0" w:rsidP="00291E88">
      <w:pPr>
        <w:pStyle w:val="ListParagraph"/>
        <w:widowControl w:val="0"/>
        <w:numPr>
          <w:ilvl w:val="0"/>
          <w:numId w:val="1"/>
        </w:numPr>
        <w:autoSpaceDE w:val="0"/>
        <w:autoSpaceDN w:val="0"/>
        <w:spacing w:after="0" w:line="240" w:lineRule="auto"/>
        <w:rPr>
          <w:rFonts w:ascii="Arial" w:eastAsia="Times New Roman" w:hAnsi="Arial" w:cs="Arial"/>
          <w:b/>
          <w:bCs/>
          <w:sz w:val="24"/>
          <w:szCs w:val="24"/>
          <w:lang w:val="en-US" w:eastAsia="en-GB"/>
        </w:rPr>
      </w:pPr>
      <w:r w:rsidRPr="00291E88">
        <w:rPr>
          <w:rFonts w:ascii="Arial" w:eastAsia="Times New Roman" w:hAnsi="Arial" w:cs="Arial"/>
          <w:b/>
          <w:bCs/>
          <w:sz w:val="24"/>
          <w:szCs w:val="24"/>
          <w:lang w:val="en-US" w:eastAsia="en-GB"/>
        </w:rPr>
        <w:t>Terms and conditions</w:t>
      </w:r>
      <w:bookmarkEnd w:id="9"/>
    </w:p>
    <w:p w14:paraId="1015FF3B" w14:textId="77777777" w:rsidR="00FC3933" w:rsidRPr="00FC3933" w:rsidRDefault="00FC3933" w:rsidP="00FC3933">
      <w:pPr>
        <w:widowControl w:val="0"/>
        <w:autoSpaceDE w:val="0"/>
        <w:autoSpaceDN w:val="0"/>
        <w:spacing w:after="0" w:line="240" w:lineRule="auto"/>
        <w:rPr>
          <w:rFonts w:ascii="Arial" w:eastAsia="Times New Roman" w:hAnsi="Arial" w:cs="Arial"/>
          <w:b/>
          <w:bCs/>
          <w:sz w:val="24"/>
          <w:szCs w:val="24"/>
          <w:lang w:val="en-US" w:eastAsia="en-GB"/>
        </w:rPr>
      </w:pPr>
    </w:p>
    <w:p w14:paraId="2B6EEE6E" w14:textId="1DB65311" w:rsidR="00B173A0" w:rsidRPr="00472DEB" w:rsidRDefault="594C991E">
      <w:pPr>
        <w:widowControl w:val="0"/>
        <w:numPr>
          <w:ilvl w:val="1"/>
          <w:numId w:val="1"/>
        </w:numPr>
        <w:spacing w:after="0" w:line="240" w:lineRule="auto"/>
        <w:ind w:hanging="568"/>
        <w:contextualSpacing/>
        <w:rPr>
          <w:rFonts w:ascii="Arial" w:eastAsia="Arial" w:hAnsi="Arial" w:cs="Arial"/>
          <w:lang w:val="en-US"/>
        </w:rPr>
      </w:pPr>
      <w:r w:rsidRPr="1D1A6796">
        <w:rPr>
          <w:rFonts w:ascii="Arial" w:eastAsia="Arial" w:hAnsi="Arial" w:cs="Arial"/>
          <w:lang w:val="en-US"/>
        </w:rPr>
        <w:t>NTCA will issue a</w:t>
      </w:r>
      <w:r w:rsidR="00B173A0" w:rsidRPr="1D1A6796">
        <w:rPr>
          <w:rFonts w:ascii="Arial" w:eastAsia="Arial" w:hAnsi="Arial" w:cs="Arial"/>
          <w:lang w:val="en-US"/>
        </w:rPr>
        <w:t xml:space="preserve"> Grant Funding Agreement </w:t>
      </w:r>
      <w:r w:rsidR="44E8065D" w:rsidRPr="1D1A6796">
        <w:rPr>
          <w:rFonts w:ascii="Arial" w:eastAsia="Arial" w:hAnsi="Arial" w:cs="Arial"/>
          <w:lang w:val="en-US"/>
        </w:rPr>
        <w:t xml:space="preserve">to be </w:t>
      </w:r>
      <w:r w:rsidR="00B173A0" w:rsidRPr="1D1A6796">
        <w:rPr>
          <w:rFonts w:ascii="Arial" w:eastAsia="Arial" w:hAnsi="Arial" w:cs="Arial"/>
          <w:lang w:val="en-US"/>
        </w:rPr>
        <w:t>signed by both NTCA and the successful applicant.</w:t>
      </w:r>
    </w:p>
    <w:p w14:paraId="5F859D0F" w14:textId="77777777" w:rsidR="00B173A0" w:rsidRPr="00472DEB" w:rsidRDefault="00B173A0" w:rsidP="00B173A0">
      <w:pPr>
        <w:widowControl w:val="0"/>
        <w:autoSpaceDE w:val="0"/>
        <w:autoSpaceDN w:val="0"/>
        <w:spacing w:after="0" w:line="240" w:lineRule="auto"/>
        <w:contextualSpacing/>
        <w:rPr>
          <w:rFonts w:ascii="Arial" w:eastAsia="Arial" w:hAnsi="Arial" w:cs="Arial"/>
          <w:color w:val="404040"/>
          <w:lang w:val="en-US"/>
        </w:rPr>
      </w:pPr>
    </w:p>
    <w:p w14:paraId="23E736AC" w14:textId="77777777" w:rsidR="00B173A0" w:rsidRPr="00472DEB" w:rsidRDefault="00B173A0" w:rsidP="00B173A0">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bookmarkStart w:id="10" w:name="_Toc114663042"/>
      <w:r w:rsidRPr="00472DEB">
        <w:rPr>
          <w:rFonts w:ascii="Arial" w:eastAsia="Times New Roman" w:hAnsi="Arial" w:cs="Arial"/>
          <w:b/>
          <w:bCs/>
          <w:sz w:val="24"/>
          <w:szCs w:val="24"/>
          <w:lang w:val="en-US" w:eastAsia="en-GB"/>
        </w:rPr>
        <w:t>Application response</w:t>
      </w:r>
      <w:bookmarkEnd w:id="10"/>
    </w:p>
    <w:p w14:paraId="78291F60" w14:textId="77777777" w:rsidR="00B173A0" w:rsidRPr="00472DEB" w:rsidRDefault="00B173A0" w:rsidP="00B173A0">
      <w:pPr>
        <w:widowControl w:val="0"/>
        <w:autoSpaceDE w:val="0"/>
        <w:autoSpaceDN w:val="0"/>
        <w:spacing w:after="0" w:line="240" w:lineRule="auto"/>
        <w:rPr>
          <w:rFonts w:ascii="Arial" w:eastAsia="Arial" w:hAnsi="Arial" w:cs="Arial"/>
          <w:lang w:val="en-US"/>
        </w:rPr>
      </w:pPr>
    </w:p>
    <w:p w14:paraId="0ABE419D" w14:textId="27C54D75" w:rsidR="006D1A3A" w:rsidRDefault="00B173A0" w:rsidP="00B173A0">
      <w:pPr>
        <w:widowControl w:val="0"/>
        <w:numPr>
          <w:ilvl w:val="1"/>
          <w:numId w:val="1"/>
        </w:numPr>
        <w:autoSpaceDE w:val="0"/>
        <w:autoSpaceDN w:val="0"/>
        <w:spacing w:after="0" w:line="240" w:lineRule="auto"/>
        <w:ind w:hanging="568"/>
        <w:contextualSpacing/>
        <w:rPr>
          <w:rFonts w:ascii="Arial" w:eastAsia="Arial" w:hAnsi="Arial" w:cs="Arial"/>
          <w:lang w:val="en-US"/>
        </w:rPr>
      </w:pPr>
      <w:r w:rsidRPr="006D1A3A">
        <w:rPr>
          <w:rFonts w:ascii="Arial" w:eastAsia="Arial" w:hAnsi="Arial" w:cs="Arial"/>
          <w:lang w:val="en-US"/>
        </w:rPr>
        <w:t>You must complete all sections of the Application</w:t>
      </w:r>
      <w:r w:rsidR="006D1A3A">
        <w:rPr>
          <w:rFonts w:ascii="Arial" w:eastAsia="Arial" w:hAnsi="Arial" w:cs="Arial"/>
          <w:lang w:val="en-US"/>
        </w:rPr>
        <w:t>.</w:t>
      </w:r>
    </w:p>
    <w:p w14:paraId="3EC1B18D" w14:textId="77777777" w:rsidR="006D1A3A" w:rsidRDefault="006D1A3A" w:rsidP="006D1A3A">
      <w:pPr>
        <w:widowControl w:val="0"/>
        <w:autoSpaceDE w:val="0"/>
        <w:autoSpaceDN w:val="0"/>
        <w:spacing w:after="0" w:line="240" w:lineRule="auto"/>
        <w:ind w:left="568"/>
        <w:contextualSpacing/>
        <w:rPr>
          <w:rFonts w:ascii="Arial" w:eastAsia="Arial" w:hAnsi="Arial" w:cs="Arial"/>
          <w:lang w:val="en-US"/>
        </w:rPr>
      </w:pPr>
    </w:p>
    <w:p w14:paraId="57FAC759" w14:textId="3FE7E825" w:rsidR="00B173A0" w:rsidRPr="006D1A3A" w:rsidRDefault="00B173A0" w:rsidP="00B173A0">
      <w:pPr>
        <w:widowControl w:val="0"/>
        <w:numPr>
          <w:ilvl w:val="1"/>
          <w:numId w:val="1"/>
        </w:numPr>
        <w:autoSpaceDE w:val="0"/>
        <w:autoSpaceDN w:val="0"/>
        <w:spacing w:after="0" w:line="240" w:lineRule="auto"/>
        <w:ind w:hanging="568"/>
        <w:contextualSpacing/>
        <w:rPr>
          <w:rFonts w:ascii="Arial" w:eastAsia="Arial" w:hAnsi="Arial" w:cs="Arial"/>
          <w:lang w:val="en-US"/>
        </w:rPr>
      </w:pPr>
      <w:r w:rsidRPr="006D1A3A">
        <w:rPr>
          <w:rFonts w:ascii="Arial" w:eastAsia="Arial" w:hAnsi="Arial" w:cs="Arial"/>
          <w:lang w:val="en-US"/>
        </w:rPr>
        <w:t>NTCA reserves the right to reject any application that is not fully completed.</w:t>
      </w:r>
    </w:p>
    <w:p w14:paraId="4ABE8BF4" w14:textId="77777777" w:rsidR="00B173A0" w:rsidRDefault="00B173A0" w:rsidP="00B173A0"/>
    <w:p w14:paraId="5B1FD9B8" w14:textId="77777777" w:rsidR="00153655" w:rsidRDefault="00153655"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70D7F3F0" w14:textId="77777777" w:rsidR="00153655" w:rsidRDefault="00153655"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7DDFF8B6" w14:textId="77777777" w:rsidR="001C3455" w:rsidRDefault="001C3455"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2AE4F7F8" w14:textId="77777777" w:rsidR="001C3455" w:rsidRDefault="001C3455"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6573BC18" w14:textId="77777777" w:rsidR="001C3455" w:rsidRDefault="001C3455"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163C4BCD" w14:textId="77777777" w:rsidR="00153655" w:rsidRDefault="00153655"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5B410A6B" w14:textId="77777777" w:rsidR="00153655" w:rsidRDefault="00153655" w:rsidP="0015365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746C04E3" w14:textId="523C92AA" w:rsidR="282B63B2" w:rsidRDefault="282B63B2" w:rsidP="282B63B2">
      <w:pPr>
        <w:rPr>
          <w:rFonts w:ascii="Arial" w:eastAsia="Times New Roman" w:hAnsi="Arial" w:cs="Arial"/>
          <w:b/>
          <w:bCs/>
          <w:sz w:val="24"/>
          <w:szCs w:val="24"/>
          <w:lang w:val="en-US" w:eastAsia="en-GB"/>
        </w:rPr>
      </w:pPr>
    </w:p>
    <w:p w14:paraId="709E1673" w14:textId="6357F448" w:rsidR="00C140B1" w:rsidRPr="00C140B1" w:rsidRDefault="00FC3933" w:rsidP="00FC3933">
      <w:pPr>
        <w:jc w:val="center"/>
        <w:rPr>
          <w:rFonts w:ascii="Arial" w:hAnsi="Arial" w:cs="Arial"/>
          <w:b/>
          <w:bCs/>
          <w:sz w:val="28"/>
          <w:szCs w:val="28"/>
          <w:lang w:eastAsia="en-GB"/>
        </w:rPr>
      </w:pPr>
      <w:r>
        <w:rPr>
          <w:rFonts w:ascii="Arial" w:hAnsi="Arial" w:cs="Arial"/>
          <w:b/>
          <w:bCs/>
          <w:sz w:val="28"/>
          <w:szCs w:val="28"/>
          <w:lang w:eastAsia="en-GB"/>
        </w:rPr>
        <w:lastRenderedPageBreak/>
        <w:t xml:space="preserve">Open Call </w:t>
      </w:r>
      <w:r w:rsidR="00CA1F8C" w:rsidRPr="00713A76">
        <w:rPr>
          <w:rFonts w:ascii="Arial" w:hAnsi="Arial" w:cs="Arial"/>
          <w:b/>
          <w:bCs/>
          <w:sz w:val="28"/>
          <w:szCs w:val="28"/>
          <w:lang w:eastAsia="en-GB"/>
        </w:rPr>
        <w:t>A</w:t>
      </w:r>
      <w:r w:rsidR="00291E88" w:rsidRPr="00713A76">
        <w:rPr>
          <w:rFonts w:ascii="Arial" w:hAnsi="Arial" w:cs="Arial"/>
          <w:b/>
          <w:bCs/>
          <w:sz w:val="28"/>
          <w:szCs w:val="28"/>
          <w:lang w:eastAsia="en-GB"/>
        </w:rPr>
        <w:t>dditional Guidance</w:t>
      </w:r>
    </w:p>
    <w:p w14:paraId="2D0913E6" w14:textId="05AAB863" w:rsidR="00973A49" w:rsidRPr="00043C14" w:rsidRDefault="006860E2" w:rsidP="00FC3933">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r w:rsidRPr="00043C14">
        <w:rPr>
          <w:rFonts w:ascii="Arial" w:eastAsia="Times New Roman" w:hAnsi="Arial" w:cs="Arial"/>
          <w:b/>
          <w:bCs/>
          <w:sz w:val="24"/>
          <w:szCs w:val="24"/>
          <w:lang w:val="en-US" w:eastAsia="en-GB"/>
        </w:rPr>
        <w:t xml:space="preserve">Expenditure </w:t>
      </w:r>
    </w:p>
    <w:p w14:paraId="55D251CA" w14:textId="77777777" w:rsidR="006860E2" w:rsidRDefault="006860E2" w:rsidP="00961804">
      <w:pPr>
        <w:widowControl w:val="0"/>
        <w:autoSpaceDE w:val="0"/>
        <w:autoSpaceDN w:val="0"/>
        <w:spacing w:after="0" w:line="240" w:lineRule="auto"/>
        <w:jc w:val="both"/>
        <w:textAlignment w:val="baseline"/>
        <w:rPr>
          <w:rFonts w:ascii="Arial" w:eastAsia="Times New Roman" w:hAnsi="Arial" w:cs="Arial"/>
          <w:color w:val="404040"/>
          <w:lang w:val="en-US" w:eastAsia="en-GB"/>
        </w:rPr>
      </w:pPr>
    </w:p>
    <w:p w14:paraId="3C8869D6" w14:textId="09195717" w:rsidR="00973A49" w:rsidRPr="0068516A" w:rsidRDefault="00FC3933" w:rsidP="00FC3933">
      <w:pPr>
        <w:widowControl w:val="0"/>
        <w:autoSpaceDE w:val="0"/>
        <w:autoSpaceDN w:val="0"/>
        <w:spacing w:after="0" w:line="240" w:lineRule="auto"/>
        <w:ind w:left="720" w:hanging="720"/>
        <w:contextualSpacing/>
        <w:rPr>
          <w:rFonts w:ascii="Arial" w:eastAsia="Arial" w:hAnsi="Arial" w:cs="Arial"/>
          <w:lang w:val="en-US"/>
        </w:rPr>
      </w:pPr>
      <w:r w:rsidRPr="00FC3933">
        <w:rPr>
          <w:rFonts w:ascii="Arial" w:eastAsia="Arial" w:hAnsi="Arial" w:cs="Arial"/>
          <w:lang w:val="en-US"/>
        </w:rPr>
        <w:t>13.1</w:t>
      </w:r>
      <w:r w:rsidRPr="00FC3933">
        <w:rPr>
          <w:rFonts w:ascii="Arial" w:eastAsia="Arial" w:hAnsi="Arial" w:cs="Arial"/>
          <w:lang w:val="en-US"/>
        </w:rPr>
        <w:tab/>
      </w:r>
      <w:r w:rsidR="00973A49" w:rsidRPr="007F20CD">
        <w:rPr>
          <w:rFonts w:ascii="Arial" w:eastAsia="Arial" w:hAnsi="Arial" w:cs="Arial"/>
          <w:lang w:val="en-US"/>
        </w:rPr>
        <w:t>Eligible Expenditure Date</w:t>
      </w:r>
      <w:r w:rsidR="007E7BA7">
        <w:rPr>
          <w:rFonts w:ascii="Arial" w:eastAsia="Arial" w:hAnsi="Arial" w:cs="Arial"/>
          <w:lang w:val="en-US"/>
        </w:rPr>
        <w:t xml:space="preserve">: </w:t>
      </w:r>
      <w:r w:rsidR="003B1893">
        <w:rPr>
          <w:rFonts w:ascii="Arial" w:eastAsia="Arial" w:hAnsi="Arial" w:cs="Arial"/>
          <w:lang w:val="en-US"/>
        </w:rPr>
        <w:t xml:space="preserve">The earliest date for eligible spend is the </w:t>
      </w:r>
      <w:proofErr w:type="gramStart"/>
      <w:r w:rsidR="003B1893">
        <w:rPr>
          <w:rFonts w:ascii="Arial" w:eastAsia="Arial" w:hAnsi="Arial" w:cs="Arial"/>
          <w:lang w:val="en-US"/>
        </w:rPr>
        <w:t>1</w:t>
      </w:r>
      <w:r w:rsidR="003B1893" w:rsidRPr="003B1893">
        <w:rPr>
          <w:rFonts w:ascii="Arial" w:eastAsia="Arial" w:hAnsi="Arial" w:cs="Arial"/>
          <w:vertAlign w:val="superscript"/>
          <w:lang w:val="en-US"/>
        </w:rPr>
        <w:t>st</w:t>
      </w:r>
      <w:proofErr w:type="gramEnd"/>
      <w:r w:rsidR="003B1893">
        <w:rPr>
          <w:rFonts w:ascii="Arial" w:eastAsia="Arial" w:hAnsi="Arial" w:cs="Arial"/>
          <w:lang w:val="en-US"/>
        </w:rPr>
        <w:t xml:space="preserve"> April 2023. </w:t>
      </w:r>
      <w:r w:rsidR="00973A49" w:rsidRPr="00973A49">
        <w:rPr>
          <w:rFonts w:ascii="Arial" w:eastAsia="Arial" w:hAnsi="Arial" w:cs="Arial"/>
          <w:lang w:val="en-US"/>
        </w:rPr>
        <w:t>Projects can spend at risk from the date of approval when the project is accepted onto the programme. Any expenditure incurred before this date is not an eligible project cost unless the project approved includes eligible retrospection.</w:t>
      </w:r>
    </w:p>
    <w:p w14:paraId="45FACC2E" w14:textId="77777777" w:rsidR="00973A49" w:rsidRPr="00973A49" w:rsidRDefault="00973A49" w:rsidP="00E46A41">
      <w:pPr>
        <w:widowControl w:val="0"/>
        <w:autoSpaceDE w:val="0"/>
        <w:autoSpaceDN w:val="0"/>
        <w:spacing w:after="0" w:line="240" w:lineRule="auto"/>
        <w:textAlignment w:val="baseline"/>
        <w:rPr>
          <w:rFonts w:ascii="Arial" w:eastAsia="Times New Roman" w:hAnsi="Arial" w:cs="Arial"/>
          <w:color w:val="404040"/>
          <w:lang w:val="en-US" w:eastAsia="en-GB"/>
        </w:rPr>
      </w:pPr>
    </w:p>
    <w:p w14:paraId="35EDD8B8" w14:textId="15E59B7A" w:rsidR="00973A49" w:rsidRPr="00973A49" w:rsidRDefault="00FC3933" w:rsidP="00FC3933">
      <w:pPr>
        <w:widowControl w:val="0"/>
        <w:autoSpaceDE w:val="0"/>
        <w:autoSpaceDN w:val="0"/>
        <w:spacing w:after="0" w:line="240" w:lineRule="auto"/>
        <w:ind w:left="720" w:hanging="720"/>
        <w:contextualSpacing/>
        <w:rPr>
          <w:rFonts w:ascii="Arial" w:eastAsia="Times New Roman" w:hAnsi="Arial" w:cs="Arial"/>
          <w:lang w:val="en-US" w:eastAsia="en-GB"/>
        </w:rPr>
      </w:pPr>
      <w:bookmarkStart w:id="11" w:name="_Toc118354449"/>
      <w:r w:rsidRPr="00FC3933">
        <w:rPr>
          <w:rFonts w:ascii="Arial" w:eastAsia="Times New Roman" w:hAnsi="Arial" w:cs="Arial"/>
          <w:lang w:val="en-US" w:eastAsia="en-GB"/>
        </w:rPr>
        <w:t>13.2</w:t>
      </w:r>
      <w:r>
        <w:rPr>
          <w:rFonts w:ascii="Arial" w:eastAsia="Times New Roman" w:hAnsi="Arial" w:cs="Arial"/>
          <w:b/>
          <w:bCs/>
          <w:lang w:val="en-US" w:eastAsia="en-GB"/>
        </w:rPr>
        <w:tab/>
      </w:r>
      <w:r w:rsidR="00973A49" w:rsidRPr="007F20CD">
        <w:rPr>
          <w:rFonts w:ascii="Arial" w:eastAsia="Times New Roman" w:hAnsi="Arial" w:cs="Arial"/>
          <w:lang w:val="en-US" w:eastAsia="en-GB"/>
        </w:rPr>
        <w:t>Verification</w:t>
      </w:r>
      <w:bookmarkEnd w:id="11"/>
      <w:r w:rsidR="007E7BA7" w:rsidRPr="1D1A6796">
        <w:rPr>
          <w:rFonts w:ascii="Arial" w:eastAsia="Times New Roman" w:hAnsi="Arial" w:cs="Arial"/>
          <w:b/>
          <w:bCs/>
          <w:lang w:val="en-US" w:eastAsia="en-GB"/>
        </w:rPr>
        <w:t>:</w:t>
      </w:r>
      <w:r w:rsidR="007E7BA7" w:rsidRPr="1D1A6796">
        <w:rPr>
          <w:rFonts w:ascii="Arial" w:eastAsia="Times New Roman" w:hAnsi="Arial" w:cs="Arial"/>
          <w:lang w:val="en-US" w:eastAsia="en-GB"/>
        </w:rPr>
        <w:t xml:space="preserve"> </w:t>
      </w:r>
      <w:r w:rsidR="00973A49" w:rsidRPr="1D1A6796">
        <w:rPr>
          <w:rFonts w:ascii="Arial" w:eastAsia="Arial" w:hAnsi="Arial" w:cs="Arial"/>
          <w:lang w:val="en-US"/>
        </w:rPr>
        <w:t xml:space="preserve">Project applicants must be able to provide an audit trail to evidence that expenditure has been incurred and defrayed (paid out of the applicant organisation’s bank account). As part of the quarterly claims process, </w:t>
      </w:r>
      <w:r w:rsidR="00007A23" w:rsidRPr="1D1A6796">
        <w:rPr>
          <w:rFonts w:ascii="Arial" w:eastAsia="Arial" w:hAnsi="Arial" w:cs="Arial"/>
          <w:lang w:val="en-US"/>
        </w:rPr>
        <w:t>NTCA</w:t>
      </w:r>
      <w:r w:rsidR="00973A49" w:rsidRPr="1D1A6796">
        <w:rPr>
          <w:rFonts w:ascii="Arial" w:eastAsia="Arial" w:hAnsi="Arial" w:cs="Arial"/>
          <w:lang w:val="en-US"/>
        </w:rPr>
        <w:t xml:space="preserve"> will undertake a minimum sample check of 5-10% of expenditure, selecting </w:t>
      </w:r>
      <w:proofErr w:type="gramStart"/>
      <w:r w:rsidR="00973A49" w:rsidRPr="1D1A6796">
        <w:rPr>
          <w:rFonts w:ascii="Arial" w:eastAsia="Arial" w:hAnsi="Arial" w:cs="Arial"/>
          <w:lang w:val="en-US"/>
        </w:rPr>
        <w:t>a number of</w:t>
      </w:r>
      <w:proofErr w:type="gramEnd"/>
      <w:r w:rsidR="00973A49" w:rsidRPr="1D1A6796">
        <w:rPr>
          <w:rFonts w:ascii="Arial" w:eastAsia="Arial" w:hAnsi="Arial" w:cs="Arial"/>
          <w:lang w:val="en-US"/>
        </w:rPr>
        <w:t xml:space="preserve"> transactions from each claim. Recipients will be required to provide supporting evidence to verify expenditure. Evidence will include but is not limited to:</w:t>
      </w:r>
    </w:p>
    <w:p w14:paraId="009FE463" w14:textId="77777777" w:rsidR="00973A49" w:rsidRPr="00F04FA0" w:rsidRDefault="00973A49" w:rsidP="00D707F6">
      <w:pPr>
        <w:pStyle w:val="ListParagraph"/>
        <w:numPr>
          <w:ilvl w:val="0"/>
          <w:numId w:val="2"/>
        </w:numPr>
        <w:rPr>
          <w:rFonts w:ascii="Arial" w:hAnsi="Arial" w:cs="Arial"/>
        </w:rPr>
      </w:pPr>
      <w:r w:rsidRPr="00F04FA0">
        <w:rPr>
          <w:rFonts w:ascii="Arial" w:hAnsi="Arial" w:cs="Arial"/>
        </w:rPr>
        <w:t>Invoices</w:t>
      </w:r>
    </w:p>
    <w:p w14:paraId="11095FC4" w14:textId="77777777" w:rsidR="00973A49" w:rsidRPr="00F04FA0" w:rsidRDefault="00973A49" w:rsidP="00D707F6">
      <w:pPr>
        <w:pStyle w:val="ListParagraph"/>
        <w:numPr>
          <w:ilvl w:val="0"/>
          <w:numId w:val="2"/>
        </w:numPr>
        <w:rPr>
          <w:rFonts w:ascii="Arial" w:hAnsi="Arial" w:cs="Arial"/>
        </w:rPr>
      </w:pPr>
      <w:r w:rsidRPr="00F04FA0">
        <w:rPr>
          <w:rFonts w:ascii="Arial" w:hAnsi="Arial" w:cs="Arial"/>
        </w:rPr>
        <w:t>Payslips</w:t>
      </w:r>
    </w:p>
    <w:p w14:paraId="2FABA5B7" w14:textId="77777777" w:rsidR="00973A49" w:rsidRPr="00F04FA0" w:rsidRDefault="00973A49" w:rsidP="00D707F6">
      <w:pPr>
        <w:pStyle w:val="ListParagraph"/>
        <w:numPr>
          <w:ilvl w:val="0"/>
          <w:numId w:val="2"/>
        </w:numPr>
        <w:rPr>
          <w:rFonts w:ascii="Arial" w:hAnsi="Arial" w:cs="Arial"/>
        </w:rPr>
      </w:pPr>
      <w:r w:rsidRPr="00F04FA0">
        <w:rPr>
          <w:rFonts w:ascii="Arial" w:hAnsi="Arial" w:cs="Arial"/>
        </w:rPr>
        <w:t>Quantity Surveyor Reports</w:t>
      </w:r>
    </w:p>
    <w:p w14:paraId="670135B5" w14:textId="77777777" w:rsidR="00973A49" w:rsidRPr="00F04FA0" w:rsidRDefault="00973A49" w:rsidP="00D707F6">
      <w:pPr>
        <w:pStyle w:val="ListParagraph"/>
        <w:numPr>
          <w:ilvl w:val="0"/>
          <w:numId w:val="2"/>
        </w:numPr>
        <w:rPr>
          <w:rFonts w:ascii="Arial" w:hAnsi="Arial" w:cs="Arial"/>
        </w:rPr>
      </w:pPr>
      <w:r w:rsidRPr="00F04FA0">
        <w:rPr>
          <w:rFonts w:ascii="Arial" w:hAnsi="Arial" w:cs="Arial"/>
        </w:rPr>
        <w:t>Screenshots of finance systems</w:t>
      </w:r>
    </w:p>
    <w:p w14:paraId="3476493E" w14:textId="77777777" w:rsidR="00973A49" w:rsidRPr="00F04FA0" w:rsidRDefault="00973A49" w:rsidP="00D707F6">
      <w:pPr>
        <w:pStyle w:val="ListParagraph"/>
        <w:numPr>
          <w:ilvl w:val="0"/>
          <w:numId w:val="2"/>
        </w:numPr>
        <w:rPr>
          <w:rFonts w:ascii="Arial" w:hAnsi="Arial" w:cs="Arial"/>
        </w:rPr>
      </w:pPr>
      <w:r w:rsidRPr="00F04FA0">
        <w:rPr>
          <w:rFonts w:ascii="Arial" w:hAnsi="Arial" w:cs="Arial"/>
        </w:rPr>
        <w:t>BACS statements</w:t>
      </w:r>
    </w:p>
    <w:p w14:paraId="1DFF38B3" w14:textId="6909A7BB" w:rsidR="002D5B95" w:rsidRPr="007D2E9A" w:rsidRDefault="00973A49" w:rsidP="007D2E9A">
      <w:pPr>
        <w:pStyle w:val="ListParagraph"/>
        <w:numPr>
          <w:ilvl w:val="0"/>
          <w:numId w:val="2"/>
        </w:numPr>
        <w:rPr>
          <w:rFonts w:ascii="Arial" w:hAnsi="Arial" w:cs="Arial"/>
        </w:rPr>
      </w:pPr>
      <w:r w:rsidRPr="00F04FA0">
        <w:rPr>
          <w:rFonts w:ascii="Arial" w:hAnsi="Arial" w:cs="Arial"/>
        </w:rPr>
        <w:t>Bank Statements</w:t>
      </w:r>
    </w:p>
    <w:p w14:paraId="68D47BC5" w14:textId="43CEC01E" w:rsidR="002E492C" w:rsidRDefault="002E492C" w:rsidP="002D5B95">
      <w:pPr>
        <w:widowControl w:val="0"/>
        <w:numPr>
          <w:ilvl w:val="0"/>
          <w:numId w:val="1"/>
        </w:numPr>
        <w:autoSpaceDE w:val="0"/>
        <w:autoSpaceDN w:val="0"/>
        <w:spacing w:after="0" w:line="240" w:lineRule="auto"/>
        <w:contextualSpacing/>
        <w:rPr>
          <w:rFonts w:ascii="Arial" w:eastAsia="Times New Roman" w:hAnsi="Arial" w:cs="Arial"/>
          <w:b/>
          <w:bCs/>
          <w:sz w:val="24"/>
          <w:szCs w:val="24"/>
          <w:lang w:val="en-US" w:eastAsia="en-GB"/>
        </w:rPr>
      </w:pPr>
      <w:r w:rsidRPr="002D5B95">
        <w:rPr>
          <w:rFonts w:ascii="Arial" w:eastAsia="Times New Roman" w:hAnsi="Arial" w:cs="Arial"/>
          <w:b/>
          <w:bCs/>
          <w:sz w:val="24"/>
          <w:szCs w:val="24"/>
          <w:lang w:val="en-US" w:eastAsia="en-GB"/>
        </w:rPr>
        <w:t xml:space="preserve">Community Partnerships </w:t>
      </w:r>
    </w:p>
    <w:p w14:paraId="0EEA2E58" w14:textId="77777777" w:rsidR="002D5B95" w:rsidRPr="002D5B95" w:rsidRDefault="002D5B95" w:rsidP="002D5B95">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5978BA64" w14:textId="36501A7C" w:rsidR="00C95903" w:rsidRDefault="002D5B95" w:rsidP="002D5B95">
      <w:pPr>
        <w:pStyle w:val="NoSpacing"/>
        <w:ind w:left="720" w:hanging="720"/>
        <w:rPr>
          <w:rFonts w:ascii="Arial" w:hAnsi="Arial" w:cs="Arial"/>
        </w:rPr>
      </w:pPr>
      <w:r>
        <w:rPr>
          <w:rFonts w:ascii="Arial" w:hAnsi="Arial" w:cs="Arial"/>
        </w:rPr>
        <w:t>14.1</w:t>
      </w:r>
      <w:r>
        <w:rPr>
          <w:rFonts w:ascii="Arial" w:hAnsi="Arial" w:cs="Arial"/>
        </w:rPr>
        <w:tab/>
      </w:r>
      <w:r w:rsidR="00C95903">
        <w:rPr>
          <w:rFonts w:ascii="Arial" w:hAnsi="Arial" w:cs="Arial"/>
        </w:rPr>
        <w:t>Community Part</w:t>
      </w:r>
      <w:r>
        <w:rPr>
          <w:rFonts w:ascii="Arial" w:hAnsi="Arial" w:cs="Arial"/>
        </w:rPr>
        <w:t>nerships w</w:t>
      </w:r>
      <w:r w:rsidR="00C95903">
        <w:rPr>
          <w:rFonts w:ascii="Arial" w:hAnsi="Arial" w:cs="Arial"/>
        </w:rPr>
        <w:t xml:space="preserve">ill develop local delivery plans identifying key needs and issues to be addressed, and the services to be delivered locally to meet these needs. They will work in partnership with other funded providers (including the VCSE organisations awarded a contract under this call) to ensure co-ordinated delivery of a range of services within local communities. The Community Partnerships will operate at a sub-local authority geography, in priority communities identified by the Local Authorities.  </w:t>
      </w:r>
    </w:p>
    <w:p w14:paraId="4F3B8780" w14:textId="77777777" w:rsidR="002D5B95" w:rsidRDefault="002D5B95" w:rsidP="002D5B95">
      <w:pPr>
        <w:pStyle w:val="NoSpacing"/>
        <w:rPr>
          <w:rFonts w:ascii="Arial" w:hAnsi="Arial" w:cs="Arial"/>
        </w:rPr>
      </w:pPr>
    </w:p>
    <w:p w14:paraId="587985EB" w14:textId="5CB57854" w:rsidR="002D5B95" w:rsidRDefault="00C95903" w:rsidP="00D707F6">
      <w:pPr>
        <w:pStyle w:val="NoSpacing"/>
        <w:numPr>
          <w:ilvl w:val="1"/>
          <w:numId w:val="7"/>
        </w:numPr>
        <w:rPr>
          <w:rFonts w:ascii="Arial" w:hAnsi="Arial" w:cs="Arial"/>
        </w:rPr>
      </w:pPr>
      <w:r w:rsidRPr="002D5B95">
        <w:rPr>
          <w:rFonts w:ascii="Arial" w:hAnsi="Arial" w:cs="Arial"/>
        </w:rPr>
        <w:t xml:space="preserve">It is anticipated that Community Partnerships will be established by Spring 2023, </w:t>
      </w:r>
    </w:p>
    <w:p w14:paraId="3F631086" w14:textId="164B0E8A" w:rsidR="00C95903" w:rsidRPr="002D5B95" w:rsidRDefault="00C95903" w:rsidP="002D5B95">
      <w:pPr>
        <w:pStyle w:val="NoSpacing"/>
        <w:ind w:left="720"/>
        <w:rPr>
          <w:rFonts w:ascii="Arial" w:hAnsi="Arial" w:cs="Arial"/>
        </w:rPr>
      </w:pPr>
      <w:r w:rsidRPr="002D5B95">
        <w:rPr>
          <w:rFonts w:ascii="Arial" w:hAnsi="Arial" w:cs="Arial"/>
        </w:rPr>
        <w:t xml:space="preserve">with activity to address identified local priorities being delivered during 2023/24 and 2024/25. Once the Partnerships have been established, NTCA will host an event to bring them together with the successful VCSE employability providers to begin to identify opportunities to work together and align activity e.g. Community Partnerships could provide engagement and early stage support to economically inactive residents before signposting them to an employability provider and employability providers could support participants into the volunteering opportunities created by the community partnerships. </w:t>
      </w:r>
    </w:p>
    <w:p w14:paraId="7EC38276" w14:textId="77777777" w:rsidR="002D5B95" w:rsidRDefault="002D5B95" w:rsidP="002D5B95">
      <w:pPr>
        <w:pStyle w:val="NoSpacing"/>
        <w:rPr>
          <w:rFonts w:ascii="Arial" w:hAnsi="Arial" w:cs="Arial"/>
        </w:rPr>
      </w:pPr>
    </w:p>
    <w:p w14:paraId="0F601820" w14:textId="527F0399" w:rsidR="00FC3933" w:rsidRDefault="002D5B95" w:rsidP="282B63B2">
      <w:pPr>
        <w:pStyle w:val="NoSpacing"/>
        <w:widowControl w:val="0"/>
        <w:autoSpaceDE w:val="0"/>
        <w:autoSpaceDN w:val="0"/>
        <w:ind w:left="720" w:hanging="720"/>
        <w:rPr>
          <w:rFonts w:ascii="Arial" w:hAnsi="Arial" w:cs="Arial"/>
          <w:lang w:val="en-US"/>
        </w:rPr>
      </w:pPr>
      <w:r>
        <w:rPr>
          <w:rFonts w:ascii="Arial" w:hAnsi="Arial" w:cs="Arial"/>
        </w:rPr>
        <w:t>14.3</w:t>
      </w:r>
      <w:r>
        <w:tab/>
      </w:r>
      <w:r w:rsidR="00C95903" w:rsidRPr="002D5B95">
        <w:rPr>
          <w:rFonts w:ascii="Arial" w:hAnsi="Arial" w:cs="Arial"/>
        </w:rPr>
        <w:t>We expect successful VCSE providers will be required to attend this event (or events) and to work with the relevant Community Partnerships. When operational, the three investment priorities of the UK Shared Prosperity Fund (Communities and Place / People and Skills / Business Support) will be co-ordinated and work in a complementary way to maximise outcomes for North of Tyne residents and businesses.</w:t>
      </w:r>
    </w:p>
    <w:p w14:paraId="336F7EE3" w14:textId="617CF5C4" w:rsidR="282B63B2" w:rsidRDefault="282B63B2" w:rsidP="282B63B2">
      <w:pPr>
        <w:pStyle w:val="NoSpacing"/>
        <w:ind w:left="720" w:hanging="720"/>
        <w:rPr>
          <w:rFonts w:ascii="Arial" w:hAnsi="Arial" w:cs="Arial"/>
        </w:rPr>
      </w:pPr>
    </w:p>
    <w:p w14:paraId="1C18A9C6" w14:textId="6925C06B" w:rsidR="002735D6" w:rsidRPr="002D5B95" w:rsidRDefault="002D5B95" w:rsidP="002D5B9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15</w:t>
      </w:r>
      <w:r>
        <w:rPr>
          <w:rFonts w:ascii="Arial" w:eastAsia="Times New Roman" w:hAnsi="Arial" w:cs="Arial"/>
          <w:b/>
          <w:bCs/>
          <w:sz w:val="24"/>
          <w:szCs w:val="24"/>
          <w:lang w:val="en-US" w:eastAsia="en-GB"/>
        </w:rPr>
        <w:tab/>
      </w:r>
      <w:r w:rsidR="00043C14" w:rsidRPr="002D5B95">
        <w:rPr>
          <w:rFonts w:ascii="Arial" w:eastAsia="Times New Roman" w:hAnsi="Arial" w:cs="Arial"/>
          <w:b/>
          <w:bCs/>
          <w:sz w:val="24"/>
          <w:szCs w:val="24"/>
          <w:lang w:val="en-US" w:eastAsia="en-GB"/>
        </w:rPr>
        <w:t xml:space="preserve">Costs </w:t>
      </w:r>
    </w:p>
    <w:p w14:paraId="7198AFB1" w14:textId="77777777" w:rsidR="00043C14" w:rsidRPr="00043C14" w:rsidRDefault="00043C14" w:rsidP="002735D6">
      <w:pPr>
        <w:widowControl w:val="0"/>
        <w:autoSpaceDE w:val="0"/>
        <w:autoSpaceDN w:val="0"/>
        <w:spacing w:after="0" w:line="240" w:lineRule="auto"/>
        <w:contextualSpacing/>
        <w:rPr>
          <w:rFonts w:ascii="Arial" w:eastAsia="Times New Roman" w:hAnsi="Arial" w:cs="Arial"/>
          <w:b/>
          <w:bCs/>
          <w:lang w:val="en-US" w:eastAsia="en-GB"/>
        </w:rPr>
      </w:pPr>
    </w:p>
    <w:p w14:paraId="6A06D828" w14:textId="65D34956" w:rsidR="002735D6" w:rsidRDefault="00FC3933" w:rsidP="00FC3933">
      <w:pPr>
        <w:ind w:left="720" w:hanging="720"/>
        <w:contextualSpacing/>
        <w:jc w:val="both"/>
        <w:rPr>
          <w:rFonts w:ascii="Arial" w:hAnsi="Arial" w:cs="Arial"/>
        </w:rPr>
      </w:pPr>
      <w:r>
        <w:rPr>
          <w:rFonts w:ascii="Arial" w:hAnsi="Arial" w:cs="Arial"/>
        </w:rPr>
        <w:t>1</w:t>
      </w:r>
      <w:r w:rsidR="008F77D5">
        <w:rPr>
          <w:rFonts w:ascii="Arial" w:hAnsi="Arial" w:cs="Arial"/>
        </w:rPr>
        <w:t>5</w:t>
      </w:r>
      <w:r>
        <w:rPr>
          <w:rFonts w:ascii="Arial" w:hAnsi="Arial" w:cs="Arial"/>
        </w:rPr>
        <w:t>.1</w:t>
      </w:r>
      <w:r>
        <w:rPr>
          <w:rFonts w:ascii="Arial" w:hAnsi="Arial" w:cs="Arial"/>
        </w:rPr>
        <w:tab/>
      </w:r>
      <w:r w:rsidR="002735D6" w:rsidRPr="004C7325">
        <w:rPr>
          <w:rFonts w:ascii="Arial" w:hAnsi="Arial" w:cs="Arial"/>
        </w:rPr>
        <w:t xml:space="preserve">It is important to define the types of costs within a project and ensure that there is no overlap between the types of costs to avoid any costs being double funded </w:t>
      </w:r>
      <w:proofErr w:type="gramStart"/>
      <w:r w:rsidR="002735D6" w:rsidRPr="004C7325">
        <w:rPr>
          <w:rFonts w:ascii="Arial" w:hAnsi="Arial" w:cs="Arial"/>
        </w:rPr>
        <w:t>e.g.</w:t>
      </w:r>
      <w:proofErr w:type="gramEnd"/>
      <w:r w:rsidR="002735D6" w:rsidRPr="004C7325">
        <w:rPr>
          <w:rFonts w:ascii="Arial" w:hAnsi="Arial" w:cs="Arial"/>
        </w:rPr>
        <w:t xml:space="preserve"> wrongly classified as direct (and included as such) when in fact they are indirect and already </w:t>
      </w:r>
      <w:r w:rsidR="002735D6" w:rsidRPr="004C7325">
        <w:rPr>
          <w:rFonts w:ascii="Arial" w:hAnsi="Arial" w:cs="Arial"/>
        </w:rPr>
        <w:lastRenderedPageBreak/>
        <w:t>covered by the flat rate. To avoid the risk of double funding the following definitions apply.</w:t>
      </w:r>
    </w:p>
    <w:p w14:paraId="239F57B7" w14:textId="77777777" w:rsidR="002735D6" w:rsidRPr="004C7325" w:rsidRDefault="002735D6" w:rsidP="002735D6">
      <w:pPr>
        <w:widowControl w:val="0"/>
        <w:autoSpaceDE w:val="0"/>
        <w:autoSpaceDN w:val="0"/>
        <w:spacing w:after="0" w:line="240" w:lineRule="auto"/>
        <w:contextualSpacing/>
        <w:rPr>
          <w:rFonts w:ascii="Arial" w:hAnsi="Arial" w:cs="Arial"/>
        </w:rPr>
      </w:pPr>
    </w:p>
    <w:p w14:paraId="751653BF" w14:textId="31B032B5" w:rsidR="002735D6" w:rsidRPr="00FC3933" w:rsidRDefault="00FC3933" w:rsidP="00FC3933">
      <w:pPr>
        <w:widowControl w:val="0"/>
        <w:autoSpaceDE w:val="0"/>
        <w:autoSpaceDN w:val="0"/>
        <w:spacing w:after="0" w:line="240" w:lineRule="auto"/>
        <w:ind w:left="720" w:hanging="720"/>
        <w:contextualSpacing/>
        <w:rPr>
          <w:rFonts w:ascii="Arial" w:hAnsi="Arial"/>
        </w:rPr>
      </w:pPr>
      <w:r>
        <w:rPr>
          <w:rFonts w:ascii="Arial" w:eastAsia="Times New Roman" w:hAnsi="Arial" w:cs="Arial"/>
          <w:lang w:val="en-US" w:eastAsia="en-GB"/>
        </w:rPr>
        <w:t>1</w:t>
      </w:r>
      <w:r w:rsidR="008F77D5">
        <w:rPr>
          <w:rFonts w:ascii="Arial" w:eastAsia="Times New Roman" w:hAnsi="Arial" w:cs="Arial"/>
          <w:lang w:val="en-US" w:eastAsia="en-GB"/>
        </w:rPr>
        <w:t>5</w:t>
      </w:r>
      <w:r>
        <w:rPr>
          <w:rFonts w:ascii="Arial" w:eastAsia="Times New Roman" w:hAnsi="Arial" w:cs="Arial"/>
          <w:lang w:val="en-US" w:eastAsia="en-GB"/>
        </w:rPr>
        <w:t>.2</w:t>
      </w:r>
      <w:r>
        <w:rPr>
          <w:rFonts w:ascii="Arial" w:eastAsia="Times New Roman" w:hAnsi="Arial" w:cs="Arial"/>
          <w:lang w:val="en-US" w:eastAsia="en-GB"/>
        </w:rPr>
        <w:tab/>
      </w:r>
      <w:r w:rsidR="002735D6" w:rsidRPr="00FC1E76">
        <w:rPr>
          <w:rFonts w:ascii="Arial" w:eastAsia="Times New Roman" w:hAnsi="Arial" w:cs="Arial"/>
          <w:lang w:val="en-US" w:eastAsia="en-GB"/>
        </w:rPr>
        <w:t>Direct Costs</w:t>
      </w:r>
      <w:r w:rsidR="002735D6">
        <w:rPr>
          <w:rFonts w:ascii="Arial" w:eastAsia="Times New Roman" w:hAnsi="Arial" w:cs="Arial"/>
          <w:lang w:val="en-US" w:eastAsia="en-GB"/>
        </w:rPr>
        <w:t xml:space="preserve">: </w:t>
      </w:r>
      <w:r w:rsidR="002735D6" w:rsidRPr="004C7325">
        <w:rPr>
          <w:rFonts w:ascii="Arial" w:hAnsi="Arial"/>
        </w:rPr>
        <w:t xml:space="preserve">All eligible costs </w:t>
      </w:r>
      <w:r w:rsidR="002735D6" w:rsidRPr="004C7325">
        <w:rPr>
          <w:rFonts w:ascii="Arial" w:hAnsi="Arial"/>
          <w:b/>
          <w:i/>
        </w:rPr>
        <w:t>other than direct staff costs</w:t>
      </w:r>
      <w:r w:rsidR="002735D6" w:rsidRPr="004C7325">
        <w:rPr>
          <w:rFonts w:ascii="Arial" w:hAnsi="Arial"/>
        </w:rPr>
        <w:t xml:space="preserve"> which are essential for the delivery of the project. This includes (but is not an exhaustive list):</w:t>
      </w:r>
    </w:p>
    <w:p w14:paraId="7497B953" w14:textId="77777777" w:rsidR="002735D6" w:rsidRPr="00F04FA0" w:rsidRDefault="002735D6" w:rsidP="00D707F6">
      <w:pPr>
        <w:pStyle w:val="ListParagraph"/>
        <w:numPr>
          <w:ilvl w:val="0"/>
          <w:numId w:val="2"/>
        </w:numPr>
        <w:rPr>
          <w:rFonts w:ascii="Arial" w:hAnsi="Arial" w:cs="Arial"/>
        </w:rPr>
      </w:pPr>
      <w:r w:rsidRPr="00FC1E76">
        <w:rPr>
          <w:rFonts w:ascii="Arial" w:hAnsi="Arial" w:cs="Arial"/>
        </w:rPr>
        <w:t xml:space="preserve">Premises costs and associated running costs which are </w:t>
      </w:r>
      <w:r w:rsidRPr="00F04FA0">
        <w:rPr>
          <w:rFonts w:ascii="Arial" w:hAnsi="Arial" w:cs="Arial"/>
        </w:rPr>
        <w:t xml:space="preserve">exclusively used for the project – </w:t>
      </w:r>
      <w:proofErr w:type="gramStart"/>
      <w:r w:rsidRPr="00F04FA0">
        <w:rPr>
          <w:rFonts w:ascii="Arial" w:hAnsi="Arial" w:cs="Arial"/>
        </w:rPr>
        <w:t>that is to say costs</w:t>
      </w:r>
      <w:proofErr w:type="gramEnd"/>
      <w:r w:rsidRPr="00F04FA0">
        <w:rPr>
          <w:rFonts w:ascii="Arial" w:hAnsi="Arial" w:cs="Arial"/>
        </w:rPr>
        <w:t xml:space="preserve"> that are not shared or apportioned across multiple projects.</w:t>
      </w:r>
    </w:p>
    <w:p w14:paraId="7BAD9791"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Equipment used exclusively for project purposes.</w:t>
      </w:r>
    </w:p>
    <w:p w14:paraId="4D9C7D9A" w14:textId="77777777" w:rsidR="002735D6" w:rsidRPr="00FC1E76" w:rsidRDefault="002735D6" w:rsidP="00D707F6">
      <w:pPr>
        <w:pStyle w:val="ListParagraph"/>
        <w:numPr>
          <w:ilvl w:val="0"/>
          <w:numId w:val="2"/>
        </w:numPr>
        <w:rPr>
          <w:rFonts w:ascii="Arial" w:hAnsi="Arial" w:cs="Arial"/>
        </w:rPr>
      </w:pPr>
      <w:r w:rsidRPr="00FC1E76">
        <w:rPr>
          <w:rFonts w:ascii="Arial" w:hAnsi="Arial" w:cs="Arial"/>
        </w:rPr>
        <w:t xml:space="preserve">Materials and consumables purchased solely for project activity. </w:t>
      </w:r>
    </w:p>
    <w:p w14:paraId="078B5464" w14:textId="77777777" w:rsidR="002735D6" w:rsidRPr="00FC1E76" w:rsidRDefault="002735D6" w:rsidP="00D707F6">
      <w:pPr>
        <w:pStyle w:val="ListParagraph"/>
        <w:numPr>
          <w:ilvl w:val="0"/>
          <w:numId w:val="2"/>
        </w:numPr>
        <w:rPr>
          <w:rFonts w:ascii="Arial" w:hAnsi="Arial" w:cs="Arial"/>
        </w:rPr>
      </w:pPr>
      <w:r w:rsidRPr="00FC1E76">
        <w:rPr>
          <w:rFonts w:ascii="Arial" w:hAnsi="Arial" w:cs="Arial"/>
        </w:rPr>
        <w:t>Other costs such as marketing, publicity, and evaluation where these can be clearly identified and directly attributable to the project.</w:t>
      </w:r>
    </w:p>
    <w:p w14:paraId="073132D5" w14:textId="77777777" w:rsidR="002735D6" w:rsidRPr="00FC1E76" w:rsidRDefault="002735D6" w:rsidP="00D707F6">
      <w:pPr>
        <w:pStyle w:val="ListParagraph"/>
        <w:numPr>
          <w:ilvl w:val="0"/>
          <w:numId w:val="2"/>
        </w:numPr>
        <w:rPr>
          <w:rFonts w:ascii="Arial" w:hAnsi="Arial" w:cs="Arial"/>
        </w:rPr>
      </w:pPr>
      <w:r w:rsidRPr="00FC1E76">
        <w:rPr>
          <w:rFonts w:ascii="Arial" w:hAnsi="Arial" w:cs="Arial"/>
        </w:rPr>
        <w:t xml:space="preserve">Stipends, as these are not salaries associated with a contract of employment but a living allowance – these could be agreed as an eligible direct cost where the payment relates to </w:t>
      </w:r>
      <w:proofErr w:type="gramStart"/>
      <w:r w:rsidRPr="00FC1E76">
        <w:rPr>
          <w:rFonts w:ascii="Arial" w:hAnsi="Arial" w:cs="Arial"/>
        </w:rPr>
        <w:t>a period of time</w:t>
      </w:r>
      <w:proofErr w:type="gramEnd"/>
      <w:r w:rsidRPr="00FC1E76">
        <w:rPr>
          <w:rFonts w:ascii="Arial" w:hAnsi="Arial" w:cs="Arial"/>
        </w:rPr>
        <w:t xml:space="preserve"> within the project lifetime and the student is required to carry out a piece of work which directly relates to project activity. </w:t>
      </w:r>
    </w:p>
    <w:p w14:paraId="0577D931" w14:textId="77777777" w:rsidR="002735D6" w:rsidRPr="00FC1E76" w:rsidRDefault="002735D6" w:rsidP="00D707F6">
      <w:pPr>
        <w:pStyle w:val="ListParagraph"/>
        <w:numPr>
          <w:ilvl w:val="0"/>
          <w:numId w:val="2"/>
        </w:numPr>
        <w:rPr>
          <w:rFonts w:ascii="Arial" w:hAnsi="Arial" w:cs="Arial"/>
        </w:rPr>
      </w:pPr>
      <w:r w:rsidRPr="00FC1E76">
        <w:rPr>
          <w:rFonts w:ascii="Arial" w:hAnsi="Arial" w:cs="Arial"/>
        </w:rPr>
        <w:t xml:space="preserve">Procured goods/services/works (used exclusively by the project) essential for the delivery of project activity. </w:t>
      </w:r>
    </w:p>
    <w:p w14:paraId="1A861BFD" w14:textId="6633032F" w:rsidR="002735D6" w:rsidRPr="00660399" w:rsidRDefault="002735D6" w:rsidP="00660399">
      <w:pPr>
        <w:pStyle w:val="ListParagraph"/>
        <w:numPr>
          <w:ilvl w:val="0"/>
          <w:numId w:val="2"/>
        </w:numPr>
        <w:rPr>
          <w:rFonts w:ascii="Arial" w:hAnsi="Arial" w:cs="Arial"/>
        </w:rPr>
      </w:pPr>
      <w:r w:rsidRPr="00FC1E76">
        <w:rPr>
          <w:rFonts w:ascii="Arial" w:hAnsi="Arial" w:cs="Arial"/>
        </w:rPr>
        <w:t>Cost of business trips, other travel, and subsistence.</w:t>
      </w:r>
    </w:p>
    <w:p w14:paraId="2BB0B55B" w14:textId="2632AD92" w:rsidR="002735D6" w:rsidRPr="00355538" w:rsidRDefault="00FC3933" w:rsidP="00355538">
      <w:pPr>
        <w:widowControl w:val="0"/>
        <w:autoSpaceDE w:val="0"/>
        <w:autoSpaceDN w:val="0"/>
        <w:spacing w:after="0" w:line="240" w:lineRule="auto"/>
        <w:ind w:left="720" w:hanging="720"/>
        <w:contextualSpacing/>
        <w:rPr>
          <w:rFonts w:ascii="Arial" w:hAnsi="Arial" w:cs="Arial"/>
        </w:rPr>
      </w:pPr>
      <w:r w:rsidRPr="00FC3933">
        <w:rPr>
          <w:rFonts w:ascii="Arial" w:eastAsia="Times New Roman" w:hAnsi="Arial" w:cs="Arial"/>
          <w:lang w:val="en-US" w:eastAsia="en-GB"/>
        </w:rPr>
        <w:t>1</w:t>
      </w:r>
      <w:r w:rsidR="008F77D5">
        <w:rPr>
          <w:rFonts w:ascii="Arial" w:eastAsia="Times New Roman" w:hAnsi="Arial" w:cs="Arial"/>
          <w:lang w:val="en-US" w:eastAsia="en-GB"/>
        </w:rPr>
        <w:t>5</w:t>
      </w:r>
      <w:r w:rsidRPr="00FC3933">
        <w:rPr>
          <w:rFonts w:ascii="Arial" w:eastAsia="Times New Roman" w:hAnsi="Arial" w:cs="Arial"/>
          <w:lang w:val="en-US" w:eastAsia="en-GB"/>
        </w:rPr>
        <w:t>.3</w:t>
      </w:r>
      <w:r>
        <w:rPr>
          <w:rFonts w:ascii="Arial" w:eastAsia="Times New Roman" w:hAnsi="Arial" w:cs="Arial"/>
          <w:b/>
          <w:bCs/>
          <w:lang w:val="en-US" w:eastAsia="en-GB"/>
        </w:rPr>
        <w:tab/>
      </w:r>
      <w:r w:rsidRPr="00355538">
        <w:rPr>
          <w:rFonts w:ascii="Arial" w:eastAsia="Times New Roman" w:hAnsi="Arial" w:cs="Arial"/>
          <w:lang w:val="en-US" w:eastAsia="en-GB"/>
        </w:rPr>
        <w:t>I</w:t>
      </w:r>
      <w:r w:rsidR="002735D6" w:rsidRPr="00355538">
        <w:rPr>
          <w:rFonts w:ascii="Arial" w:eastAsia="Times New Roman" w:hAnsi="Arial" w:cs="Arial"/>
          <w:lang w:val="en-US" w:eastAsia="en-GB"/>
        </w:rPr>
        <w:t>ndirect Costs:</w:t>
      </w:r>
      <w:r w:rsidR="002735D6">
        <w:rPr>
          <w:rFonts w:ascii="Arial" w:eastAsia="Times New Roman" w:hAnsi="Arial" w:cs="Arial"/>
          <w:lang w:val="en-US" w:eastAsia="en-GB"/>
        </w:rPr>
        <w:t xml:space="preserve"> </w:t>
      </w:r>
      <w:r w:rsidR="002735D6" w:rsidRPr="008716C4">
        <w:rPr>
          <w:rFonts w:ascii="Arial" w:hAnsi="Arial" w:cs="Arial"/>
        </w:rPr>
        <w:t>Any costs which do not fall within the direct staff costs category, or other direct costs categories, are indirect costs and will be claimed using a flat rate.  Such costs do not have to be individually identified or listed within an application.</w:t>
      </w:r>
    </w:p>
    <w:p w14:paraId="352A374E" w14:textId="77777777" w:rsidR="002735D6" w:rsidRPr="008716C4" w:rsidRDefault="002735D6" w:rsidP="00355538">
      <w:pPr>
        <w:ind w:left="720"/>
        <w:rPr>
          <w:rFonts w:ascii="Arial" w:hAnsi="Arial" w:cs="Arial"/>
        </w:rPr>
      </w:pPr>
      <w:r w:rsidRPr="008716C4">
        <w:rPr>
          <w:rFonts w:ascii="Arial" w:hAnsi="Arial" w:cs="Arial"/>
        </w:rPr>
        <w:t>Indirect costs, often referred to as ‘overheads’ are those costs which are linked to activity that supports the delivery of a project but cannot be easily attributed to the project in terms of the actual specific cost and cannot be evidenced by invoices or other transactions.</w:t>
      </w:r>
    </w:p>
    <w:p w14:paraId="2F987D9C" w14:textId="77777777" w:rsidR="002735D6" w:rsidRPr="008716C4" w:rsidRDefault="002735D6" w:rsidP="00355538">
      <w:pPr>
        <w:ind w:firstLine="720"/>
        <w:jc w:val="both"/>
        <w:rPr>
          <w:rFonts w:ascii="Arial" w:hAnsi="Arial"/>
        </w:rPr>
      </w:pPr>
      <w:r w:rsidRPr="008716C4">
        <w:rPr>
          <w:rFonts w:ascii="Arial" w:hAnsi="Arial"/>
        </w:rPr>
        <w:t>Such costs include:</w:t>
      </w:r>
    </w:p>
    <w:p w14:paraId="08178E16"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Support from non-public facing staff, not engaged in activity directly related to the implementation and management of the project (</w:t>
      </w:r>
      <w:proofErr w:type="gramStart"/>
      <w:r w:rsidRPr="00F04FA0">
        <w:rPr>
          <w:rFonts w:ascii="Arial" w:hAnsi="Arial" w:cs="Arial"/>
        </w:rPr>
        <w:t>i.e.</w:t>
      </w:r>
      <w:proofErr w:type="gramEnd"/>
      <w:r w:rsidRPr="00F04FA0">
        <w:rPr>
          <w:rFonts w:ascii="Arial" w:hAnsi="Arial" w:cs="Arial"/>
        </w:rPr>
        <w:t xml:space="preserve"> HR, payroll support). </w:t>
      </w:r>
    </w:p>
    <w:p w14:paraId="0AB28F41"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 xml:space="preserve">Other costs which are not solely associated with the delivery of the project, such as the shared premises costs including rent, utilities, cleaning, IT maintenance or insurance. This means that unless a premise is used for only the project outlined in the business case then the costs would be derived from the 15% flat rate. There is no apportionment methodology to share the cost of premises and running costs amongst projects as a direct cost. </w:t>
      </w:r>
    </w:p>
    <w:p w14:paraId="30192B2B" w14:textId="76DF2FD1" w:rsidR="002735D6" w:rsidRPr="0055536D" w:rsidRDefault="002735D6" w:rsidP="00D707F6">
      <w:pPr>
        <w:pStyle w:val="ListParagraph"/>
        <w:numPr>
          <w:ilvl w:val="0"/>
          <w:numId w:val="2"/>
        </w:numPr>
        <w:rPr>
          <w:rFonts w:ascii="Arial" w:hAnsi="Arial" w:cs="Arial"/>
        </w:rPr>
      </w:pPr>
      <w:r w:rsidRPr="00F04FA0">
        <w:rPr>
          <w:rFonts w:ascii="Arial" w:hAnsi="Arial" w:cs="Arial"/>
        </w:rPr>
        <w:t>Costs of services, equipment or assets not exclusively used by the project where an actual specific cost cannot be identified.</w:t>
      </w:r>
    </w:p>
    <w:p w14:paraId="5099E643" w14:textId="16CE88BA" w:rsidR="002735D6" w:rsidRDefault="00355538" w:rsidP="002735D6">
      <w:pPr>
        <w:widowControl w:val="0"/>
        <w:autoSpaceDE w:val="0"/>
        <w:autoSpaceDN w:val="0"/>
        <w:spacing w:after="0" w:line="240" w:lineRule="auto"/>
        <w:ind w:left="720" w:hanging="720"/>
        <w:contextualSpacing/>
        <w:rPr>
          <w:rFonts w:ascii="Arial" w:hAnsi="Arial" w:cs="Arial"/>
        </w:rPr>
      </w:pPr>
      <w:bookmarkStart w:id="12" w:name="_Toc118354476"/>
      <w:r w:rsidRPr="00355538">
        <w:rPr>
          <w:rFonts w:ascii="Arial" w:eastAsia="Times New Roman" w:hAnsi="Arial" w:cs="Arial"/>
          <w:lang w:val="en-US" w:eastAsia="en-GB"/>
        </w:rPr>
        <w:t>1</w:t>
      </w:r>
      <w:r w:rsidR="008F77D5">
        <w:rPr>
          <w:rFonts w:ascii="Arial" w:eastAsia="Times New Roman" w:hAnsi="Arial" w:cs="Arial"/>
          <w:lang w:val="en-US" w:eastAsia="en-GB"/>
        </w:rPr>
        <w:t>5</w:t>
      </w:r>
      <w:r w:rsidRPr="00355538">
        <w:rPr>
          <w:rFonts w:ascii="Arial" w:eastAsia="Times New Roman" w:hAnsi="Arial" w:cs="Arial"/>
          <w:lang w:val="en-US" w:eastAsia="en-GB"/>
        </w:rPr>
        <w:t>.4</w:t>
      </w:r>
      <w:r w:rsidRPr="00355538">
        <w:rPr>
          <w:rFonts w:ascii="Arial" w:eastAsia="Times New Roman" w:hAnsi="Arial" w:cs="Arial"/>
          <w:lang w:val="en-US" w:eastAsia="en-GB"/>
        </w:rPr>
        <w:tab/>
      </w:r>
      <w:r w:rsidR="002735D6" w:rsidRPr="00355538">
        <w:rPr>
          <w:rFonts w:ascii="Arial" w:eastAsia="Times New Roman" w:hAnsi="Arial" w:cs="Arial"/>
          <w:lang w:val="en-US" w:eastAsia="en-GB"/>
        </w:rPr>
        <w:t>Calculating Indirect Costs</w:t>
      </w:r>
      <w:bookmarkEnd w:id="12"/>
      <w:r w:rsidR="002735D6">
        <w:rPr>
          <w:rFonts w:ascii="Arial" w:eastAsia="Times New Roman" w:hAnsi="Arial" w:cs="Arial"/>
          <w:lang w:val="en-US" w:eastAsia="en-GB"/>
        </w:rPr>
        <w:t xml:space="preserve">: </w:t>
      </w:r>
      <w:r w:rsidR="002735D6" w:rsidRPr="00E76AFE">
        <w:rPr>
          <w:rFonts w:ascii="Arial" w:hAnsi="Arial" w:cs="Arial"/>
        </w:rPr>
        <w:t>A project will essentially contain up to three types of costs:</w:t>
      </w:r>
    </w:p>
    <w:p w14:paraId="3B2389C8" w14:textId="77777777" w:rsidR="002735D6" w:rsidRPr="00E76AFE" w:rsidRDefault="002735D6" w:rsidP="002735D6">
      <w:pPr>
        <w:widowControl w:val="0"/>
        <w:autoSpaceDE w:val="0"/>
        <w:autoSpaceDN w:val="0"/>
        <w:spacing w:after="0" w:line="240" w:lineRule="auto"/>
        <w:ind w:left="720" w:hanging="720"/>
        <w:contextualSpacing/>
        <w:rPr>
          <w:rFonts w:ascii="Arial" w:eastAsia="Times New Roman" w:hAnsi="Arial" w:cs="Arial"/>
          <w:lang w:val="en-US" w:eastAsia="en-GB"/>
        </w:rPr>
      </w:pPr>
    </w:p>
    <w:p w14:paraId="5D6997A5" w14:textId="11C2F61F" w:rsidR="002735D6" w:rsidRPr="00E76AFE" w:rsidRDefault="002735D6" w:rsidP="00D707F6">
      <w:pPr>
        <w:pStyle w:val="ListParagraph"/>
        <w:numPr>
          <w:ilvl w:val="0"/>
          <w:numId w:val="2"/>
        </w:numPr>
        <w:rPr>
          <w:rFonts w:ascii="Arial" w:hAnsi="Arial" w:cs="Arial"/>
        </w:rPr>
      </w:pPr>
      <w:r w:rsidRPr="00355538">
        <w:rPr>
          <w:rFonts w:ascii="Arial" w:hAnsi="Arial" w:cs="Arial"/>
        </w:rPr>
        <w:t>Direct Costs</w:t>
      </w:r>
      <w:r w:rsidR="00355538">
        <w:rPr>
          <w:rFonts w:ascii="Arial" w:hAnsi="Arial" w:cs="Arial"/>
        </w:rPr>
        <w:t>:</w:t>
      </w:r>
      <w:r w:rsidRPr="00E76AFE">
        <w:rPr>
          <w:rFonts w:ascii="Arial" w:hAnsi="Arial" w:cs="Arial"/>
        </w:rPr>
        <w:t xml:space="preserve"> costs which are directly related to the delivery of the project activity. These costs are not calculated with the flat rate and the rate is not applied to them. They will be subject to audit and must be capable of being traced back to original actual cost-based transaction. </w:t>
      </w:r>
    </w:p>
    <w:p w14:paraId="36EB748D" w14:textId="7477C76C" w:rsidR="002735D6" w:rsidRPr="00F04FA0" w:rsidRDefault="002735D6" w:rsidP="00D707F6">
      <w:pPr>
        <w:pStyle w:val="ListParagraph"/>
        <w:numPr>
          <w:ilvl w:val="0"/>
          <w:numId w:val="2"/>
        </w:numPr>
        <w:rPr>
          <w:rFonts w:ascii="Arial" w:hAnsi="Arial" w:cs="Arial"/>
        </w:rPr>
      </w:pPr>
      <w:r w:rsidRPr="00F04FA0">
        <w:rPr>
          <w:rFonts w:ascii="Arial" w:hAnsi="Arial" w:cs="Arial"/>
        </w:rPr>
        <w:t>Direct Staff Costs</w:t>
      </w:r>
      <w:r w:rsidR="00355538" w:rsidRPr="00F04FA0">
        <w:rPr>
          <w:rFonts w:ascii="Arial" w:hAnsi="Arial" w:cs="Arial"/>
        </w:rPr>
        <w:t xml:space="preserve">: </w:t>
      </w:r>
      <w:r w:rsidRPr="00F04FA0">
        <w:rPr>
          <w:rFonts w:ascii="Arial" w:hAnsi="Arial" w:cs="Arial"/>
        </w:rPr>
        <w:t xml:space="preserve">the salaries and on costs for those staff engaged in activity directly related to the implementation and management of the project.  This is the cost driver for the flat rate, </w:t>
      </w:r>
      <w:r w:rsidR="000148BB" w:rsidRPr="00F04FA0">
        <w:rPr>
          <w:rFonts w:ascii="Arial" w:hAnsi="Arial" w:cs="Arial"/>
        </w:rPr>
        <w:t>e.g.,</w:t>
      </w:r>
      <w:r w:rsidRPr="00F04FA0">
        <w:rPr>
          <w:rFonts w:ascii="Arial" w:hAnsi="Arial" w:cs="Arial"/>
        </w:rPr>
        <w:t xml:space="preserve"> the set indirect rate % is applied to these costs to calculate the eligible indirect costs. </w:t>
      </w:r>
    </w:p>
    <w:p w14:paraId="7FDE097C" w14:textId="586CC0DC" w:rsidR="002735D6" w:rsidRPr="0055536D" w:rsidRDefault="002735D6" w:rsidP="00D707F6">
      <w:pPr>
        <w:pStyle w:val="ListParagraph"/>
        <w:numPr>
          <w:ilvl w:val="0"/>
          <w:numId w:val="2"/>
        </w:numPr>
        <w:rPr>
          <w:rFonts w:ascii="Arial" w:hAnsi="Arial" w:cs="Arial"/>
        </w:rPr>
      </w:pPr>
      <w:r w:rsidRPr="00F04FA0">
        <w:rPr>
          <w:rFonts w:ascii="Arial" w:hAnsi="Arial" w:cs="Arial"/>
        </w:rPr>
        <w:lastRenderedPageBreak/>
        <w:t>Indirect Costs</w:t>
      </w:r>
      <w:r w:rsidR="00355538" w:rsidRPr="00F04FA0">
        <w:rPr>
          <w:rFonts w:ascii="Arial" w:hAnsi="Arial" w:cs="Arial"/>
        </w:rPr>
        <w:t xml:space="preserve">: </w:t>
      </w:r>
      <w:r w:rsidRPr="00F04FA0">
        <w:rPr>
          <w:rFonts w:ascii="Arial" w:hAnsi="Arial" w:cs="Arial"/>
        </w:rPr>
        <w:t>a figure arrived at by applying the set flat rate % to the direct staff costs, this figure will then be used to cover those costs which are not or cannot be connected directly to the project activity and an exact actual cost cannot be attributed to the project.</w:t>
      </w:r>
    </w:p>
    <w:p w14:paraId="046A221C" w14:textId="39CBAC97" w:rsidR="002735D6" w:rsidRDefault="00355538" w:rsidP="00355538">
      <w:pPr>
        <w:spacing w:after="0" w:line="240" w:lineRule="auto"/>
        <w:ind w:left="720" w:hanging="720"/>
        <w:rPr>
          <w:rFonts w:ascii="Arial" w:hAnsi="Arial"/>
        </w:rPr>
      </w:pPr>
      <w:r>
        <w:rPr>
          <w:rFonts w:ascii="Arial" w:hAnsi="Arial"/>
        </w:rPr>
        <w:t>1</w:t>
      </w:r>
      <w:r w:rsidR="008F77D5">
        <w:rPr>
          <w:rFonts w:ascii="Arial" w:hAnsi="Arial"/>
        </w:rPr>
        <w:t>5</w:t>
      </w:r>
      <w:r>
        <w:rPr>
          <w:rFonts w:ascii="Arial" w:hAnsi="Arial"/>
        </w:rPr>
        <w:t>.5</w:t>
      </w:r>
      <w:r>
        <w:rPr>
          <w:rFonts w:ascii="Arial" w:hAnsi="Arial"/>
        </w:rPr>
        <w:tab/>
      </w:r>
      <w:r w:rsidR="002735D6" w:rsidRPr="00E76AFE">
        <w:rPr>
          <w:rFonts w:ascii="Arial" w:hAnsi="Arial"/>
        </w:rPr>
        <w:t xml:space="preserve">Indirect costs are calculated by applying the set flat rate % to direct eligible staff costs. Using the flat rate applicants </w:t>
      </w:r>
      <w:r w:rsidR="002735D6" w:rsidRPr="00E76AFE">
        <w:rPr>
          <w:rFonts w:ascii="Arial" w:hAnsi="Arial"/>
          <w:i/>
        </w:rPr>
        <w:t xml:space="preserve">only </w:t>
      </w:r>
      <w:r w:rsidR="002735D6" w:rsidRPr="00E76AFE">
        <w:rPr>
          <w:rFonts w:ascii="Arial" w:hAnsi="Arial"/>
        </w:rPr>
        <w:t>need list direct staff costs and other direct costs</w:t>
      </w:r>
      <w:r w:rsidR="003462B8">
        <w:rPr>
          <w:rFonts w:ascii="Arial" w:hAnsi="Arial"/>
        </w:rPr>
        <w:t>.</w:t>
      </w:r>
      <w:r w:rsidR="001C3455">
        <w:rPr>
          <w:rFonts w:ascii="Arial" w:hAnsi="Arial"/>
        </w:rPr>
        <w:t xml:space="preserve"> </w:t>
      </w:r>
      <w:r w:rsidR="002735D6" w:rsidRPr="00E76AFE">
        <w:rPr>
          <w:rFonts w:ascii="Arial" w:hAnsi="Arial"/>
          <w:i/>
        </w:rPr>
        <w:t>There would be no need to identify, cost out or list indirect costs.</w:t>
      </w:r>
      <w:r w:rsidR="002735D6" w:rsidRPr="00E76AFE">
        <w:rPr>
          <w:rFonts w:ascii="Arial" w:hAnsi="Arial"/>
        </w:rPr>
        <w:t xml:space="preserve"> They would be included in a cost schedule as:</w:t>
      </w:r>
    </w:p>
    <w:p w14:paraId="76AB2D36" w14:textId="77777777" w:rsidR="002735D6" w:rsidRPr="00E76AFE" w:rsidRDefault="002735D6" w:rsidP="002735D6">
      <w:pPr>
        <w:spacing w:after="0" w:line="240" w:lineRule="auto"/>
        <w:ind w:left="720" w:hanging="720"/>
        <w:rPr>
          <w:rFonts w:ascii="Arial" w:hAnsi="Arial"/>
        </w:rPr>
      </w:pPr>
    </w:p>
    <w:p w14:paraId="1FF274CB" w14:textId="77777777" w:rsidR="002735D6" w:rsidRPr="00E76AFE" w:rsidRDefault="002735D6" w:rsidP="002735D6">
      <w:pPr>
        <w:ind w:firstLine="720"/>
        <w:jc w:val="both"/>
        <w:rPr>
          <w:rFonts w:ascii="Arial" w:hAnsi="Arial"/>
          <w:b/>
          <w:bCs/>
        </w:rPr>
      </w:pPr>
      <w:r w:rsidRPr="00E76AFE">
        <w:rPr>
          <w:rFonts w:ascii="Arial" w:hAnsi="Arial"/>
          <w:b/>
          <w:bCs/>
        </w:rPr>
        <w:t>Indirect costs (£) = Direct Staff Costs x set indirect rate%</w:t>
      </w:r>
      <w:r w:rsidRPr="00E76AFE">
        <w:rPr>
          <w:rFonts w:ascii="Arial" w:hAnsi="Arial"/>
          <w:b/>
          <w:bCs/>
        </w:rPr>
        <w:tab/>
      </w:r>
    </w:p>
    <w:p w14:paraId="61F01A72" w14:textId="60507426" w:rsidR="002735D6" w:rsidRPr="00E76AFE" w:rsidRDefault="00BC7606" w:rsidP="00BC7606">
      <w:pPr>
        <w:spacing w:after="0" w:line="240" w:lineRule="auto"/>
        <w:ind w:left="720" w:hanging="720"/>
        <w:rPr>
          <w:rFonts w:ascii="Arial" w:hAnsi="Arial"/>
        </w:rPr>
      </w:pPr>
      <w:r>
        <w:rPr>
          <w:rFonts w:ascii="Arial" w:hAnsi="Arial"/>
        </w:rPr>
        <w:t>1</w:t>
      </w:r>
      <w:r w:rsidR="008F77D5">
        <w:rPr>
          <w:rFonts w:ascii="Arial" w:hAnsi="Arial"/>
        </w:rPr>
        <w:t>5</w:t>
      </w:r>
      <w:r>
        <w:rPr>
          <w:rFonts w:ascii="Arial" w:hAnsi="Arial"/>
        </w:rPr>
        <w:t>.6</w:t>
      </w:r>
      <w:r>
        <w:rPr>
          <w:rFonts w:ascii="Arial" w:hAnsi="Arial"/>
        </w:rPr>
        <w:tab/>
      </w:r>
      <w:r w:rsidR="002735D6" w:rsidRPr="00E76AFE">
        <w:rPr>
          <w:rFonts w:ascii="Arial" w:hAnsi="Arial"/>
        </w:rPr>
        <w:t>In such cases the actual indirect costs are not auditable at all – only the direct staff costs (used to calculate the indirect costs) and the other direct costs would be checked and verified.</w:t>
      </w:r>
    </w:p>
    <w:p w14:paraId="53337EB3" w14:textId="77777777" w:rsidR="002735D6" w:rsidRDefault="002735D6" w:rsidP="002735D6">
      <w:pPr>
        <w:widowControl w:val="0"/>
        <w:autoSpaceDE w:val="0"/>
        <w:autoSpaceDN w:val="0"/>
        <w:spacing w:after="0" w:line="240" w:lineRule="auto"/>
        <w:contextualSpacing/>
        <w:rPr>
          <w:rFonts w:ascii="Arial" w:eastAsia="Times New Roman" w:hAnsi="Arial" w:cs="Arial"/>
          <w:b/>
          <w:bCs/>
          <w:i/>
          <w:iCs/>
          <w:lang w:val="en-US" w:eastAsia="en-GB"/>
        </w:rPr>
      </w:pPr>
    </w:p>
    <w:p w14:paraId="79907975" w14:textId="42DD1868" w:rsidR="002735D6" w:rsidRDefault="00BC7606" w:rsidP="002735D6">
      <w:pPr>
        <w:widowControl w:val="0"/>
        <w:autoSpaceDE w:val="0"/>
        <w:autoSpaceDN w:val="0"/>
        <w:spacing w:after="0" w:line="240" w:lineRule="auto"/>
        <w:ind w:left="720" w:hanging="720"/>
        <w:contextualSpacing/>
        <w:rPr>
          <w:rFonts w:ascii="Arial" w:hAnsi="Arial"/>
        </w:rPr>
      </w:pPr>
      <w:r w:rsidRPr="00BC7606">
        <w:rPr>
          <w:rFonts w:ascii="Arial" w:eastAsia="Times New Roman" w:hAnsi="Arial" w:cs="Arial"/>
          <w:lang w:val="en-US" w:eastAsia="en-GB"/>
        </w:rPr>
        <w:t>1</w:t>
      </w:r>
      <w:r w:rsidR="008F77D5">
        <w:rPr>
          <w:rFonts w:ascii="Arial" w:eastAsia="Times New Roman" w:hAnsi="Arial" w:cs="Arial"/>
          <w:lang w:val="en-US" w:eastAsia="en-GB"/>
        </w:rPr>
        <w:t>5</w:t>
      </w:r>
      <w:r w:rsidRPr="00BC7606">
        <w:rPr>
          <w:rFonts w:ascii="Arial" w:eastAsia="Times New Roman" w:hAnsi="Arial" w:cs="Arial"/>
          <w:lang w:val="en-US" w:eastAsia="en-GB"/>
        </w:rPr>
        <w:t>.7</w:t>
      </w:r>
      <w:r w:rsidRPr="00BC7606">
        <w:rPr>
          <w:rFonts w:ascii="Arial" w:eastAsia="Times New Roman" w:hAnsi="Arial" w:cs="Arial"/>
          <w:lang w:val="en-US" w:eastAsia="en-GB"/>
        </w:rPr>
        <w:tab/>
      </w:r>
      <w:r w:rsidR="002735D6" w:rsidRPr="00BC7606">
        <w:rPr>
          <w:rFonts w:ascii="Arial" w:eastAsia="Times New Roman" w:hAnsi="Arial" w:cs="Arial"/>
          <w:lang w:val="en-US" w:eastAsia="en-GB"/>
        </w:rPr>
        <w:t>Ineligible Revenue</w:t>
      </w:r>
      <w:r w:rsidR="002735D6">
        <w:rPr>
          <w:rFonts w:ascii="Arial" w:eastAsia="Times New Roman" w:hAnsi="Arial" w:cs="Arial"/>
          <w:lang w:val="en-US" w:eastAsia="en-GB"/>
        </w:rPr>
        <w:t xml:space="preserve">: </w:t>
      </w:r>
      <w:r w:rsidR="002735D6" w:rsidRPr="00643835">
        <w:rPr>
          <w:rFonts w:ascii="Arial" w:hAnsi="Arial"/>
        </w:rPr>
        <w:t>The following individual revenue costs are not eligible for support:</w:t>
      </w:r>
    </w:p>
    <w:p w14:paraId="369074F1" w14:textId="77777777" w:rsidR="002735D6" w:rsidRPr="00643835" w:rsidRDefault="002735D6" w:rsidP="002735D6">
      <w:pPr>
        <w:widowControl w:val="0"/>
        <w:autoSpaceDE w:val="0"/>
        <w:autoSpaceDN w:val="0"/>
        <w:spacing w:after="0" w:line="240" w:lineRule="auto"/>
        <w:ind w:left="720" w:hanging="720"/>
        <w:contextualSpacing/>
        <w:rPr>
          <w:rFonts w:ascii="Arial" w:eastAsia="Times New Roman" w:hAnsi="Arial" w:cs="Arial"/>
          <w:lang w:val="en-US" w:eastAsia="en-GB"/>
        </w:rPr>
      </w:pPr>
    </w:p>
    <w:p w14:paraId="5EE309B5" w14:textId="1B644EC4" w:rsidR="002735D6" w:rsidRPr="00F04FA0" w:rsidRDefault="002735D6" w:rsidP="00D707F6">
      <w:pPr>
        <w:pStyle w:val="ListParagraph"/>
        <w:numPr>
          <w:ilvl w:val="0"/>
          <w:numId w:val="2"/>
        </w:numPr>
        <w:rPr>
          <w:rFonts w:ascii="Arial" w:hAnsi="Arial" w:cs="Arial"/>
        </w:rPr>
      </w:pPr>
      <w:r w:rsidRPr="00F04FA0">
        <w:rPr>
          <w:rFonts w:ascii="Arial" w:hAnsi="Arial" w:cs="Arial"/>
        </w:rPr>
        <w:t xml:space="preserve">Notional costs, </w:t>
      </w:r>
      <w:r w:rsidR="000148BB" w:rsidRPr="00F04FA0">
        <w:rPr>
          <w:rFonts w:ascii="Arial" w:hAnsi="Arial" w:cs="Arial"/>
        </w:rPr>
        <w:t>e.g.,</w:t>
      </w:r>
      <w:r w:rsidRPr="00F04FA0">
        <w:rPr>
          <w:rFonts w:ascii="Arial" w:hAnsi="Arial" w:cs="Arial"/>
        </w:rPr>
        <w:t xml:space="preserve"> where an item usually retails at £x, but the applicant buys it cheaper but claims the difference between the price paid and £x.</w:t>
      </w:r>
    </w:p>
    <w:p w14:paraId="46F83B85"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Payments for activity of a political or religious nature</w:t>
      </w:r>
    </w:p>
    <w:p w14:paraId="3C104432"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Payments for works or activities which the applicant, delivery partner or end beneficiary has a statutory duty to undertake, or that are fully funded by other sources</w:t>
      </w:r>
    </w:p>
    <w:p w14:paraId="5714F4B3" w14:textId="59B480B7" w:rsidR="002735D6" w:rsidRPr="00F04FA0" w:rsidRDefault="002735D6" w:rsidP="00D707F6">
      <w:pPr>
        <w:pStyle w:val="ListParagraph"/>
        <w:numPr>
          <w:ilvl w:val="0"/>
          <w:numId w:val="2"/>
        </w:numPr>
        <w:rPr>
          <w:rFonts w:ascii="Arial" w:hAnsi="Arial" w:cs="Arial"/>
        </w:rPr>
      </w:pPr>
      <w:r w:rsidRPr="00F04FA0">
        <w:rPr>
          <w:rFonts w:ascii="Arial" w:hAnsi="Arial" w:cs="Arial"/>
        </w:rPr>
        <w:t xml:space="preserve">Provisions, </w:t>
      </w:r>
      <w:r w:rsidR="000148BB" w:rsidRPr="00F04FA0">
        <w:rPr>
          <w:rFonts w:ascii="Arial" w:hAnsi="Arial" w:cs="Arial"/>
        </w:rPr>
        <w:t>e.g.,</w:t>
      </w:r>
      <w:r w:rsidRPr="00F04FA0">
        <w:rPr>
          <w:rFonts w:ascii="Arial" w:hAnsi="Arial" w:cs="Arial"/>
        </w:rPr>
        <w:t xml:space="preserve"> money set aside to pay for future events </w:t>
      </w:r>
      <w:r w:rsidR="000148BB" w:rsidRPr="00F04FA0">
        <w:rPr>
          <w:rFonts w:ascii="Arial" w:hAnsi="Arial" w:cs="Arial"/>
        </w:rPr>
        <w:t>e.g.,</w:t>
      </w:r>
      <w:r w:rsidRPr="00F04FA0">
        <w:rPr>
          <w:rFonts w:ascii="Arial" w:hAnsi="Arial" w:cs="Arial"/>
        </w:rPr>
        <w:t xml:space="preserve"> sink funds</w:t>
      </w:r>
    </w:p>
    <w:p w14:paraId="59FC5C41"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Contingencies and contingent liabilities</w:t>
      </w:r>
    </w:p>
    <w:p w14:paraId="416C12AA"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 xml:space="preserve">Dividends </w:t>
      </w:r>
    </w:p>
    <w:p w14:paraId="6A14D08F"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Interest or service charges arising on debt incurred including finance leases, hire purchase, and credit arrangements</w:t>
      </w:r>
    </w:p>
    <w:p w14:paraId="3B91DEC2"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Costs resulting from the deferral of payments to creditors</w:t>
      </w:r>
    </w:p>
    <w:p w14:paraId="661B8606"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Costs involved in winding up of a company</w:t>
      </w:r>
    </w:p>
    <w:p w14:paraId="48F1944F"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 xml:space="preserve">Payments for litigation, unfair </w:t>
      </w:r>
      <w:proofErr w:type="gramStart"/>
      <w:r w:rsidRPr="00F04FA0">
        <w:rPr>
          <w:rFonts w:ascii="Arial" w:hAnsi="Arial" w:cs="Arial"/>
        </w:rPr>
        <w:t>dismissal</w:t>
      </w:r>
      <w:proofErr w:type="gramEnd"/>
      <w:r w:rsidRPr="00F04FA0">
        <w:rPr>
          <w:rFonts w:ascii="Arial" w:hAnsi="Arial" w:cs="Arial"/>
        </w:rPr>
        <w:t xml:space="preserve"> or other compensation</w:t>
      </w:r>
    </w:p>
    <w:p w14:paraId="76D36566"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Costs incurred by individuals in setting up and contributing to private pension schemes</w:t>
      </w:r>
    </w:p>
    <w:p w14:paraId="26E5FDEE"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Compensation for loss of office</w:t>
      </w:r>
    </w:p>
    <w:p w14:paraId="604B614F"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Payments for gifts and donations</w:t>
      </w:r>
    </w:p>
    <w:p w14:paraId="46E10956"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Entertainment apart from food and non-alcoholic drink provided for a meeting</w:t>
      </w:r>
    </w:p>
    <w:p w14:paraId="423008D3"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Statutory fines and penalties</w:t>
      </w:r>
    </w:p>
    <w:p w14:paraId="47CF65A9"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Criminal fines and damages</w:t>
      </w:r>
    </w:p>
    <w:p w14:paraId="7A7BEA85" w14:textId="77777777" w:rsidR="002735D6" w:rsidRPr="00F04FA0" w:rsidRDefault="002735D6" w:rsidP="00D707F6">
      <w:pPr>
        <w:pStyle w:val="ListParagraph"/>
        <w:numPr>
          <w:ilvl w:val="0"/>
          <w:numId w:val="2"/>
        </w:numPr>
        <w:rPr>
          <w:rFonts w:ascii="Arial" w:hAnsi="Arial" w:cs="Arial"/>
        </w:rPr>
      </w:pPr>
      <w:r w:rsidRPr="00F04FA0">
        <w:rPr>
          <w:rFonts w:ascii="Arial" w:hAnsi="Arial" w:cs="Arial"/>
        </w:rPr>
        <w:t>Legal expenses in respect of litigation</w:t>
      </w:r>
    </w:p>
    <w:p w14:paraId="14082C34" w14:textId="4E4B9B8E" w:rsidR="002735D6" w:rsidRDefault="0055536D" w:rsidP="0055536D">
      <w:pPr>
        <w:spacing w:after="0" w:line="240" w:lineRule="auto"/>
        <w:ind w:left="720" w:hanging="720"/>
        <w:rPr>
          <w:rFonts w:ascii="Arial" w:hAnsi="Arial" w:cs="Arial"/>
          <w:bCs/>
        </w:rPr>
      </w:pPr>
      <w:r>
        <w:rPr>
          <w:rFonts w:ascii="Arial" w:hAnsi="Arial" w:cs="Arial"/>
          <w:bCs/>
        </w:rPr>
        <w:t>1</w:t>
      </w:r>
      <w:r w:rsidR="008F77D5">
        <w:rPr>
          <w:rFonts w:ascii="Arial" w:hAnsi="Arial" w:cs="Arial"/>
          <w:bCs/>
        </w:rPr>
        <w:t>5</w:t>
      </w:r>
      <w:r>
        <w:rPr>
          <w:rFonts w:ascii="Arial" w:hAnsi="Arial" w:cs="Arial"/>
          <w:bCs/>
        </w:rPr>
        <w:t>.8</w:t>
      </w:r>
      <w:r>
        <w:rPr>
          <w:rFonts w:ascii="Arial" w:hAnsi="Arial" w:cs="Arial"/>
          <w:bCs/>
        </w:rPr>
        <w:tab/>
      </w:r>
      <w:r w:rsidR="002735D6" w:rsidRPr="00643835">
        <w:rPr>
          <w:rFonts w:ascii="Arial" w:hAnsi="Arial" w:cs="Arial"/>
          <w:bCs/>
        </w:rPr>
        <w:t>This list is not exclusive and any queries about the eligibility of costs not included in the</w:t>
      </w:r>
      <w:r>
        <w:rPr>
          <w:rFonts w:ascii="Arial" w:hAnsi="Arial" w:cs="Arial"/>
          <w:bCs/>
        </w:rPr>
        <w:t xml:space="preserve"> </w:t>
      </w:r>
      <w:r w:rsidR="002735D6" w:rsidRPr="00643835">
        <w:rPr>
          <w:rFonts w:ascii="Arial" w:hAnsi="Arial" w:cs="Arial"/>
          <w:bCs/>
        </w:rPr>
        <w:t xml:space="preserve">list above should be addressed to </w:t>
      </w:r>
      <w:r w:rsidR="002735D6">
        <w:rPr>
          <w:rFonts w:ascii="Arial" w:hAnsi="Arial" w:cs="Arial"/>
          <w:bCs/>
        </w:rPr>
        <w:t>NTCA</w:t>
      </w:r>
    </w:p>
    <w:p w14:paraId="78824844" w14:textId="77777777" w:rsidR="008F77D5" w:rsidRPr="002735D6" w:rsidRDefault="008F77D5" w:rsidP="002735D6">
      <w:pPr>
        <w:widowControl w:val="0"/>
        <w:autoSpaceDE w:val="0"/>
        <w:autoSpaceDN w:val="0"/>
        <w:spacing w:after="0" w:line="240" w:lineRule="auto"/>
        <w:rPr>
          <w:rFonts w:ascii="Arial" w:eastAsia="Arial" w:hAnsi="Arial" w:cs="Arial"/>
          <w:lang w:val="en-US"/>
        </w:rPr>
      </w:pPr>
    </w:p>
    <w:p w14:paraId="69ED5255" w14:textId="7B7B695B" w:rsidR="00D80A66" w:rsidRPr="00BC7606" w:rsidRDefault="008F77D5" w:rsidP="008F77D5">
      <w:pPr>
        <w:widowControl w:val="0"/>
        <w:autoSpaceDE w:val="0"/>
        <w:autoSpaceDN w:val="0"/>
        <w:spacing w:after="0" w:line="240" w:lineRule="auto"/>
        <w:contextualSpacing/>
        <w:rPr>
          <w:rFonts w:ascii="Arial" w:eastAsia="Times New Roman" w:hAnsi="Arial" w:cs="Arial"/>
          <w:b/>
          <w:bCs/>
          <w:sz w:val="24"/>
          <w:szCs w:val="24"/>
          <w:lang w:val="en-US" w:eastAsia="en-GB"/>
        </w:rPr>
      </w:pPr>
      <w:bookmarkStart w:id="13" w:name="_Toc118354450"/>
      <w:r>
        <w:rPr>
          <w:rFonts w:ascii="Arial" w:eastAsia="Times New Roman" w:hAnsi="Arial" w:cs="Arial"/>
          <w:b/>
          <w:bCs/>
          <w:sz w:val="24"/>
          <w:szCs w:val="24"/>
          <w:lang w:val="en-US" w:eastAsia="en-GB"/>
        </w:rPr>
        <w:t>16</w:t>
      </w:r>
      <w:r>
        <w:rPr>
          <w:rFonts w:ascii="Arial" w:eastAsia="Times New Roman" w:hAnsi="Arial" w:cs="Arial"/>
          <w:b/>
          <w:bCs/>
          <w:sz w:val="24"/>
          <w:szCs w:val="24"/>
          <w:lang w:val="en-US" w:eastAsia="en-GB"/>
        </w:rPr>
        <w:tab/>
      </w:r>
      <w:r w:rsidR="00D80A66" w:rsidRPr="00BC7606">
        <w:rPr>
          <w:rFonts w:ascii="Arial" w:eastAsia="Times New Roman" w:hAnsi="Arial" w:cs="Arial"/>
          <w:b/>
          <w:bCs/>
          <w:sz w:val="24"/>
          <w:szCs w:val="24"/>
          <w:lang w:val="en-US" w:eastAsia="en-GB"/>
        </w:rPr>
        <w:t>Document Retention</w:t>
      </w:r>
    </w:p>
    <w:p w14:paraId="1DDD0D76" w14:textId="77777777" w:rsidR="00D80A66" w:rsidRPr="00D80A66" w:rsidRDefault="00D80A66" w:rsidP="0036232B">
      <w:pPr>
        <w:widowControl w:val="0"/>
        <w:autoSpaceDE w:val="0"/>
        <w:autoSpaceDN w:val="0"/>
        <w:spacing w:after="0" w:line="240" w:lineRule="auto"/>
        <w:ind w:left="284"/>
        <w:contextualSpacing/>
        <w:jc w:val="both"/>
        <w:rPr>
          <w:rFonts w:ascii="Arial" w:eastAsia="Times New Roman" w:hAnsi="Arial" w:cs="Arial"/>
          <w:b/>
          <w:bCs/>
          <w:sz w:val="24"/>
          <w:szCs w:val="24"/>
          <w:lang w:val="en-US" w:eastAsia="en-GB"/>
        </w:rPr>
      </w:pPr>
    </w:p>
    <w:p w14:paraId="1DB47C04" w14:textId="4553482C" w:rsidR="00921344" w:rsidRPr="00921344" w:rsidRDefault="007F20CD" w:rsidP="007F20CD">
      <w:pPr>
        <w:spacing w:after="0" w:line="240" w:lineRule="auto"/>
        <w:ind w:left="720" w:hanging="720"/>
        <w:rPr>
          <w:rFonts w:ascii="Arial" w:eastAsia="Arial" w:hAnsi="Arial" w:cs="Arial"/>
          <w:lang w:val="en-US"/>
        </w:rPr>
      </w:pPr>
      <w:r>
        <w:rPr>
          <w:rFonts w:ascii="Arial" w:eastAsia="Arial" w:hAnsi="Arial" w:cs="Arial"/>
          <w:lang w:val="en-US"/>
        </w:rPr>
        <w:t>1</w:t>
      </w:r>
      <w:r w:rsidR="008F77D5">
        <w:rPr>
          <w:rFonts w:ascii="Arial" w:eastAsia="Arial" w:hAnsi="Arial" w:cs="Arial"/>
          <w:lang w:val="en-US"/>
        </w:rPr>
        <w:t>6</w:t>
      </w:r>
      <w:r>
        <w:rPr>
          <w:rFonts w:ascii="Arial" w:eastAsia="Arial" w:hAnsi="Arial" w:cs="Arial"/>
          <w:lang w:val="en-US"/>
        </w:rPr>
        <w:t>.1</w:t>
      </w:r>
      <w:r>
        <w:rPr>
          <w:rFonts w:ascii="Arial" w:eastAsia="Arial" w:hAnsi="Arial" w:cs="Arial"/>
          <w:lang w:val="en-US"/>
        </w:rPr>
        <w:tab/>
      </w:r>
      <w:r w:rsidR="00D80A66" w:rsidRPr="00B00EE3">
        <w:rPr>
          <w:rFonts w:ascii="Arial" w:eastAsia="Arial" w:hAnsi="Arial" w:cs="Arial"/>
          <w:lang w:val="en-US"/>
        </w:rPr>
        <w:t>Project applicants need to ensure robust systems are in place to record and retain</w:t>
      </w:r>
      <w:r w:rsidR="0036232B">
        <w:rPr>
          <w:rFonts w:ascii="Arial" w:eastAsia="Arial" w:hAnsi="Arial" w:cs="Arial"/>
          <w:lang w:val="en-US"/>
        </w:rPr>
        <w:t xml:space="preserve"> </w:t>
      </w:r>
      <w:r w:rsidR="00D80A66" w:rsidRPr="00B00EE3">
        <w:rPr>
          <w:rFonts w:ascii="Arial" w:eastAsia="Arial" w:hAnsi="Arial" w:cs="Arial"/>
          <w:lang w:val="en-US"/>
        </w:rPr>
        <w:t xml:space="preserve">project records.  This includes but is not limited to financial and procurement information, output and outcomes data, publicity and communication material and evidence of compliance with subsidy control.  The UK Government has not yet defined a retention period. Projects are therefore recommended to retain project documentation for a period of at least 6 full financial years following the closure of the </w:t>
      </w:r>
      <w:r w:rsidR="00D80A66" w:rsidRPr="00B00EE3">
        <w:rPr>
          <w:rFonts w:ascii="Arial" w:eastAsia="Arial" w:hAnsi="Arial" w:cs="Arial"/>
          <w:lang w:val="en-US"/>
        </w:rPr>
        <w:lastRenderedPageBreak/>
        <w:t>UKSPF Programme to the satisfaction of the UK Government, currently estimated to be by December 2025.  This would translate as a document retention period ending no earlier than March 2032. Project applicants are advised</w:t>
      </w:r>
      <w:r w:rsidR="00921A6C">
        <w:rPr>
          <w:rFonts w:ascii="Arial" w:eastAsia="Arial" w:hAnsi="Arial" w:cs="Arial"/>
          <w:lang w:val="en-US"/>
        </w:rPr>
        <w:t xml:space="preserve"> </w:t>
      </w:r>
      <w:r w:rsidR="00D80A66" w:rsidRPr="00B00EE3">
        <w:rPr>
          <w:rFonts w:ascii="Arial" w:eastAsia="Arial" w:hAnsi="Arial" w:cs="Arial"/>
          <w:lang w:val="en-US"/>
        </w:rPr>
        <w:t xml:space="preserve">not to destroy any project records without seeking permission of the </w:t>
      </w:r>
      <w:r w:rsidR="00C140B1">
        <w:rPr>
          <w:rFonts w:ascii="Arial" w:eastAsia="Arial" w:hAnsi="Arial" w:cs="Arial"/>
          <w:lang w:val="en-US"/>
        </w:rPr>
        <w:t>Combined Authority</w:t>
      </w:r>
      <w:r w:rsidR="00C140B1" w:rsidRPr="00B00EE3">
        <w:rPr>
          <w:rFonts w:ascii="Arial" w:eastAsia="Arial" w:hAnsi="Arial" w:cs="Arial"/>
          <w:lang w:val="en-US"/>
        </w:rPr>
        <w:t xml:space="preserve"> </w:t>
      </w:r>
      <w:r w:rsidR="00D80A66" w:rsidRPr="00B00EE3">
        <w:rPr>
          <w:rFonts w:ascii="Arial" w:eastAsia="Arial" w:hAnsi="Arial" w:cs="Arial"/>
          <w:lang w:val="en-US"/>
        </w:rPr>
        <w:t>first.</w:t>
      </w:r>
      <w:bookmarkEnd w:id="13"/>
    </w:p>
    <w:p w14:paraId="7EC6FC0C" w14:textId="0EDD060D" w:rsidR="002735D6" w:rsidRPr="0074741D" w:rsidRDefault="00512F8B" w:rsidP="002735D6">
      <w:pPr>
        <w:spacing w:after="0" w:line="240" w:lineRule="auto"/>
        <w:ind w:left="720" w:hanging="720"/>
        <w:rPr>
          <w:rFonts w:ascii="Arial" w:hAnsi="Arial"/>
        </w:rPr>
      </w:pPr>
      <w:r w:rsidRPr="00512F8B">
        <w:rPr>
          <w:rFonts w:ascii="Arial" w:hAnsi="Arial"/>
        </w:rPr>
        <w:t xml:space="preserve"> </w:t>
      </w:r>
    </w:p>
    <w:p w14:paraId="4C5039ED" w14:textId="49E70880" w:rsidR="006B25F0" w:rsidRPr="008F77D5" w:rsidRDefault="008F77D5" w:rsidP="008F77D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17</w:t>
      </w:r>
      <w:r>
        <w:rPr>
          <w:rFonts w:ascii="Arial" w:eastAsia="Times New Roman" w:hAnsi="Arial" w:cs="Arial"/>
          <w:b/>
          <w:bCs/>
          <w:sz w:val="24"/>
          <w:szCs w:val="24"/>
          <w:lang w:val="en-US" w:eastAsia="en-GB"/>
        </w:rPr>
        <w:tab/>
      </w:r>
      <w:r w:rsidR="006B25F0" w:rsidRPr="008F77D5">
        <w:rPr>
          <w:rFonts w:ascii="Arial" w:eastAsia="Times New Roman" w:hAnsi="Arial" w:cs="Arial"/>
          <w:b/>
          <w:bCs/>
          <w:sz w:val="24"/>
          <w:szCs w:val="24"/>
          <w:lang w:val="en-US" w:eastAsia="en-GB"/>
        </w:rPr>
        <w:t>Delivery Partners</w:t>
      </w:r>
    </w:p>
    <w:p w14:paraId="3B073371" w14:textId="77777777" w:rsidR="001F569C" w:rsidRPr="001F569C" w:rsidRDefault="001F569C" w:rsidP="001F569C">
      <w:pPr>
        <w:widowControl w:val="0"/>
        <w:autoSpaceDE w:val="0"/>
        <w:autoSpaceDN w:val="0"/>
        <w:spacing w:after="0" w:line="240" w:lineRule="auto"/>
        <w:contextualSpacing/>
        <w:rPr>
          <w:rFonts w:ascii="Arial" w:eastAsia="Times New Roman" w:hAnsi="Arial" w:cs="Arial"/>
          <w:b/>
          <w:bCs/>
          <w:i/>
          <w:iCs/>
          <w:lang w:val="en-US" w:eastAsia="en-GB"/>
        </w:rPr>
      </w:pPr>
    </w:p>
    <w:p w14:paraId="02BFC198" w14:textId="4EBA13B1" w:rsidR="00E46A41" w:rsidRDefault="007F20CD" w:rsidP="007F20CD">
      <w:pPr>
        <w:spacing w:after="0" w:line="240" w:lineRule="auto"/>
        <w:ind w:left="720" w:hanging="720"/>
        <w:rPr>
          <w:rFonts w:ascii="Arial" w:hAnsi="Arial"/>
        </w:rPr>
      </w:pPr>
      <w:r>
        <w:rPr>
          <w:rFonts w:ascii="Arial" w:hAnsi="Arial"/>
        </w:rPr>
        <w:t>1</w:t>
      </w:r>
      <w:r w:rsidR="008F77D5">
        <w:rPr>
          <w:rFonts w:ascii="Arial" w:hAnsi="Arial"/>
        </w:rPr>
        <w:t>7</w:t>
      </w:r>
      <w:r>
        <w:rPr>
          <w:rFonts w:ascii="Arial" w:hAnsi="Arial"/>
        </w:rPr>
        <w:t>.1</w:t>
      </w:r>
      <w:r>
        <w:rPr>
          <w:rFonts w:ascii="Arial" w:hAnsi="Arial"/>
        </w:rPr>
        <w:tab/>
      </w:r>
      <w:r w:rsidR="001F569C" w:rsidRPr="001F569C">
        <w:rPr>
          <w:rFonts w:ascii="Arial" w:hAnsi="Arial"/>
        </w:rPr>
        <w:t xml:space="preserve">NTCA </w:t>
      </w:r>
      <w:r w:rsidR="006B25F0" w:rsidRPr="006B25F0">
        <w:rPr>
          <w:rFonts w:ascii="Arial" w:hAnsi="Arial"/>
        </w:rPr>
        <w:t xml:space="preserve">encourages collaborative projects and the inclusion of delivery partners within project applications. Delivery partners are defined as organisations that support the lead applicant to deliver the project and actively undertake activity and incur expenditure on behalf of the project. All delivery partner costs should be included in the project </w:t>
      </w:r>
      <w:r w:rsidR="001C3455" w:rsidRPr="006B25F0">
        <w:rPr>
          <w:rFonts w:ascii="Arial" w:hAnsi="Arial"/>
        </w:rPr>
        <w:t>budget,</w:t>
      </w:r>
      <w:r w:rsidR="006B25F0" w:rsidRPr="006B25F0">
        <w:rPr>
          <w:rFonts w:ascii="Arial" w:hAnsi="Arial"/>
        </w:rPr>
        <w:t xml:space="preserve"> and it is expected that delivery partner expenditure will be claimed at cost, in line with agreed processes set out in the business case. </w:t>
      </w:r>
    </w:p>
    <w:p w14:paraId="50C54EAA" w14:textId="77777777" w:rsidR="005B54E5" w:rsidRPr="006B25F0" w:rsidRDefault="005B54E5" w:rsidP="005B54E5">
      <w:pPr>
        <w:spacing w:after="0" w:line="240" w:lineRule="auto"/>
        <w:ind w:left="720" w:hanging="720"/>
        <w:rPr>
          <w:rFonts w:ascii="Arial" w:hAnsi="Arial"/>
        </w:rPr>
      </w:pPr>
    </w:p>
    <w:p w14:paraId="5496FEE3" w14:textId="15EB144F" w:rsidR="006B25F0" w:rsidRDefault="007F20CD" w:rsidP="007F20CD">
      <w:pPr>
        <w:spacing w:after="0" w:line="240" w:lineRule="auto"/>
        <w:ind w:left="720" w:hanging="720"/>
        <w:rPr>
          <w:rFonts w:ascii="Arial" w:hAnsi="Arial"/>
        </w:rPr>
      </w:pPr>
      <w:r>
        <w:rPr>
          <w:rFonts w:ascii="Arial" w:hAnsi="Arial"/>
        </w:rPr>
        <w:t>1</w:t>
      </w:r>
      <w:r w:rsidR="008F77D5">
        <w:rPr>
          <w:rFonts w:ascii="Arial" w:hAnsi="Arial"/>
        </w:rPr>
        <w:t>7</w:t>
      </w:r>
      <w:r>
        <w:rPr>
          <w:rFonts w:ascii="Arial" w:hAnsi="Arial"/>
        </w:rPr>
        <w:t>.2</w:t>
      </w:r>
      <w:r>
        <w:rPr>
          <w:rFonts w:ascii="Arial" w:hAnsi="Arial"/>
        </w:rPr>
        <w:tab/>
      </w:r>
      <w:r w:rsidR="006B25F0" w:rsidRPr="006B25F0">
        <w:rPr>
          <w:rFonts w:ascii="Arial" w:hAnsi="Arial"/>
        </w:rPr>
        <w:t xml:space="preserve">It is the responsibility of the lead applicant to verify costs and outputs of delivery partners. Lead applicants are expected to enter into partnership agreements or SLAs with delivery partners that pass down the terms and conditions of the </w:t>
      </w:r>
      <w:r w:rsidR="001F569C" w:rsidRPr="001F569C">
        <w:rPr>
          <w:rFonts w:ascii="Arial" w:hAnsi="Arial"/>
        </w:rPr>
        <w:t xml:space="preserve">NTCA </w:t>
      </w:r>
      <w:r w:rsidR="006B25F0" w:rsidRPr="006B25F0">
        <w:rPr>
          <w:rFonts w:ascii="Arial" w:hAnsi="Arial"/>
        </w:rPr>
        <w:t xml:space="preserve">UKSPF Grant Funding Agreement. </w:t>
      </w:r>
    </w:p>
    <w:p w14:paraId="08D3AC37" w14:textId="77777777" w:rsidR="00E46A41" w:rsidRPr="006B25F0" w:rsidRDefault="00E46A41" w:rsidP="00E46A41">
      <w:pPr>
        <w:spacing w:after="0" w:line="240" w:lineRule="auto"/>
        <w:ind w:left="720" w:hanging="720"/>
        <w:rPr>
          <w:rFonts w:ascii="Arial" w:hAnsi="Arial"/>
        </w:rPr>
      </w:pPr>
    </w:p>
    <w:p w14:paraId="0A4D01C6" w14:textId="45E4B0A0" w:rsidR="00921344" w:rsidRDefault="007F20CD" w:rsidP="0055536D">
      <w:pPr>
        <w:spacing w:after="0" w:line="240" w:lineRule="auto"/>
        <w:ind w:left="720" w:hanging="720"/>
        <w:rPr>
          <w:rFonts w:ascii="Arial" w:hAnsi="Arial" w:cs="Arial"/>
        </w:rPr>
      </w:pPr>
      <w:r>
        <w:rPr>
          <w:rFonts w:ascii="Arial" w:hAnsi="Arial" w:cs="Arial"/>
        </w:rPr>
        <w:t>1</w:t>
      </w:r>
      <w:r w:rsidR="008F77D5">
        <w:rPr>
          <w:rFonts w:ascii="Arial" w:hAnsi="Arial" w:cs="Arial"/>
        </w:rPr>
        <w:t>7</w:t>
      </w:r>
      <w:r>
        <w:rPr>
          <w:rFonts w:ascii="Arial" w:hAnsi="Arial" w:cs="Arial"/>
        </w:rPr>
        <w:t>.3</w:t>
      </w:r>
      <w:r>
        <w:rPr>
          <w:rFonts w:ascii="Arial" w:hAnsi="Arial" w:cs="Arial"/>
        </w:rPr>
        <w:tab/>
      </w:r>
      <w:r w:rsidR="006B25F0" w:rsidRPr="006B25F0">
        <w:rPr>
          <w:rFonts w:ascii="Arial" w:hAnsi="Arial" w:cs="Arial"/>
        </w:rPr>
        <w:t>Any organisation that is charging a fee for a service must be procured and would not be</w:t>
      </w:r>
      <w:r>
        <w:rPr>
          <w:rFonts w:ascii="Arial" w:hAnsi="Arial" w:cs="Arial"/>
        </w:rPr>
        <w:t xml:space="preserve"> </w:t>
      </w:r>
      <w:r w:rsidR="006B25F0" w:rsidRPr="006B25F0">
        <w:rPr>
          <w:rFonts w:ascii="Arial" w:hAnsi="Arial" w:cs="Arial"/>
        </w:rPr>
        <w:t xml:space="preserve">considered a delivery partner. </w:t>
      </w:r>
    </w:p>
    <w:p w14:paraId="7437B9D9" w14:textId="77777777" w:rsidR="008F77D5" w:rsidRDefault="008F77D5" w:rsidP="0055536D">
      <w:pPr>
        <w:spacing w:after="0" w:line="240" w:lineRule="auto"/>
        <w:ind w:left="720" w:hanging="720"/>
        <w:rPr>
          <w:rFonts w:ascii="Arial" w:hAnsi="Arial" w:cs="Arial"/>
        </w:rPr>
      </w:pPr>
    </w:p>
    <w:p w14:paraId="0A3CABD9" w14:textId="5B4A3877" w:rsidR="00921344" w:rsidRPr="008F77D5" w:rsidRDefault="008F77D5" w:rsidP="008F77D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18</w:t>
      </w:r>
      <w:r>
        <w:rPr>
          <w:rFonts w:ascii="Arial" w:eastAsia="Times New Roman" w:hAnsi="Arial" w:cs="Arial"/>
          <w:b/>
          <w:bCs/>
          <w:sz w:val="24"/>
          <w:szCs w:val="24"/>
          <w:lang w:val="en-US" w:eastAsia="en-GB"/>
        </w:rPr>
        <w:tab/>
      </w:r>
      <w:r w:rsidR="00921344" w:rsidRPr="008F77D5">
        <w:rPr>
          <w:rFonts w:ascii="Arial" w:eastAsia="Times New Roman" w:hAnsi="Arial" w:cs="Arial"/>
          <w:b/>
          <w:bCs/>
          <w:sz w:val="24"/>
          <w:szCs w:val="24"/>
          <w:lang w:val="en-US" w:eastAsia="en-GB"/>
        </w:rPr>
        <w:t>Match Funding</w:t>
      </w:r>
    </w:p>
    <w:p w14:paraId="549958BA" w14:textId="77777777" w:rsidR="00921344" w:rsidRPr="00512F8B" w:rsidRDefault="00921344" w:rsidP="00921344">
      <w:pPr>
        <w:widowControl w:val="0"/>
        <w:autoSpaceDE w:val="0"/>
        <w:autoSpaceDN w:val="0"/>
        <w:spacing w:after="0" w:line="240" w:lineRule="auto"/>
        <w:contextualSpacing/>
        <w:rPr>
          <w:rFonts w:ascii="Arial" w:eastAsia="Times New Roman" w:hAnsi="Arial" w:cs="Arial"/>
          <w:b/>
          <w:bCs/>
          <w:i/>
          <w:iCs/>
          <w:lang w:val="en-US" w:eastAsia="en-GB"/>
        </w:rPr>
      </w:pPr>
    </w:p>
    <w:p w14:paraId="740F961A" w14:textId="46D80C2A" w:rsidR="00921344" w:rsidRDefault="007F20CD" w:rsidP="007F20CD">
      <w:pPr>
        <w:spacing w:after="0" w:line="240" w:lineRule="auto"/>
        <w:ind w:left="720" w:hanging="720"/>
        <w:rPr>
          <w:rFonts w:ascii="Arial" w:hAnsi="Arial"/>
        </w:rPr>
      </w:pPr>
      <w:r>
        <w:rPr>
          <w:rFonts w:ascii="Arial" w:hAnsi="Arial"/>
        </w:rPr>
        <w:t>1</w:t>
      </w:r>
      <w:r w:rsidR="008F77D5">
        <w:rPr>
          <w:rFonts w:ascii="Arial" w:hAnsi="Arial"/>
        </w:rPr>
        <w:t>8</w:t>
      </w:r>
      <w:r>
        <w:rPr>
          <w:rFonts w:ascii="Arial" w:hAnsi="Arial"/>
        </w:rPr>
        <w:t>.1</w:t>
      </w:r>
      <w:r>
        <w:rPr>
          <w:rFonts w:ascii="Arial" w:hAnsi="Arial"/>
        </w:rPr>
        <w:tab/>
      </w:r>
      <w:r w:rsidR="00921344" w:rsidRPr="00512F8B">
        <w:rPr>
          <w:rFonts w:ascii="Arial" w:hAnsi="Arial"/>
        </w:rPr>
        <w:t>Whilst UKSPF does not require match funding, leverage of match funding is encouraged to demonstrate added value for money.  All match funding must be auditable and attributable. Therefore, match funding for projects must relate to actual project expenditure</w:t>
      </w:r>
      <w:r w:rsidR="00921344">
        <w:rPr>
          <w:rFonts w:ascii="Arial" w:hAnsi="Arial"/>
        </w:rPr>
        <w:t xml:space="preserve">. </w:t>
      </w:r>
      <w:r w:rsidR="00921344" w:rsidRPr="00512F8B">
        <w:rPr>
          <w:rFonts w:ascii="Arial" w:hAnsi="Arial"/>
        </w:rPr>
        <w:t xml:space="preserve">There is no fixed proportion of match funding. </w:t>
      </w:r>
    </w:p>
    <w:p w14:paraId="14FE5E8E" w14:textId="77777777" w:rsidR="00921344" w:rsidRPr="00512F8B" w:rsidRDefault="00921344" w:rsidP="00921344">
      <w:pPr>
        <w:spacing w:after="0" w:line="240" w:lineRule="auto"/>
        <w:ind w:left="720" w:hanging="720"/>
        <w:rPr>
          <w:rFonts w:ascii="Arial" w:hAnsi="Arial"/>
        </w:rPr>
      </w:pPr>
    </w:p>
    <w:p w14:paraId="74D1FA18" w14:textId="5C4B55E6" w:rsidR="00921344" w:rsidRPr="00512F8B" w:rsidRDefault="007F20CD" w:rsidP="007F20CD">
      <w:pPr>
        <w:spacing w:after="0" w:line="240" w:lineRule="auto"/>
        <w:ind w:left="720" w:hanging="720"/>
        <w:rPr>
          <w:rFonts w:ascii="Arial" w:hAnsi="Arial"/>
        </w:rPr>
      </w:pPr>
      <w:r>
        <w:rPr>
          <w:rFonts w:ascii="Arial" w:hAnsi="Arial"/>
        </w:rPr>
        <w:t>1</w:t>
      </w:r>
      <w:r w:rsidR="008F77D5">
        <w:rPr>
          <w:rFonts w:ascii="Arial" w:hAnsi="Arial"/>
        </w:rPr>
        <w:t>8</w:t>
      </w:r>
      <w:r>
        <w:rPr>
          <w:rFonts w:ascii="Arial" w:hAnsi="Arial"/>
        </w:rPr>
        <w:t>.2</w:t>
      </w:r>
      <w:r>
        <w:rPr>
          <w:rFonts w:ascii="Arial" w:hAnsi="Arial"/>
        </w:rPr>
        <w:tab/>
      </w:r>
      <w:r w:rsidR="00921344" w:rsidRPr="00512F8B">
        <w:rPr>
          <w:rFonts w:ascii="Arial" w:hAnsi="Arial"/>
        </w:rPr>
        <w:t xml:space="preserve">Match funding can be provided from the applicant, delivery partners, or third parties such as businesses or other funding bodies. Applicants must be able to provide evidence to </w:t>
      </w:r>
      <w:r w:rsidR="00921344">
        <w:rPr>
          <w:rFonts w:ascii="Arial" w:hAnsi="Arial"/>
        </w:rPr>
        <w:t xml:space="preserve">NTCA </w:t>
      </w:r>
      <w:r w:rsidR="00921344" w:rsidRPr="00512F8B">
        <w:rPr>
          <w:rFonts w:ascii="Arial" w:hAnsi="Arial"/>
        </w:rPr>
        <w:t xml:space="preserve">that match funding is in place prior to the project commencing. </w:t>
      </w:r>
    </w:p>
    <w:p w14:paraId="02A4C608" w14:textId="00C57AA7" w:rsidR="00921344" w:rsidRDefault="00921344" w:rsidP="007F20CD">
      <w:pPr>
        <w:spacing w:after="0" w:line="240" w:lineRule="auto"/>
        <w:ind w:left="720"/>
        <w:rPr>
          <w:rFonts w:ascii="Arial" w:hAnsi="Arial"/>
        </w:rPr>
      </w:pPr>
      <w:r w:rsidRPr="00512F8B">
        <w:rPr>
          <w:rFonts w:ascii="Arial" w:hAnsi="Arial"/>
        </w:rPr>
        <w:t xml:space="preserve">Loans from banks, building societies etc may also be used as match funding.  The loan should be secured prior to contracting to ensure project delivery in line with the agreed timescales. </w:t>
      </w:r>
    </w:p>
    <w:p w14:paraId="0CA9C006" w14:textId="77777777" w:rsidR="002735D6" w:rsidRDefault="002735D6" w:rsidP="003B1893">
      <w:pPr>
        <w:spacing w:after="0" w:line="240" w:lineRule="auto"/>
        <w:rPr>
          <w:rFonts w:ascii="Arial" w:hAnsi="Arial"/>
        </w:rPr>
      </w:pPr>
    </w:p>
    <w:p w14:paraId="3B1D56D9" w14:textId="11AA6FE3" w:rsidR="002735D6" w:rsidRPr="008F77D5" w:rsidRDefault="008F77D5" w:rsidP="008F77D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19</w:t>
      </w:r>
      <w:r>
        <w:rPr>
          <w:rFonts w:ascii="Arial" w:eastAsia="Times New Roman" w:hAnsi="Arial" w:cs="Arial"/>
          <w:b/>
          <w:bCs/>
          <w:sz w:val="24"/>
          <w:szCs w:val="24"/>
          <w:lang w:val="en-US" w:eastAsia="en-GB"/>
        </w:rPr>
        <w:tab/>
      </w:r>
      <w:r w:rsidR="002735D6" w:rsidRPr="008F77D5">
        <w:rPr>
          <w:rFonts w:ascii="Arial" w:eastAsia="Times New Roman" w:hAnsi="Arial" w:cs="Arial"/>
          <w:b/>
          <w:bCs/>
          <w:sz w:val="24"/>
          <w:szCs w:val="24"/>
          <w:lang w:val="en-US" w:eastAsia="en-GB"/>
        </w:rPr>
        <w:t xml:space="preserve">Outputs and Outcomes </w:t>
      </w:r>
    </w:p>
    <w:p w14:paraId="6F99903B" w14:textId="77777777" w:rsidR="002735D6" w:rsidRDefault="002735D6" w:rsidP="002735D6">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49FDA3BD" w14:textId="1B85EC07" w:rsidR="002735D6" w:rsidRPr="0068516A" w:rsidRDefault="007F20CD" w:rsidP="007F20CD">
      <w:pPr>
        <w:widowControl w:val="0"/>
        <w:autoSpaceDE w:val="0"/>
        <w:autoSpaceDN w:val="0"/>
        <w:spacing w:after="0" w:line="240" w:lineRule="auto"/>
        <w:ind w:left="720" w:hanging="720"/>
        <w:textAlignment w:val="baseline"/>
        <w:rPr>
          <w:rFonts w:ascii="Arial" w:eastAsia="Times New Roman" w:hAnsi="Arial" w:cs="Arial"/>
          <w:lang w:val="en-US" w:eastAsia="en-GB"/>
        </w:rPr>
      </w:pPr>
      <w:r>
        <w:rPr>
          <w:rFonts w:ascii="Arial" w:eastAsia="Times New Roman" w:hAnsi="Arial" w:cs="Arial"/>
          <w:lang w:val="en-US" w:eastAsia="en-GB"/>
        </w:rPr>
        <w:t>1</w:t>
      </w:r>
      <w:r w:rsidR="008F77D5">
        <w:rPr>
          <w:rFonts w:ascii="Arial" w:eastAsia="Times New Roman" w:hAnsi="Arial" w:cs="Arial"/>
          <w:lang w:val="en-US" w:eastAsia="en-GB"/>
        </w:rPr>
        <w:t>9</w:t>
      </w:r>
      <w:r>
        <w:rPr>
          <w:rFonts w:ascii="Arial" w:eastAsia="Times New Roman" w:hAnsi="Arial" w:cs="Arial"/>
          <w:lang w:val="en-US" w:eastAsia="en-GB"/>
        </w:rPr>
        <w:t>.1</w:t>
      </w:r>
      <w:r>
        <w:rPr>
          <w:rFonts w:ascii="Arial" w:eastAsia="Times New Roman" w:hAnsi="Arial" w:cs="Arial"/>
          <w:lang w:val="en-US" w:eastAsia="en-GB"/>
        </w:rPr>
        <w:tab/>
      </w:r>
      <w:r w:rsidR="002735D6" w:rsidRPr="0074741D">
        <w:rPr>
          <w:rFonts w:ascii="Arial" w:eastAsia="Times New Roman" w:hAnsi="Arial" w:cs="Arial"/>
          <w:lang w:val="en-US" w:eastAsia="en-GB"/>
        </w:rPr>
        <w:t>Output and outcome measurements are a key accounting tool to measure the impact</w:t>
      </w:r>
      <w:r w:rsidR="009A6E56">
        <w:rPr>
          <w:rFonts w:ascii="Arial" w:eastAsia="Times New Roman" w:hAnsi="Arial" w:cs="Arial"/>
          <w:lang w:val="en-US" w:eastAsia="en-GB"/>
        </w:rPr>
        <w:t xml:space="preserve"> of</w:t>
      </w:r>
      <w:r w:rsidR="002735D6" w:rsidRPr="0074741D">
        <w:rPr>
          <w:rFonts w:ascii="Arial" w:eastAsia="Times New Roman" w:hAnsi="Arial" w:cs="Arial"/>
          <w:lang w:val="en-US" w:eastAsia="en-GB"/>
        </w:rPr>
        <w:t xml:space="preserve"> the</w:t>
      </w:r>
      <w:r>
        <w:rPr>
          <w:rFonts w:ascii="Arial" w:eastAsia="Times New Roman" w:hAnsi="Arial" w:cs="Arial"/>
          <w:lang w:val="en-US" w:eastAsia="en-GB"/>
        </w:rPr>
        <w:t xml:space="preserve"> </w:t>
      </w:r>
      <w:r w:rsidR="002735D6" w:rsidRPr="1D1A6796">
        <w:rPr>
          <w:rFonts w:ascii="Arial" w:eastAsia="Times New Roman" w:hAnsi="Arial" w:cs="Arial"/>
          <w:lang w:val="en-US" w:eastAsia="en-GB"/>
        </w:rPr>
        <w:t xml:space="preserve">UKSPF programme. </w:t>
      </w:r>
      <w:r w:rsidR="002735D6" w:rsidRPr="00B461BC">
        <w:rPr>
          <w:rFonts w:ascii="Arial" w:eastAsia="Times New Roman" w:hAnsi="Arial" w:cs="Arial"/>
          <w:lang w:val="en-US" w:eastAsia="en-GB"/>
        </w:rPr>
        <w:t xml:space="preserve">The UKSPF People and Skills Outputs and Outcomes </w:t>
      </w:r>
      <w:r w:rsidR="00011A07">
        <w:rPr>
          <w:rFonts w:ascii="Arial" w:eastAsia="Times New Roman" w:hAnsi="Arial" w:cs="Arial"/>
          <w:lang w:val="en-US" w:eastAsia="en-GB"/>
        </w:rPr>
        <w:t>d</w:t>
      </w:r>
      <w:r w:rsidR="002735D6" w:rsidRPr="00B461BC">
        <w:rPr>
          <w:rFonts w:ascii="Arial" w:eastAsia="Times New Roman" w:hAnsi="Arial" w:cs="Arial"/>
          <w:lang w:val="en-US" w:eastAsia="en-GB"/>
        </w:rPr>
        <w:t xml:space="preserve">efinitions </w:t>
      </w:r>
      <w:r w:rsidR="002735D6" w:rsidRPr="0074741D">
        <w:rPr>
          <w:rFonts w:ascii="Arial" w:eastAsia="Times New Roman" w:hAnsi="Arial" w:cs="Arial"/>
          <w:lang w:val="en-US" w:eastAsia="en-GB"/>
        </w:rPr>
        <w:t>ha</w:t>
      </w:r>
      <w:r w:rsidR="00011A07">
        <w:rPr>
          <w:rFonts w:ascii="Arial" w:eastAsia="Times New Roman" w:hAnsi="Arial" w:cs="Arial"/>
          <w:lang w:val="en-US" w:eastAsia="en-GB"/>
        </w:rPr>
        <w:t>ve</w:t>
      </w:r>
      <w:r w:rsidR="002735D6" w:rsidRPr="0074741D">
        <w:rPr>
          <w:rFonts w:ascii="Arial" w:eastAsia="Times New Roman" w:hAnsi="Arial" w:cs="Arial"/>
          <w:lang w:val="en-US" w:eastAsia="en-GB"/>
        </w:rPr>
        <w:t xml:space="preserve"> been </w:t>
      </w:r>
      <w:r w:rsidR="00011A07">
        <w:rPr>
          <w:rFonts w:ascii="Arial" w:eastAsia="Times New Roman" w:hAnsi="Arial" w:cs="Arial"/>
          <w:lang w:val="en-US" w:eastAsia="en-GB"/>
        </w:rPr>
        <w:t>provided</w:t>
      </w:r>
      <w:r w:rsidR="002735D6" w:rsidRPr="0074741D">
        <w:rPr>
          <w:rFonts w:ascii="Arial" w:eastAsia="Times New Roman" w:hAnsi="Arial" w:cs="Arial"/>
          <w:lang w:val="en-US" w:eastAsia="en-GB"/>
        </w:rPr>
        <w:t xml:space="preserve"> to support applicants </w:t>
      </w:r>
      <w:r w:rsidR="00011A07">
        <w:rPr>
          <w:rFonts w:ascii="Arial" w:eastAsia="Times New Roman" w:hAnsi="Arial" w:cs="Arial"/>
          <w:lang w:val="en-US" w:eastAsia="en-GB"/>
        </w:rPr>
        <w:t>to</w:t>
      </w:r>
      <w:r w:rsidR="002735D6" w:rsidRPr="0074741D">
        <w:rPr>
          <w:rFonts w:ascii="Arial" w:eastAsia="Times New Roman" w:hAnsi="Arial" w:cs="Arial"/>
          <w:lang w:val="en-US" w:eastAsia="en-GB"/>
        </w:rPr>
        <w:t xml:space="preserve"> set appropriate output and outcome targets and provide verification criteria. </w:t>
      </w:r>
    </w:p>
    <w:p w14:paraId="227F57AA" w14:textId="77777777" w:rsidR="002735D6" w:rsidRPr="0074741D" w:rsidRDefault="002735D6" w:rsidP="002735D6">
      <w:pPr>
        <w:widowControl w:val="0"/>
        <w:autoSpaceDE w:val="0"/>
        <w:autoSpaceDN w:val="0"/>
        <w:spacing w:after="0" w:line="240" w:lineRule="auto"/>
        <w:textAlignment w:val="baseline"/>
        <w:rPr>
          <w:rFonts w:ascii="Arial" w:eastAsia="Times New Roman" w:hAnsi="Arial" w:cs="Arial"/>
          <w:lang w:val="en-US" w:eastAsia="en-GB"/>
        </w:rPr>
      </w:pPr>
    </w:p>
    <w:p w14:paraId="0A52CB9C" w14:textId="77777777" w:rsidR="002735D6" w:rsidRPr="0074741D" w:rsidRDefault="002735D6" w:rsidP="00812E2D">
      <w:pPr>
        <w:widowControl w:val="0"/>
        <w:autoSpaceDE w:val="0"/>
        <w:autoSpaceDN w:val="0"/>
        <w:spacing w:after="0" w:line="240" w:lineRule="auto"/>
        <w:ind w:left="720"/>
        <w:textAlignment w:val="baseline"/>
        <w:rPr>
          <w:rFonts w:ascii="Arial" w:eastAsia="Times New Roman" w:hAnsi="Arial" w:cs="Arial"/>
          <w:lang w:val="en-US" w:eastAsia="en-GB"/>
        </w:rPr>
      </w:pPr>
      <w:r w:rsidRPr="0074741D">
        <w:rPr>
          <w:rFonts w:ascii="Arial" w:eastAsia="Times New Roman" w:hAnsi="Arial" w:cs="Arial"/>
          <w:lang w:val="en-US" w:eastAsia="en-GB"/>
        </w:rPr>
        <w:t xml:space="preserve">Applicants should ensure appropriate systems and processes are put in place to: </w:t>
      </w:r>
    </w:p>
    <w:p w14:paraId="2559D1A7" w14:textId="77777777" w:rsidR="002735D6" w:rsidRPr="00E46A41" w:rsidRDefault="002735D6" w:rsidP="00D707F6">
      <w:pPr>
        <w:pStyle w:val="ListParagraph"/>
        <w:widowControl w:val="0"/>
        <w:numPr>
          <w:ilvl w:val="0"/>
          <w:numId w:val="3"/>
        </w:numPr>
        <w:autoSpaceDE w:val="0"/>
        <w:autoSpaceDN w:val="0"/>
        <w:spacing w:after="0" w:line="240" w:lineRule="auto"/>
        <w:ind w:left="1080"/>
        <w:textAlignment w:val="baseline"/>
        <w:rPr>
          <w:rFonts w:ascii="Arial" w:eastAsia="Times New Roman" w:hAnsi="Arial" w:cs="Arial"/>
          <w:lang w:val="en-US" w:eastAsia="en-GB"/>
        </w:rPr>
      </w:pPr>
      <w:r w:rsidRPr="00E46A41">
        <w:rPr>
          <w:rFonts w:ascii="Arial" w:eastAsia="Times New Roman" w:hAnsi="Arial" w:cs="Arial"/>
          <w:lang w:val="en-US" w:eastAsia="en-GB"/>
        </w:rPr>
        <w:t xml:space="preserve">Collate claim documentation and supporting evidence </w:t>
      </w:r>
    </w:p>
    <w:p w14:paraId="01CCAD11" w14:textId="77777777" w:rsidR="002735D6" w:rsidRPr="00E46A41" w:rsidRDefault="002735D6" w:rsidP="00D707F6">
      <w:pPr>
        <w:pStyle w:val="ListParagraph"/>
        <w:widowControl w:val="0"/>
        <w:numPr>
          <w:ilvl w:val="0"/>
          <w:numId w:val="3"/>
        </w:numPr>
        <w:autoSpaceDE w:val="0"/>
        <w:autoSpaceDN w:val="0"/>
        <w:spacing w:after="0" w:line="240" w:lineRule="auto"/>
        <w:ind w:left="1080"/>
        <w:textAlignment w:val="baseline"/>
        <w:rPr>
          <w:rFonts w:ascii="Arial" w:eastAsia="Times New Roman" w:hAnsi="Arial" w:cs="Arial"/>
          <w:lang w:val="en-US" w:eastAsia="en-GB"/>
        </w:rPr>
      </w:pPr>
      <w:r w:rsidRPr="00E46A41">
        <w:rPr>
          <w:rFonts w:ascii="Arial" w:eastAsia="Times New Roman" w:hAnsi="Arial" w:cs="Arial"/>
          <w:lang w:val="en-US" w:eastAsia="en-GB"/>
        </w:rPr>
        <w:t>Compile data for statistical analysis or evaluation</w:t>
      </w:r>
    </w:p>
    <w:p w14:paraId="24181DE6" w14:textId="77777777" w:rsidR="002735D6" w:rsidRPr="00E46A41" w:rsidRDefault="002735D6" w:rsidP="00D707F6">
      <w:pPr>
        <w:pStyle w:val="ListParagraph"/>
        <w:widowControl w:val="0"/>
        <w:numPr>
          <w:ilvl w:val="0"/>
          <w:numId w:val="3"/>
        </w:numPr>
        <w:autoSpaceDE w:val="0"/>
        <w:autoSpaceDN w:val="0"/>
        <w:spacing w:after="0" w:line="240" w:lineRule="auto"/>
        <w:ind w:left="1080"/>
        <w:textAlignment w:val="baseline"/>
        <w:rPr>
          <w:rFonts w:ascii="Arial" w:eastAsia="Times New Roman" w:hAnsi="Arial" w:cs="Arial"/>
          <w:lang w:val="en-US" w:eastAsia="en-GB"/>
        </w:rPr>
      </w:pPr>
      <w:r w:rsidRPr="00E46A41">
        <w:rPr>
          <w:rFonts w:ascii="Arial" w:eastAsia="Times New Roman" w:hAnsi="Arial" w:cs="Arial"/>
          <w:lang w:val="en-US" w:eastAsia="en-GB"/>
        </w:rPr>
        <w:t xml:space="preserve">Track progress against contracted output targets </w:t>
      </w:r>
    </w:p>
    <w:p w14:paraId="4C3FC74A" w14:textId="77777777" w:rsidR="002735D6" w:rsidRPr="0068516A" w:rsidRDefault="002735D6" w:rsidP="002735D6">
      <w:pPr>
        <w:widowControl w:val="0"/>
        <w:autoSpaceDE w:val="0"/>
        <w:autoSpaceDN w:val="0"/>
        <w:spacing w:after="0" w:line="240" w:lineRule="auto"/>
        <w:textAlignment w:val="baseline"/>
        <w:rPr>
          <w:rFonts w:ascii="Arial" w:eastAsia="Times New Roman" w:hAnsi="Arial" w:cs="Arial"/>
          <w:lang w:val="en-US" w:eastAsia="en-GB"/>
        </w:rPr>
      </w:pPr>
    </w:p>
    <w:p w14:paraId="6DDD955A" w14:textId="4F90CC43" w:rsidR="002735D6" w:rsidRPr="0068516A" w:rsidRDefault="00812E2D" w:rsidP="00812E2D">
      <w:pPr>
        <w:widowControl w:val="0"/>
        <w:autoSpaceDE w:val="0"/>
        <w:autoSpaceDN w:val="0"/>
        <w:spacing w:after="0" w:line="240" w:lineRule="auto"/>
        <w:ind w:left="720" w:hanging="720"/>
        <w:textAlignment w:val="baseline"/>
        <w:rPr>
          <w:rFonts w:ascii="Arial" w:eastAsia="Times New Roman" w:hAnsi="Arial" w:cs="Arial"/>
          <w:lang w:val="en-US" w:eastAsia="en-GB"/>
        </w:rPr>
      </w:pPr>
      <w:r>
        <w:rPr>
          <w:rFonts w:ascii="Arial" w:eastAsia="Times New Roman" w:hAnsi="Arial" w:cs="Arial"/>
          <w:lang w:val="en-US" w:eastAsia="en-GB"/>
        </w:rPr>
        <w:t>1</w:t>
      </w:r>
      <w:r w:rsidR="008F77D5">
        <w:rPr>
          <w:rFonts w:ascii="Arial" w:eastAsia="Times New Roman" w:hAnsi="Arial" w:cs="Arial"/>
          <w:lang w:val="en-US" w:eastAsia="en-GB"/>
        </w:rPr>
        <w:t>9</w:t>
      </w:r>
      <w:r>
        <w:rPr>
          <w:rFonts w:ascii="Arial" w:eastAsia="Times New Roman" w:hAnsi="Arial" w:cs="Arial"/>
          <w:lang w:val="en-US" w:eastAsia="en-GB"/>
        </w:rPr>
        <w:t>.2</w:t>
      </w:r>
      <w:r>
        <w:rPr>
          <w:rFonts w:ascii="Arial" w:eastAsia="Times New Roman" w:hAnsi="Arial" w:cs="Arial"/>
          <w:lang w:val="en-US" w:eastAsia="en-GB"/>
        </w:rPr>
        <w:tab/>
      </w:r>
      <w:r w:rsidR="002735D6" w:rsidRPr="0074741D">
        <w:rPr>
          <w:rFonts w:ascii="Arial" w:eastAsia="Times New Roman" w:hAnsi="Arial" w:cs="Arial"/>
          <w:lang w:val="en-US" w:eastAsia="en-GB"/>
        </w:rPr>
        <w:t xml:space="preserve">Output and outcome measures need to be defined during both project design and delivery. Care should be taken to: </w:t>
      </w:r>
    </w:p>
    <w:p w14:paraId="68B7804C" w14:textId="77777777" w:rsidR="002735D6" w:rsidRPr="0074741D" w:rsidRDefault="002735D6" w:rsidP="002735D6">
      <w:pPr>
        <w:widowControl w:val="0"/>
        <w:autoSpaceDE w:val="0"/>
        <w:autoSpaceDN w:val="0"/>
        <w:spacing w:after="0" w:line="240" w:lineRule="auto"/>
        <w:textAlignment w:val="baseline"/>
        <w:rPr>
          <w:rFonts w:ascii="Arial" w:eastAsia="Times New Roman" w:hAnsi="Arial" w:cs="Arial"/>
          <w:lang w:val="en-US" w:eastAsia="en-GB"/>
        </w:rPr>
      </w:pPr>
    </w:p>
    <w:p w14:paraId="62C1E54F" w14:textId="77777777" w:rsidR="002735D6" w:rsidRPr="00E46A41" w:rsidRDefault="002735D6" w:rsidP="00D707F6">
      <w:pPr>
        <w:pStyle w:val="ListParagraph"/>
        <w:widowControl w:val="0"/>
        <w:numPr>
          <w:ilvl w:val="0"/>
          <w:numId w:val="4"/>
        </w:numPr>
        <w:autoSpaceDE w:val="0"/>
        <w:autoSpaceDN w:val="0"/>
        <w:spacing w:after="0" w:line="240" w:lineRule="auto"/>
        <w:textAlignment w:val="baseline"/>
        <w:rPr>
          <w:rFonts w:ascii="Arial" w:eastAsia="Times New Roman" w:hAnsi="Arial" w:cs="Arial"/>
          <w:lang w:val="en-US" w:eastAsia="en-GB"/>
        </w:rPr>
      </w:pPr>
      <w:r w:rsidRPr="00E46A41">
        <w:rPr>
          <w:rFonts w:ascii="Arial" w:eastAsia="Times New Roman" w:hAnsi="Arial" w:cs="Arial"/>
          <w:lang w:val="en-US" w:eastAsia="en-GB"/>
        </w:rPr>
        <w:t>Understand the resources needed to manage and collate the outputs</w:t>
      </w:r>
    </w:p>
    <w:p w14:paraId="4386F1A6" w14:textId="77777777" w:rsidR="002735D6" w:rsidRPr="00E46A41" w:rsidRDefault="002735D6" w:rsidP="00D707F6">
      <w:pPr>
        <w:pStyle w:val="ListParagraph"/>
        <w:widowControl w:val="0"/>
        <w:numPr>
          <w:ilvl w:val="0"/>
          <w:numId w:val="4"/>
        </w:numPr>
        <w:autoSpaceDE w:val="0"/>
        <w:autoSpaceDN w:val="0"/>
        <w:spacing w:after="0" w:line="240" w:lineRule="auto"/>
        <w:textAlignment w:val="baseline"/>
        <w:rPr>
          <w:rFonts w:ascii="Arial" w:eastAsia="Times New Roman" w:hAnsi="Arial" w:cs="Arial"/>
          <w:lang w:val="en-US" w:eastAsia="en-GB"/>
        </w:rPr>
      </w:pPr>
      <w:r w:rsidRPr="00E46A41">
        <w:rPr>
          <w:rFonts w:ascii="Arial" w:eastAsia="Times New Roman" w:hAnsi="Arial" w:cs="Arial"/>
          <w:lang w:val="en-US" w:eastAsia="en-GB"/>
        </w:rPr>
        <w:t xml:space="preserve">Develop systems and processes that capture project outputs and results </w:t>
      </w:r>
    </w:p>
    <w:p w14:paraId="2AF14100" w14:textId="77777777" w:rsidR="002735D6" w:rsidRPr="00E46A41" w:rsidRDefault="002735D6" w:rsidP="00D707F6">
      <w:pPr>
        <w:pStyle w:val="ListParagraph"/>
        <w:widowControl w:val="0"/>
        <w:numPr>
          <w:ilvl w:val="0"/>
          <w:numId w:val="4"/>
        </w:numPr>
        <w:autoSpaceDE w:val="0"/>
        <w:autoSpaceDN w:val="0"/>
        <w:spacing w:after="0" w:line="240" w:lineRule="auto"/>
        <w:textAlignment w:val="baseline"/>
        <w:rPr>
          <w:rFonts w:ascii="Arial" w:eastAsia="Times New Roman" w:hAnsi="Arial" w:cs="Arial"/>
          <w:lang w:val="en-US" w:eastAsia="en-GB"/>
        </w:rPr>
      </w:pPr>
      <w:r w:rsidRPr="00E46A41">
        <w:rPr>
          <w:rFonts w:ascii="Arial" w:eastAsia="Times New Roman" w:hAnsi="Arial" w:cs="Arial"/>
          <w:lang w:val="en-US" w:eastAsia="en-GB"/>
        </w:rPr>
        <w:t xml:space="preserve">When designing projects, applicants must consider which outputs and outcomes </w:t>
      </w:r>
      <w:r w:rsidRPr="00E46A41">
        <w:rPr>
          <w:rFonts w:ascii="Arial" w:eastAsia="Times New Roman" w:hAnsi="Arial" w:cs="Arial"/>
          <w:lang w:val="en-US" w:eastAsia="en-GB"/>
        </w:rPr>
        <w:lastRenderedPageBreak/>
        <w:t>are relevant to the type of activity you intend to deliver.</w:t>
      </w:r>
    </w:p>
    <w:p w14:paraId="47CC607B" w14:textId="77777777" w:rsidR="005C713A" w:rsidRDefault="005C713A" w:rsidP="005C713A">
      <w:pPr>
        <w:widowControl w:val="0"/>
        <w:autoSpaceDE w:val="0"/>
        <w:autoSpaceDN w:val="0"/>
        <w:spacing w:after="0" w:line="240" w:lineRule="auto"/>
        <w:textAlignment w:val="baseline"/>
        <w:rPr>
          <w:rFonts w:ascii="Arial" w:eastAsia="Times New Roman" w:hAnsi="Arial" w:cs="Arial"/>
          <w:lang w:val="en-US" w:eastAsia="en-GB"/>
        </w:rPr>
      </w:pPr>
    </w:p>
    <w:p w14:paraId="37A18674" w14:textId="682F99B2" w:rsidR="005C713A" w:rsidRPr="005C713A" w:rsidRDefault="005C713A" w:rsidP="00D220C2">
      <w:pPr>
        <w:widowControl w:val="0"/>
        <w:autoSpaceDE w:val="0"/>
        <w:autoSpaceDN w:val="0"/>
        <w:spacing w:after="0" w:line="240" w:lineRule="auto"/>
        <w:ind w:left="720" w:hanging="720"/>
        <w:textAlignment w:val="baseline"/>
        <w:rPr>
          <w:rFonts w:ascii="Arial" w:eastAsia="Times New Roman" w:hAnsi="Arial" w:cs="Arial"/>
          <w:lang w:val="en-US" w:eastAsia="en-GB"/>
        </w:rPr>
      </w:pPr>
      <w:r>
        <w:rPr>
          <w:rFonts w:ascii="Arial" w:eastAsia="Times New Roman" w:hAnsi="Arial" w:cs="Arial"/>
          <w:lang w:val="en-US" w:eastAsia="en-GB"/>
        </w:rPr>
        <w:t>19.3</w:t>
      </w:r>
      <w:r>
        <w:rPr>
          <w:rFonts w:ascii="Arial" w:eastAsia="Times New Roman" w:hAnsi="Arial" w:cs="Arial"/>
          <w:lang w:val="en-US" w:eastAsia="en-GB"/>
        </w:rPr>
        <w:tab/>
      </w:r>
      <w:r w:rsidRPr="005C713A">
        <w:rPr>
          <w:rFonts w:ascii="Arial" w:eastAsia="Times New Roman" w:hAnsi="Arial" w:cs="Arial"/>
          <w:lang w:val="en-US" w:eastAsia="en-GB"/>
        </w:rPr>
        <w:t xml:space="preserve">The UKSPF Outputs and Outcomes associated with this programme are listed in </w:t>
      </w:r>
      <w:r w:rsidR="0043381F">
        <w:rPr>
          <w:rFonts w:ascii="Arial" w:eastAsia="Times New Roman" w:hAnsi="Arial" w:cs="Arial"/>
          <w:lang w:val="en-US" w:eastAsia="en-GB"/>
        </w:rPr>
        <w:t xml:space="preserve">Annex A – UKSPF People and Skills Finance and Outputs tables. </w:t>
      </w:r>
      <w:r w:rsidRPr="005C713A">
        <w:rPr>
          <w:rFonts w:ascii="Arial" w:eastAsia="Times New Roman" w:hAnsi="Arial" w:cs="Arial"/>
          <w:lang w:val="en-US" w:eastAsia="en-GB"/>
        </w:rPr>
        <w:t>The primary outputs and outcomes are associated with UKSPF Intervention E33. Providers may also deliver and report on outcomes and outputs associated with Interventions E34 and E35.</w:t>
      </w:r>
    </w:p>
    <w:p w14:paraId="4AAFD30D" w14:textId="77777777" w:rsidR="005C713A" w:rsidRPr="005C713A" w:rsidRDefault="005C713A" w:rsidP="005C713A">
      <w:pPr>
        <w:widowControl w:val="0"/>
        <w:autoSpaceDE w:val="0"/>
        <w:autoSpaceDN w:val="0"/>
        <w:spacing w:after="0" w:line="240" w:lineRule="auto"/>
        <w:textAlignment w:val="baseline"/>
        <w:rPr>
          <w:rFonts w:ascii="Arial" w:eastAsia="Times New Roman" w:hAnsi="Arial" w:cs="Arial"/>
          <w:lang w:val="en-US" w:eastAsia="en-GB"/>
        </w:rPr>
      </w:pPr>
    </w:p>
    <w:p w14:paraId="68380235" w14:textId="77777777" w:rsidR="0068190E" w:rsidRDefault="0043381F" w:rsidP="001321E0">
      <w:pPr>
        <w:pStyle w:val="ListParagraph"/>
        <w:widowControl w:val="0"/>
        <w:numPr>
          <w:ilvl w:val="0"/>
          <w:numId w:val="8"/>
        </w:numPr>
        <w:autoSpaceDE w:val="0"/>
        <w:autoSpaceDN w:val="0"/>
        <w:spacing w:after="0" w:line="240" w:lineRule="auto"/>
        <w:ind w:left="720"/>
        <w:textAlignment w:val="baseline"/>
        <w:rPr>
          <w:rFonts w:ascii="Arial" w:eastAsia="Times New Roman" w:hAnsi="Arial" w:cs="Arial"/>
          <w:lang w:val="en-US" w:eastAsia="en-GB"/>
        </w:rPr>
      </w:pPr>
      <w:r w:rsidRPr="00D220C2">
        <w:rPr>
          <w:rFonts w:ascii="Arial" w:eastAsia="Times New Roman" w:hAnsi="Arial" w:cs="Arial"/>
          <w:lang w:val="en-US" w:eastAsia="en-GB"/>
        </w:rPr>
        <w:t xml:space="preserve">Applicants should </w:t>
      </w:r>
      <w:r w:rsidR="005C713A" w:rsidRPr="00D220C2">
        <w:rPr>
          <w:rFonts w:ascii="Arial" w:eastAsia="Times New Roman" w:hAnsi="Arial" w:cs="Arial"/>
          <w:lang w:val="en-US" w:eastAsia="en-GB"/>
        </w:rPr>
        <w:t xml:space="preserve">complete the tables in the </w:t>
      </w:r>
      <w:r w:rsidR="005C713A" w:rsidRPr="00ED405B">
        <w:rPr>
          <w:rFonts w:ascii="Arial" w:eastAsia="Times New Roman" w:hAnsi="Arial" w:cs="Arial"/>
          <w:lang w:val="en-US" w:eastAsia="en-GB"/>
        </w:rPr>
        <w:t xml:space="preserve">UKSPF Outputs &amp; Outcomes tab </w:t>
      </w:r>
      <w:r w:rsidR="005C713A" w:rsidRPr="00D220C2">
        <w:rPr>
          <w:rFonts w:ascii="Arial" w:eastAsia="Times New Roman" w:hAnsi="Arial" w:cs="Arial"/>
          <w:lang w:val="en-US" w:eastAsia="en-GB"/>
        </w:rPr>
        <w:t xml:space="preserve">with the projected outputs and outcomes that you intend to deliver. </w:t>
      </w:r>
      <w:r w:rsidR="0068190E" w:rsidRPr="00D220C2">
        <w:rPr>
          <w:rFonts w:ascii="Arial" w:eastAsia="Times New Roman" w:hAnsi="Arial" w:cs="Arial"/>
          <w:lang w:val="en-US" w:eastAsia="en-GB"/>
        </w:rPr>
        <w:t>Applicants</w:t>
      </w:r>
      <w:r w:rsidR="005C713A" w:rsidRPr="00D220C2">
        <w:rPr>
          <w:rFonts w:ascii="Arial" w:eastAsia="Times New Roman" w:hAnsi="Arial" w:cs="Arial"/>
          <w:lang w:val="en-US" w:eastAsia="en-GB"/>
        </w:rPr>
        <w:t xml:space="preserve"> are not required to deliver against every output and outcome. The outputs and outcomes selected should be aligned with your responses to Question 2 in the Project Application Form.</w:t>
      </w:r>
    </w:p>
    <w:p w14:paraId="7BA34634" w14:textId="77777777" w:rsidR="0068190E" w:rsidRDefault="005C713A" w:rsidP="001321E0">
      <w:pPr>
        <w:pStyle w:val="ListParagraph"/>
        <w:widowControl w:val="0"/>
        <w:numPr>
          <w:ilvl w:val="0"/>
          <w:numId w:val="8"/>
        </w:numPr>
        <w:autoSpaceDE w:val="0"/>
        <w:autoSpaceDN w:val="0"/>
        <w:spacing w:after="0" w:line="240" w:lineRule="auto"/>
        <w:ind w:left="720"/>
        <w:textAlignment w:val="baseline"/>
        <w:rPr>
          <w:rFonts w:ascii="Arial" w:eastAsia="Times New Roman" w:hAnsi="Arial" w:cs="Arial"/>
          <w:lang w:val="en-US" w:eastAsia="en-GB"/>
        </w:rPr>
      </w:pPr>
      <w:r w:rsidRPr="0068190E">
        <w:rPr>
          <w:rFonts w:ascii="Arial" w:eastAsia="Times New Roman" w:hAnsi="Arial" w:cs="Arial"/>
          <w:lang w:val="en-US" w:eastAsia="en-GB"/>
        </w:rPr>
        <w:t>For outcomes and outputs that are applicable to multiple interventions (</w:t>
      </w:r>
      <w:proofErr w:type="gramStart"/>
      <w:r w:rsidRPr="0068190E">
        <w:rPr>
          <w:rFonts w:ascii="Arial" w:eastAsia="Times New Roman" w:hAnsi="Arial" w:cs="Arial"/>
          <w:lang w:val="en-US" w:eastAsia="en-GB"/>
        </w:rPr>
        <w:t>e.g.</w:t>
      </w:r>
      <w:proofErr w:type="gramEnd"/>
      <w:r w:rsidRPr="0068190E">
        <w:rPr>
          <w:rFonts w:ascii="Arial" w:eastAsia="Times New Roman" w:hAnsi="Arial" w:cs="Arial"/>
          <w:lang w:val="en-US" w:eastAsia="en-GB"/>
        </w:rPr>
        <w:t xml:space="preserve"> Number of people experiencing reduced structural barriers into employment and into skills provision), if you intend to deliver these outputs and outcomes please only include values under one intervention.</w:t>
      </w:r>
    </w:p>
    <w:p w14:paraId="18E811A1" w14:textId="65A8462C" w:rsidR="0068190E" w:rsidRDefault="0068190E" w:rsidP="001321E0">
      <w:pPr>
        <w:pStyle w:val="ListParagraph"/>
        <w:widowControl w:val="0"/>
        <w:numPr>
          <w:ilvl w:val="0"/>
          <w:numId w:val="8"/>
        </w:numPr>
        <w:autoSpaceDE w:val="0"/>
        <w:autoSpaceDN w:val="0"/>
        <w:spacing w:after="0" w:line="240" w:lineRule="auto"/>
        <w:ind w:left="720"/>
        <w:textAlignment w:val="baseline"/>
        <w:rPr>
          <w:rFonts w:ascii="Arial" w:eastAsia="Times New Roman" w:hAnsi="Arial" w:cs="Arial"/>
          <w:lang w:val="en-US" w:eastAsia="en-GB"/>
        </w:rPr>
      </w:pPr>
      <w:r>
        <w:rPr>
          <w:rFonts w:ascii="Arial" w:eastAsia="Times New Roman" w:hAnsi="Arial" w:cs="Arial"/>
          <w:lang w:val="en-US" w:eastAsia="en-GB"/>
        </w:rPr>
        <w:t>Applicants should</w:t>
      </w:r>
      <w:r w:rsidR="005C713A" w:rsidRPr="0068190E">
        <w:rPr>
          <w:rFonts w:ascii="Arial" w:eastAsia="Times New Roman" w:hAnsi="Arial" w:cs="Arial"/>
          <w:lang w:val="en-US" w:eastAsia="en-GB"/>
        </w:rPr>
        <w:t xml:space="preserve"> read the output and outcome definitions (including the applicable unit of measurement) provided carefully before completing the tables.</w:t>
      </w:r>
    </w:p>
    <w:p w14:paraId="472200B9" w14:textId="3E755912" w:rsidR="005C713A" w:rsidRPr="00D220C2" w:rsidRDefault="005C713A" w:rsidP="00D220C2">
      <w:pPr>
        <w:pStyle w:val="ListParagraph"/>
        <w:widowControl w:val="0"/>
        <w:numPr>
          <w:ilvl w:val="0"/>
          <w:numId w:val="8"/>
        </w:numPr>
        <w:autoSpaceDE w:val="0"/>
        <w:autoSpaceDN w:val="0"/>
        <w:spacing w:after="0" w:line="240" w:lineRule="auto"/>
        <w:ind w:left="720"/>
        <w:textAlignment w:val="baseline"/>
        <w:rPr>
          <w:rFonts w:ascii="Arial" w:eastAsia="Times New Roman" w:hAnsi="Arial" w:cs="Arial"/>
          <w:lang w:val="en-US" w:eastAsia="en-GB"/>
        </w:rPr>
      </w:pPr>
      <w:r w:rsidRPr="0068190E">
        <w:rPr>
          <w:rFonts w:ascii="Arial" w:eastAsia="Times New Roman" w:hAnsi="Arial" w:cs="Arial"/>
          <w:lang w:val="en-US" w:eastAsia="en-GB"/>
        </w:rPr>
        <w:t xml:space="preserve">Approval of contracted outcomes and outputs will be agreed between NTCA and successful </w:t>
      </w:r>
      <w:r w:rsidR="000148BB" w:rsidRPr="0068190E">
        <w:rPr>
          <w:rFonts w:ascii="Arial" w:eastAsia="Times New Roman" w:hAnsi="Arial" w:cs="Arial"/>
          <w:lang w:val="en-US" w:eastAsia="en-GB"/>
        </w:rPr>
        <w:t>applicants and</w:t>
      </w:r>
      <w:r w:rsidRPr="0068190E">
        <w:rPr>
          <w:rFonts w:ascii="Arial" w:eastAsia="Times New Roman" w:hAnsi="Arial" w:cs="Arial"/>
          <w:lang w:val="en-US" w:eastAsia="en-GB"/>
        </w:rPr>
        <w:t xml:space="preserve"> will remain subject to the publication of further government guidance.</w:t>
      </w:r>
    </w:p>
    <w:p w14:paraId="045772B9" w14:textId="77777777" w:rsidR="002735D6" w:rsidRPr="0068516A" w:rsidRDefault="002735D6" w:rsidP="002735D6">
      <w:pPr>
        <w:widowControl w:val="0"/>
        <w:autoSpaceDE w:val="0"/>
        <w:autoSpaceDN w:val="0"/>
        <w:spacing w:after="0" w:line="240" w:lineRule="auto"/>
        <w:contextualSpacing/>
        <w:rPr>
          <w:rFonts w:ascii="Arial" w:eastAsia="Times New Roman" w:hAnsi="Arial" w:cs="Arial"/>
          <w:b/>
          <w:bCs/>
          <w:sz w:val="24"/>
          <w:szCs w:val="24"/>
          <w:lang w:val="en-US" w:eastAsia="en-GB"/>
        </w:rPr>
      </w:pPr>
      <w:bookmarkStart w:id="14" w:name="_Toc118354455"/>
    </w:p>
    <w:p w14:paraId="7D57CEC7" w14:textId="7BBC7A38" w:rsidR="002735D6" w:rsidRDefault="00812E2D" w:rsidP="002735D6">
      <w:pPr>
        <w:widowControl w:val="0"/>
        <w:autoSpaceDE w:val="0"/>
        <w:autoSpaceDN w:val="0"/>
        <w:spacing w:after="0" w:line="240" w:lineRule="auto"/>
        <w:ind w:left="720" w:hanging="720"/>
        <w:contextualSpacing/>
        <w:rPr>
          <w:rFonts w:ascii="Arial" w:hAnsi="Arial"/>
        </w:rPr>
      </w:pPr>
      <w:bookmarkStart w:id="15" w:name="_Toc118354457"/>
      <w:bookmarkEnd w:id="14"/>
      <w:r w:rsidRPr="00812E2D">
        <w:rPr>
          <w:rFonts w:ascii="Arial" w:eastAsia="Times New Roman" w:hAnsi="Arial" w:cs="Arial"/>
          <w:lang w:val="en-US" w:eastAsia="en-GB"/>
        </w:rPr>
        <w:t>1</w:t>
      </w:r>
      <w:r w:rsidR="008F77D5">
        <w:rPr>
          <w:rFonts w:ascii="Arial" w:eastAsia="Times New Roman" w:hAnsi="Arial" w:cs="Arial"/>
          <w:lang w:val="en-US" w:eastAsia="en-GB"/>
        </w:rPr>
        <w:t>9</w:t>
      </w:r>
      <w:r w:rsidRPr="00812E2D">
        <w:rPr>
          <w:rFonts w:ascii="Arial" w:eastAsia="Times New Roman" w:hAnsi="Arial" w:cs="Arial"/>
          <w:lang w:val="en-US" w:eastAsia="en-GB"/>
        </w:rPr>
        <w:t>.</w:t>
      </w:r>
      <w:r w:rsidR="005C713A">
        <w:rPr>
          <w:rFonts w:ascii="Arial" w:eastAsia="Times New Roman" w:hAnsi="Arial" w:cs="Arial"/>
          <w:lang w:val="en-US" w:eastAsia="en-GB"/>
        </w:rPr>
        <w:t>4</w:t>
      </w:r>
      <w:r w:rsidRPr="00812E2D">
        <w:rPr>
          <w:rFonts w:ascii="Arial" w:eastAsia="Times New Roman" w:hAnsi="Arial" w:cs="Arial"/>
          <w:lang w:val="en-US" w:eastAsia="en-GB"/>
        </w:rPr>
        <w:tab/>
      </w:r>
      <w:r w:rsidR="002735D6" w:rsidRPr="00812E2D">
        <w:rPr>
          <w:rFonts w:ascii="Arial" w:eastAsia="Times New Roman" w:hAnsi="Arial" w:cs="Arial"/>
          <w:lang w:val="en-US" w:eastAsia="en-GB"/>
        </w:rPr>
        <w:t>Other/Non-Quantifiable Benefits/Outcomes</w:t>
      </w:r>
      <w:bookmarkEnd w:id="15"/>
      <w:r w:rsidR="002735D6">
        <w:rPr>
          <w:rFonts w:ascii="Arial" w:eastAsia="Times New Roman" w:hAnsi="Arial" w:cs="Arial"/>
          <w:lang w:val="en-US" w:eastAsia="en-GB"/>
        </w:rPr>
        <w:t xml:space="preserve">: </w:t>
      </w:r>
      <w:r w:rsidR="002735D6" w:rsidRPr="0068516A">
        <w:rPr>
          <w:rFonts w:ascii="Arial" w:hAnsi="Arial"/>
        </w:rPr>
        <w:t>B</w:t>
      </w:r>
      <w:r w:rsidR="002735D6" w:rsidRPr="0074741D">
        <w:rPr>
          <w:rFonts w:ascii="Arial" w:hAnsi="Arial"/>
        </w:rPr>
        <w:t xml:space="preserve">eyond the standard outputs/outcomes </w:t>
      </w:r>
    </w:p>
    <w:p w14:paraId="2CA4A50D" w14:textId="77777777" w:rsidR="002735D6" w:rsidRDefault="002735D6" w:rsidP="00812E2D">
      <w:pPr>
        <w:widowControl w:val="0"/>
        <w:autoSpaceDE w:val="0"/>
        <w:autoSpaceDN w:val="0"/>
        <w:spacing w:after="0" w:line="240" w:lineRule="auto"/>
        <w:ind w:left="720"/>
        <w:contextualSpacing/>
        <w:rPr>
          <w:rFonts w:ascii="Arial" w:hAnsi="Arial"/>
        </w:rPr>
      </w:pPr>
      <w:r w:rsidRPr="0074741D">
        <w:rPr>
          <w:rFonts w:ascii="Arial" w:hAnsi="Arial"/>
        </w:rPr>
        <w:t xml:space="preserve">recognised by UKSPF, your project may also offer additional benefits. These will be </w:t>
      </w:r>
    </w:p>
    <w:p w14:paraId="0444BEA6" w14:textId="459C9B9A" w:rsidR="002735D6" w:rsidRPr="00812E2D" w:rsidRDefault="002735D6" w:rsidP="00812E2D">
      <w:pPr>
        <w:widowControl w:val="0"/>
        <w:autoSpaceDE w:val="0"/>
        <w:autoSpaceDN w:val="0"/>
        <w:spacing w:after="0" w:line="240" w:lineRule="auto"/>
        <w:ind w:left="720"/>
        <w:contextualSpacing/>
        <w:rPr>
          <w:rFonts w:ascii="Arial" w:hAnsi="Arial"/>
        </w:rPr>
      </w:pPr>
      <w:r w:rsidRPr="0074741D">
        <w:rPr>
          <w:rFonts w:ascii="Arial" w:hAnsi="Arial"/>
        </w:rPr>
        <w:t>improvements that result from an outcome and provide an advantage to beneficiaries but that aren’t represented in the UKSPF Outputs and Outcomes Definitions. Including additional benefits in your business case also contributes to the added value of the proposed projec</w:t>
      </w:r>
      <w:r w:rsidRPr="0068516A">
        <w:rPr>
          <w:rFonts w:ascii="Arial" w:hAnsi="Arial"/>
        </w:rPr>
        <w:t>t</w:t>
      </w:r>
      <w:r w:rsidRPr="0074741D">
        <w:rPr>
          <w:rFonts w:ascii="Arial" w:hAnsi="Arial"/>
        </w:rPr>
        <w:t>.</w:t>
      </w:r>
    </w:p>
    <w:p w14:paraId="10A64D4D" w14:textId="77777777" w:rsidR="005B54E5" w:rsidRDefault="005B54E5" w:rsidP="00812E2D">
      <w:pPr>
        <w:spacing w:after="0" w:line="240" w:lineRule="auto"/>
        <w:rPr>
          <w:rFonts w:ascii="Arial" w:hAnsi="Arial" w:cs="Arial"/>
        </w:rPr>
      </w:pPr>
    </w:p>
    <w:p w14:paraId="18C97394" w14:textId="62B56C51" w:rsidR="00797A7F" w:rsidRPr="00797A7F" w:rsidRDefault="00797A7F" w:rsidP="00812E2D">
      <w:pPr>
        <w:spacing w:after="0" w:line="240" w:lineRule="auto"/>
        <w:rPr>
          <w:rFonts w:ascii="Arial" w:eastAsia="Times New Roman" w:hAnsi="Arial" w:cs="Arial"/>
          <w:b/>
          <w:bCs/>
          <w:sz w:val="24"/>
          <w:szCs w:val="24"/>
          <w:lang w:val="en-US" w:eastAsia="en-GB"/>
        </w:rPr>
      </w:pPr>
      <w:r w:rsidRPr="00797A7F">
        <w:rPr>
          <w:rFonts w:ascii="Arial" w:hAnsi="Arial" w:cs="Arial"/>
          <w:b/>
          <w:bCs/>
        </w:rPr>
        <w:t>2</w:t>
      </w:r>
      <w:r w:rsidR="00F0207D">
        <w:rPr>
          <w:rFonts w:ascii="Arial" w:hAnsi="Arial" w:cs="Arial"/>
          <w:b/>
          <w:bCs/>
        </w:rPr>
        <w:t>0</w:t>
      </w:r>
      <w:r w:rsidRPr="00797A7F">
        <w:rPr>
          <w:rFonts w:ascii="Arial" w:hAnsi="Arial" w:cs="Arial"/>
          <w:b/>
          <w:bCs/>
        </w:rPr>
        <w:tab/>
      </w:r>
      <w:r w:rsidRPr="00797A7F">
        <w:rPr>
          <w:rFonts w:ascii="Arial" w:eastAsia="Times New Roman" w:hAnsi="Arial" w:cs="Arial"/>
          <w:b/>
          <w:bCs/>
          <w:sz w:val="24"/>
          <w:szCs w:val="24"/>
          <w:lang w:val="en-US" w:eastAsia="en-GB"/>
        </w:rPr>
        <w:t>Participants: Right to Work in the UK</w:t>
      </w:r>
    </w:p>
    <w:p w14:paraId="55AA6AEC" w14:textId="77777777" w:rsidR="00797A7F" w:rsidRDefault="00797A7F" w:rsidP="00812E2D">
      <w:pPr>
        <w:spacing w:after="0" w:line="240" w:lineRule="auto"/>
        <w:rPr>
          <w:rFonts w:ascii="Arial" w:hAnsi="Arial" w:cs="Arial"/>
        </w:rPr>
      </w:pPr>
    </w:p>
    <w:p w14:paraId="14EF9D1D" w14:textId="29A4C46B" w:rsidR="00427171" w:rsidRPr="00ED405B" w:rsidRDefault="00F0207D" w:rsidP="00F77BAA">
      <w:pPr>
        <w:widowControl w:val="0"/>
        <w:autoSpaceDE w:val="0"/>
        <w:autoSpaceDN w:val="0"/>
        <w:spacing w:after="0" w:line="240" w:lineRule="auto"/>
        <w:ind w:left="720" w:hanging="720"/>
        <w:contextualSpacing/>
        <w:rPr>
          <w:rFonts w:ascii="Arial" w:eastAsia="Times New Roman" w:hAnsi="Arial" w:cs="Arial"/>
          <w:lang w:val="en-US" w:eastAsia="en-GB"/>
        </w:rPr>
      </w:pPr>
      <w:r>
        <w:rPr>
          <w:rFonts w:ascii="Arial" w:hAnsi="Arial" w:cs="Arial"/>
        </w:rPr>
        <w:t>20.1</w:t>
      </w:r>
      <w:r>
        <w:rPr>
          <w:rFonts w:ascii="Arial" w:hAnsi="Arial" w:cs="Arial"/>
        </w:rPr>
        <w:tab/>
      </w:r>
      <w:r w:rsidR="00603F52" w:rsidRPr="00ED405B">
        <w:rPr>
          <w:rFonts w:ascii="Arial" w:eastAsia="Times New Roman" w:hAnsi="Arial" w:cs="Arial"/>
          <w:lang w:val="en-US" w:eastAsia="en-GB"/>
        </w:rPr>
        <w:t>To be eligible for this activity all</w:t>
      </w:r>
      <w:r w:rsidRPr="00ED405B">
        <w:rPr>
          <w:rFonts w:ascii="Arial" w:eastAsia="Times New Roman" w:hAnsi="Arial" w:cs="Arial"/>
          <w:lang w:val="en-US" w:eastAsia="en-GB"/>
        </w:rPr>
        <w:t xml:space="preserve"> participants must </w:t>
      </w:r>
      <w:r w:rsidR="00603F52" w:rsidRPr="00ED405B">
        <w:rPr>
          <w:rFonts w:ascii="Arial" w:eastAsia="Times New Roman" w:hAnsi="Arial" w:cs="Arial"/>
          <w:lang w:val="en-US" w:eastAsia="en-GB"/>
        </w:rPr>
        <w:t xml:space="preserve">be able to </w:t>
      </w:r>
      <w:r w:rsidRPr="00ED405B">
        <w:rPr>
          <w:rFonts w:ascii="Arial" w:eastAsia="Times New Roman" w:hAnsi="Arial" w:cs="Arial"/>
          <w:lang w:val="en-US" w:eastAsia="en-GB"/>
        </w:rPr>
        <w:t>prove</w:t>
      </w:r>
      <w:r w:rsidR="00603F52" w:rsidRPr="00ED405B">
        <w:rPr>
          <w:rFonts w:ascii="Arial" w:eastAsia="Times New Roman" w:hAnsi="Arial" w:cs="Arial"/>
          <w:lang w:val="en-US" w:eastAsia="en-GB"/>
        </w:rPr>
        <w:t xml:space="preserve"> the </w:t>
      </w:r>
      <w:r w:rsidRPr="00ED405B">
        <w:rPr>
          <w:rFonts w:ascii="Arial" w:eastAsia="Times New Roman" w:hAnsi="Arial" w:cs="Arial"/>
          <w:lang w:val="en-US" w:eastAsia="en-GB"/>
        </w:rPr>
        <w:t>right to work in the UK</w:t>
      </w:r>
      <w:r w:rsidR="00603F52" w:rsidRPr="00ED405B">
        <w:rPr>
          <w:rFonts w:ascii="Arial" w:eastAsia="Times New Roman" w:hAnsi="Arial" w:cs="Arial"/>
          <w:lang w:val="en-US" w:eastAsia="en-GB"/>
        </w:rPr>
        <w:t>.</w:t>
      </w:r>
      <w:r w:rsidR="00A37555" w:rsidRPr="00ED405B">
        <w:t xml:space="preserve"> </w:t>
      </w:r>
      <w:r w:rsidR="00A37555" w:rsidRPr="00ED405B">
        <w:rPr>
          <w:rFonts w:ascii="Arial" w:eastAsia="Times New Roman" w:hAnsi="Arial" w:cs="Arial"/>
          <w:lang w:val="en-US" w:eastAsia="en-GB"/>
        </w:rPr>
        <w:t xml:space="preserve">To ensure the participant meets </w:t>
      </w:r>
      <w:r w:rsidR="001C3455" w:rsidRPr="00ED405B">
        <w:rPr>
          <w:rFonts w:ascii="Arial" w:eastAsia="Times New Roman" w:hAnsi="Arial" w:cs="Arial"/>
          <w:lang w:val="en-US" w:eastAsia="en-GB"/>
        </w:rPr>
        <w:t>these criteria</w:t>
      </w:r>
      <w:r w:rsidR="00A37555" w:rsidRPr="00ED405B">
        <w:rPr>
          <w:rFonts w:ascii="Arial" w:eastAsia="Times New Roman" w:hAnsi="Arial" w:cs="Arial"/>
          <w:lang w:val="en-US" w:eastAsia="en-GB"/>
        </w:rPr>
        <w:t>, the participant must provide</w:t>
      </w:r>
      <w:r w:rsidR="00427171" w:rsidRPr="00ED405B">
        <w:rPr>
          <w:rFonts w:ascii="Arial" w:eastAsia="Times New Roman" w:hAnsi="Arial" w:cs="Arial"/>
          <w:lang w:val="en-US" w:eastAsia="en-GB"/>
        </w:rPr>
        <w:t xml:space="preserve"> appropriate evidence.</w:t>
      </w:r>
      <w:r w:rsidR="00427171" w:rsidRPr="00ED405B">
        <w:t xml:space="preserve"> </w:t>
      </w:r>
      <w:r w:rsidR="00603F52" w:rsidRPr="00ED405B">
        <w:rPr>
          <w:rFonts w:ascii="Arial" w:eastAsia="Times New Roman" w:hAnsi="Arial" w:cs="Arial"/>
          <w:lang w:val="en-US" w:eastAsia="en-GB"/>
        </w:rPr>
        <w:t xml:space="preserve"> </w:t>
      </w:r>
    </w:p>
    <w:p w14:paraId="74EEE4C8" w14:textId="77777777" w:rsidR="00427171" w:rsidRPr="00ED405B" w:rsidRDefault="00427171" w:rsidP="00F77BAA">
      <w:pPr>
        <w:widowControl w:val="0"/>
        <w:autoSpaceDE w:val="0"/>
        <w:autoSpaceDN w:val="0"/>
        <w:spacing w:after="0" w:line="240" w:lineRule="auto"/>
        <w:ind w:left="720" w:hanging="720"/>
        <w:contextualSpacing/>
        <w:rPr>
          <w:rFonts w:ascii="Arial" w:eastAsia="Times New Roman" w:hAnsi="Arial" w:cs="Arial"/>
          <w:lang w:val="en-US" w:eastAsia="en-GB"/>
        </w:rPr>
      </w:pPr>
    </w:p>
    <w:p w14:paraId="109FB18E" w14:textId="64209257" w:rsidR="007639C8" w:rsidRPr="00ED405B" w:rsidRDefault="00427171" w:rsidP="00CB1E8F">
      <w:pPr>
        <w:widowControl w:val="0"/>
        <w:autoSpaceDE w:val="0"/>
        <w:autoSpaceDN w:val="0"/>
        <w:spacing w:after="0" w:line="240" w:lineRule="auto"/>
        <w:ind w:left="720" w:hanging="720"/>
        <w:contextualSpacing/>
        <w:rPr>
          <w:rFonts w:ascii="Arial" w:eastAsia="Times New Roman" w:hAnsi="Arial" w:cs="Arial"/>
          <w:lang w:val="en-US" w:eastAsia="en-GB"/>
        </w:rPr>
      </w:pPr>
      <w:r w:rsidRPr="00ED405B">
        <w:rPr>
          <w:rFonts w:ascii="Arial" w:eastAsia="Times New Roman" w:hAnsi="Arial" w:cs="Arial"/>
          <w:lang w:val="en-US" w:eastAsia="en-GB"/>
        </w:rPr>
        <w:t>2</w:t>
      </w:r>
      <w:r w:rsidR="00266A34" w:rsidRPr="00ED405B">
        <w:rPr>
          <w:rFonts w:ascii="Arial" w:eastAsia="Times New Roman" w:hAnsi="Arial" w:cs="Arial"/>
          <w:lang w:val="en-US" w:eastAsia="en-GB"/>
        </w:rPr>
        <w:t>0.2</w:t>
      </w:r>
      <w:r w:rsidR="00266A34" w:rsidRPr="00ED405B">
        <w:rPr>
          <w:rFonts w:ascii="Arial" w:eastAsia="Times New Roman" w:hAnsi="Arial" w:cs="Arial"/>
          <w:lang w:val="en-US" w:eastAsia="en-GB"/>
        </w:rPr>
        <w:tab/>
      </w:r>
      <w:r w:rsidR="00676802" w:rsidRPr="00ED405B">
        <w:rPr>
          <w:rFonts w:ascii="Arial" w:eastAsia="Times New Roman" w:hAnsi="Arial" w:cs="Arial"/>
          <w:lang w:val="en-US" w:eastAsia="en-GB"/>
        </w:rPr>
        <w:t xml:space="preserve">For further details regarding the </w:t>
      </w:r>
      <w:r w:rsidR="00432943" w:rsidRPr="00ED405B">
        <w:rPr>
          <w:rFonts w:ascii="Arial" w:eastAsia="Times New Roman" w:hAnsi="Arial" w:cs="Arial"/>
          <w:lang w:val="en-US" w:eastAsia="en-GB"/>
        </w:rPr>
        <w:t>‘right to work’ in the UK</w:t>
      </w:r>
      <w:r w:rsidR="00F77BAA" w:rsidRPr="00ED405B">
        <w:rPr>
          <w:rFonts w:ascii="Arial" w:eastAsia="Times New Roman" w:hAnsi="Arial" w:cs="Arial"/>
          <w:lang w:val="en-US" w:eastAsia="en-GB"/>
        </w:rPr>
        <w:t xml:space="preserve"> please see the links below. This guidance </w:t>
      </w:r>
      <w:r w:rsidR="00C41800" w:rsidRPr="00ED405B">
        <w:rPr>
          <w:rFonts w:ascii="Arial" w:eastAsia="Times New Roman" w:hAnsi="Arial" w:cs="Arial"/>
          <w:lang w:val="en-US" w:eastAsia="en-GB"/>
        </w:rPr>
        <w:t>explains what employers must do to prevent illegal working in the UK by carrying out right to work checks on people before employing them to make sure they are allowed to work.</w:t>
      </w:r>
      <w:r w:rsidR="00F77BAA" w:rsidRPr="00ED405B">
        <w:rPr>
          <w:rFonts w:ascii="Arial" w:eastAsia="Times New Roman" w:hAnsi="Arial" w:cs="Arial"/>
          <w:lang w:val="en-US" w:eastAsia="en-GB"/>
        </w:rPr>
        <w:t xml:space="preserve"> </w:t>
      </w:r>
    </w:p>
    <w:p w14:paraId="667C5314" w14:textId="77777777" w:rsidR="00CB1E8F" w:rsidRPr="00D25E5D" w:rsidRDefault="00CB1E8F" w:rsidP="00CB1E8F">
      <w:pPr>
        <w:widowControl w:val="0"/>
        <w:autoSpaceDE w:val="0"/>
        <w:autoSpaceDN w:val="0"/>
        <w:spacing w:after="0" w:line="240" w:lineRule="auto"/>
        <w:ind w:left="720" w:hanging="720"/>
        <w:contextualSpacing/>
        <w:rPr>
          <w:rFonts w:ascii="Arial" w:eastAsia="Times New Roman" w:hAnsi="Arial" w:cs="Arial"/>
          <w:color w:val="FF0000"/>
          <w:lang w:val="en-US" w:eastAsia="en-GB"/>
        </w:rPr>
      </w:pPr>
    </w:p>
    <w:p w14:paraId="0436D9CC" w14:textId="212DC3B7" w:rsidR="007639C8" w:rsidRDefault="000148BB" w:rsidP="007639C8">
      <w:pPr>
        <w:widowControl w:val="0"/>
        <w:autoSpaceDE w:val="0"/>
        <w:autoSpaceDN w:val="0"/>
        <w:spacing w:after="0" w:line="240" w:lineRule="auto"/>
        <w:ind w:left="720"/>
        <w:contextualSpacing/>
        <w:rPr>
          <w:rFonts w:ascii="Arial" w:eastAsia="Times New Roman" w:hAnsi="Arial" w:cs="Arial"/>
          <w:lang w:val="en-US" w:eastAsia="en-GB"/>
        </w:rPr>
      </w:pPr>
      <w:hyperlink r:id="rId16" w:history="1">
        <w:r w:rsidR="0017416E" w:rsidRPr="00EC660C">
          <w:rPr>
            <w:rStyle w:val="Hyperlink"/>
            <w:rFonts w:ascii="Arial" w:eastAsia="Times New Roman" w:hAnsi="Arial" w:cs="Arial"/>
            <w:lang w:val="en-US" w:eastAsia="en-GB"/>
          </w:rPr>
          <w:t>https://www.gov.uk/legal-right-work-uk</w:t>
        </w:r>
      </w:hyperlink>
    </w:p>
    <w:p w14:paraId="046116CC" w14:textId="77777777" w:rsidR="0017416E" w:rsidRDefault="0017416E" w:rsidP="007639C8">
      <w:pPr>
        <w:widowControl w:val="0"/>
        <w:autoSpaceDE w:val="0"/>
        <w:autoSpaceDN w:val="0"/>
        <w:spacing w:after="0" w:line="240" w:lineRule="auto"/>
        <w:ind w:left="720"/>
        <w:contextualSpacing/>
        <w:rPr>
          <w:rFonts w:ascii="Arial" w:eastAsia="Times New Roman" w:hAnsi="Arial" w:cs="Arial"/>
          <w:lang w:val="en-US" w:eastAsia="en-GB"/>
        </w:rPr>
      </w:pPr>
    </w:p>
    <w:p w14:paraId="4E7E556E" w14:textId="5E23C0E5" w:rsidR="0017416E" w:rsidRDefault="000148BB" w:rsidP="007639C8">
      <w:pPr>
        <w:widowControl w:val="0"/>
        <w:autoSpaceDE w:val="0"/>
        <w:autoSpaceDN w:val="0"/>
        <w:spacing w:after="0" w:line="240" w:lineRule="auto"/>
        <w:ind w:left="720"/>
        <w:contextualSpacing/>
        <w:rPr>
          <w:rFonts w:ascii="Arial" w:eastAsia="Times New Roman" w:hAnsi="Arial" w:cs="Arial"/>
          <w:lang w:val="en-US" w:eastAsia="en-GB"/>
        </w:rPr>
      </w:pPr>
      <w:hyperlink r:id="rId17" w:history="1">
        <w:r w:rsidR="0017416E" w:rsidRPr="00EC660C">
          <w:rPr>
            <w:rStyle w:val="Hyperlink"/>
            <w:rFonts w:ascii="Arial" w:eastAsia="Times New Roman" w:hAnsi="Arial" w:cs="Arial"/>
            <w:lang w:val="en-US" w:eastAsia="en-GB"/>
          </w:rPr>
          <w:t>https://www.gov.uk/government/publications/right-to-work-checks-employers-guide</w:t>
        </w:r>
      </w:hyperlink>
    </w:p>
    <w:p w14:paraId="15674A49" w14:textId="77777777" w:rsidR="00432943" w:rsidRDefault="00432943" w:rsidP="00676802">
      <w:pPr>
        <w:widowControl w:val="0"/>
        <w:autoSpaceDE w:val="0"/>
        <w:autoSpaceDN w:val="0"/>
        <w:spacing w:after="0" w:line="240" w:lineRule="auto"/>
        <w:ind w:left="720" w:hanging="720"/>
        <w:contextualSpacing/>
        <w:rPr>
          <w:rFonts w:ascii="Arial" w:eastAsia="Times New Roman" w:hAnsi="Arial" w:cs="Arial"/>
          <w:lang w:val="en-US" w:eastAsia="en-GB"/>
        </w:rPr>
      </w:pPr>
    </w:p>
    <w:p w14:paraId="0CED7B27" w14:textId="7052EDFF" w:rsidR="00F0207D" w:rsidRPr="00CB1E8F" w:rsidRDefault="000148BB" w:rsidP="00CB1E8F">
      <w:pPr>
        <w:widowControl w:val="0"/>
        <w:autoSpaceDE w:val="0"/>
        <w:autoSpaceDN w:val="0"/>
        <w:spacing w:after="0" w:line="240" w:lineRule="auto"/>
        <w:ind w:left="720"/>
        <w:contextualSpacing/>
        <w:rPr>
          <w:rFonts w:ascii="Arial" w:eastAsia="Times New Roman" w:hAnsi="Arial" w:cs="Arial"/>
          <w:lang w:val="en-US" w:eastAsia="en-GB"/>
        </w:rPr>
      </w:pPr>
      <w:hyperlink r:id="rId18" w:history="1">
        <w:r w:rsidR="0017416E" w:rsidRPr="00EC660C">
          <w:rPr>
            <w:rStyle w:val="Hyperlink"/>
            <w:rFonts w:ascii="Arial" w:eastAsia="Times New Roman" w:hAnsi="Arial" w:cs="Arial"/>
            <w:lang w:val="en-US" w:eastAsia="en-GB"/>
          </w:rPr>
          <w:t>https://www.citizensadvice.org.uk/work/right-to-work-in-the-uk/check-how-to-prove-your-right-to-work-in-the-uk/</w:t>
        </w:r>
      </w:hyperlink>
    </w:p>
    <w:p w14:paraId="50D3E08D" w14:textId="77777777" w:rsidR="00797A7F" w:rsidRDefault="00797A7F" w:rsidP="00812E2D">
      <w:pPr>
        <w:spacing w:after="0" w:line="240" w:lineRule="auto"/>
        <w:rPr>
          <w:rFonts w:ascii="Arial" w:hAnsi="Arial" w:cs="Arial"/>
        </w:rPr>
      </w:pPr>
    </w:p>
    <w:p w14:paraId="683E9817" w14:textId="137CE586" w:rsidR="00D80A66" w:rsidRPr="008F77D5" w:rsidRDefault="008F77D5" w:rsidP="008F77D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2</w:t>
      </w:r>
      <w:r w:rsidR="00990C24">
        <w:rPr>
          <w:rFonts w:ascii="Arial" w:eastAsia="Times New Roman" w:hAnsi="Arial" w:cs="Arial"/>
          <w:b/>
          <w:bCs/>
          <w:sz w:val="24"/>
          <w:szCs w:val="24"/>
          <w:lang w:val="en-US" w:eastAsia="en-GB"/>
        </w:rPr>
        <w:t>1</w:t>
      </w:r>
      <w:r>
        <w:rPr>
          <w:rFonts w:ascii="Arial" w:eastAsia="Times New Roman" w:hAnsi="Arial" w:cs="Arial"/>
          <w:b/>
          <w:bCs/>
          <w:sz w:val="24"/>
          <w:szCs w:val="24"/>
          <w:lang w:val="en-US" w:eastAsia="en-GB"/>
        </w:rPr>
        <w:tab/>
      </w:r>
      <w:r w:rsidR="00D80A66" w:rsidRPr="008F77D5">
        <w:rPr>
          <w:rFonts w:ascii="Arial" w:eastAsia="Times New Roman" w:hAnsi="Arial" w:cs="Arial"/>
          <w:b/>
          <w:bCs/>
          <w:sz w:val="24"/>
          <w:szCs w:val="24"/>
          <w:lang w:val="en-US" w:eastAsia="en-GB"/>
        </w:rPr>
        <w:t xml:space="preserve">Payment in arrears </w:t>
      </w:r>
    </w:p>
    <w:p w14:paraId="445D8B9D" w14:textId="77777777" w:rsidR="00D80A66" w:rsidRPr="00043C14" w:rsidRDefault="00D80A66" w:rsidP="00D80A66">
      <w:pPr>
        <w:widowControl w:val="0"/>
        <w:autoSpaceDE w:val="0"/>
        <w:autoSpaceDN w:val="0"/>
        <w:spacing w:after="0" w:line="240" w:lineRule="auto"/>
        <w:contextualSpacing/>
        <w:rPr>
          <w:rFonts w:ascii="Arial" w:eastAsia="Times New Roman" w:hAnsi="Arial" w:cs="Arial"/>
          <w:b/>
          <w:bCs/>
          <w:lang w:val="en-US" w:eastAsia="en-GB"/>
        </w:rPr>
      </w:pPr>
    </w:p>
    <w:p w14:paraId="53C1D708" w14:textId="30ACA6A0" w:rsidR="00D80A66" w:rsidRDefault="008F77D5" w:rsidP="00812E2D">
      <w:pPr>
        <w:widowControl w:val="0"/>
        <w:autoSpaceDE w:val="0"/>
        <w:autoSpaceDN w:val="0"/>
        <w:spacing w:after="0" w:line="240" w:lineRule="auto"/>
        <w:ind w:left="720" w:hanging="720"/>
        <w:textAlignment w:val="baseline"/>
        <w:rPr>
          <w:rFonts w:ascii="Arial" w:eastAsia="Arial" w:hAnsi="Arial" w:cs="Arial"/>
          <w:lang w:val="en-US"/>
        </w:rPr>
      </w:pPr>
      <w:r>
        <w:rPr>
          <w:rFonts w:ascii="Arial" w:eastAsia="Arial" w:hAnsi="Arial" w:cs="Arial"/>
          <w:lang w:val="en-US"/>
        </w:rPr>
        <w:t>2</w:t>
      </w:r>
      <w:r w:rsidR="00990C24">
        <w:rPr>
          <w:rFonts w:ascii="Arial" w:eastAsia="Arial" w:hAnsi="Arial" w:cs="Arial"/>
          <w:lang w:val="en-US"/>
        </w:rPr>
        <w:t>1</w:t>
      </w:r>
      <w:r w:rsidR="00812E2D">
        <w:rPr>
          <w:rFonts w:ascii="Arial" w:eastAsia="Arial" w:hAnsi="Arial" w:cs="Arial"/>
          <w:lang w:val="en-US"/>
        </w:rPr>
        <w:t>.1</w:t>
      </w:r>
      <w:r w:rsidR="00812E2D">
        <w:rPr>
          <w:rFonts w:ascii="Arial" w:eastAsia="Arial" w:hAnsi="Arial" w:cs="Arial"/>
          <w:lang w:val="en-US"/>
        </w:rPr>
        <w:tab/>
      </w:r>
      <w:r w:rsidR="00D80A66" w:rsidRPr="0068516A">
        <w:rPr>
          <w:rFonts w:ascii="Arial" w:eastAsia="Arial" w:hAnsi="Arial" w:cs="Arial"/>
          <w:lang w:val="en-US"/>
        </w:rPr>
        <w:t>NTCA</w:t>
      </w:r>
      <w:r w:rsidR="00D80A66" w:rsidRPr="00973A49">
        <w:rPr>
          <w:rFonts w:ascii="Arial" w:eastAsia="Arial" w:hAnsi="Arial" w:cs="Arial"/>
          <w:lang w:val="en-US"/>
        </w:rPr>
        <w:t xml:space="preserve">’s UKSPF claim process operates quarterly in arrears with projects able to claim for actual expenditure on project activities on a quarterly basis after the money has been spent.  Applicant organisations are required to cashflow the project prior to receiving the first claim payment; this needs to be factored into project planning and </w:t>
      </w:r>
      <w:r w:rsidR="00D80A66" w:rsidRPr="00973A49">
        <w:rPr>
          <w:rFonts w:ascii="Arial" w:eastAsia="Arial" w:hAnsi="Arial" w:cs="Arial"/>
          <w:lang w:val="en-US"/>
        </w:rPr>
        <w:lastRenderedPageBreak/>
        <w:t xml:space="preserve">financial profiles included within the </w:t>
      </w:r>
      <w:r w:rsidR="00D80A66">
        <w:rPr>
          <w:rFonts w:ascii="Arial" w:eastAsia="Arial" w:hAnsi="Arial" w:cs="Arial"/>
          <w:lang w:val="en-US"/>
        </w:rPr>
        <w:t>project application.</w:t>
      </w:r>
    </w:p>
    <w:p w14:paraId="4E63354F" w14:textId="77777777" w:rsidR="00D80A66" w:rsidRDefault="00D80A66" w:rsidP="00B03D94">
      <w:pPr>
        <w:widowControl w:val="0"/>
        <w:autoSpaceDE w:val="0"/>
        <w:autoSpaceDN w:val="0"/>
        <w:spacing w:after="0" w:line="240" w:lineRule="auto"/>
        <w:textAlignment w:val="baseline"/>
        <w:rPr>
          <w:rFonts w:ascii="Arial" w:eastAsia="Arial" w:hAnsi="Arial" w:cs="Arial"/>
          <w:lang w:val="en-US"/>
        </w:rPr>
      </w:pPr>
    </w:p>
    <w:p w14:paraId="4F00E4A6" w14:textId="21DFEFEC" w:rsidR="00D80A66" w:rsidRDefault="008F77D5" w:rsidP="00812E2D">
      <w:pPr>
        <w:widowControl w:val="0"/>
        <w:autoSpaceDE w:val="0"/>
        <w:autoSpaceDN w:val="0"/>
        <w:spacing w:after="0" w:line="240" w:lineRule="auto"/>
        <w:ind w:left="720" w:hanging="720"/>
        <w:textAlignment w:val="baseline"/>
        <w:rPr>
          <w:rFonts w:ascii="Arial" w:eastAsia="Arial" w:hAnsi="Arial" w:cs="Arial"/>
          <w:lang w:val="en-US"/>
        </w:rPr>
      </w:pPr>
      <w:r>
        <w:rPr>
          <w:rFonts w:ascii="Arial" w:eastAsia="Arial" w:hAnsi="Arial" w:cs="Arial"/>
          <w:lang w:val="en-US"/>
        </w:rPr>
        <w:t>2</w:t>
      </w:r>
      <w:r w:rsidR="00990C24">
        <w:rPr>
          <w:rFonts w:ascii="Arial" w:eastAsia="Arial" w:hAnsi="Arial" w:cs="Arial"/>
          <w:lang w:val="en-US"/>
        </w:rPr>
        <w:t>1</w:t>
      </w:r>
      <w:r w:rsidR="00812E2D">
        <w:rPr>
          <w:rFonts w:ascii="Arial" w:eastAsia="Arial" w:hAnsi="Arial" w:cs="Arial"/>
          <w:lang w:val="en-US"/>
        </w:rPr>
        <w:t>.2</w:t>
      </w:r>
      <w:r w:rsidR="00812E2D">
        <w:rPr>
          <w:rFonts w:ascii="Arial" w:eastAsia="Arial" w:hAnsi="Arial" w:cs="Arial"/>
          <w:lang w:val="en-US"/>
        </w:rPr>
        <w:tab/>
      </w:r>
      <w:r w:rsidR="00D80A66" w:rsidRPr="00973A49">
        <w:rPr>
          <w:rFonts w:ascii="Arial" w:eastAsia="Arial" w:hAnsi="Arial" w:cs="Arial"/>
          <w:lang w:val="en-US"/>
        </w:rPr>
        <w:t xml:space="preserve">If the project cannot be delivered on this payment </w:t>
      </w:r>
      <w:r w:rsidR="000148BB" w:rsidRPr="00973A49">
        <w:rPr>
          <w:rFonts w:ascii="Arial" w:eastAsia="Arial" w:hAnsi="Arial" w:cs="Arial"/>
          <w:lang w:val="en-US"/>
        </w:rPr>
        <w:t>basis,</w:t>
      </w:r>
      <w:r w:rsidR="00D80A66" w:rsidRPr="00973A49">
        <w:rPr>
          <w:rFonts w:ascii="Arial" w:eastAsia="Arial" w:hAnsi="Arial" w:cs="Arial"/>
          <w:lang w:val="en-US"/>
        </w:rPr>
        <w:t xml:space="preserve"> please contact the</w:t>
      </w:r>
      <w:r w:rsidR="00D80A66" w:rsidRPr="00973A49">
        <w:rPr>
          <w:rFonts w:ascii="Arial" w:eastAsia="Times New Roman" w:hAnsi="Arial" w:cs="Arial"/>
          <w:color w:val="404040"/>
          <w:lang w:val="en-US" w:eastAsia="en-GB"/>
        </w:rPr>
        <w:t xml:space="preserve"> </w:t>
      </w:r>
      <w:r w:rsidR="00D80A66" w:rsidRPr="0068516A">
        <w:rPr>
          <w:rFonts w:ascii="Arial" w:eastAsia="Arial" w:hAnsi="Arial" w:cs="Arial"/>
          <w:lang w:val="en-US"/>
        </w:rPr>
        <w:t xml:space="preserve">NTCA </w:t>
      </w:r>
      <w:r w:rsidR="00D80A66" w:rsidRPr="00973A49">
        <w:rPr>
          <w:rFonts w:ascii="Arial" w:eastAsia="Arial" w:hAnsi="Arial" w:cs="Arial"/>
          <w:lang w:val="en-US"/>
        </w:rPr>
        <w:t xml:space="preserve">at the earliest opportunity to discuss alternative cashflow and payment arrangements.  Any </w:t>
      </w:r>
      <w:r w:rsidR="00D80A66" w:rsidRPr="1D1A6796">
        <w:rPr>
          <w:rFonts w:ascii="Arial" w:eastAsia="Arial" w:hAnsi="Arial" w:cs="Arial"/>
          <w:lang w:val="en-US"/>
        </w:rPr>
        <w:t xml:space="preserve">alternatives are at the discretion of </w:t>
      </w:r>
      <w:r w:rsidR="005309E8" w:rsidRPr="1D1A6796">
        <w:rPr>
          <w:rFonts w:ascii="Arial" w:eastAsia="Arial" w:hAnsi="Arial" w:cs="Arial"/>
          <w:lang w:val="en-US"/>
        </w:rPr>
        <w:t>NTCA</w:t>
      </w:r>
      <w:r w:rsidR="00D80A66" w:rsidRPr="1D1A6796">
        <w:rPr>
          <w:rFonts w:ascii="Arial" w:eastAsia="Arial" w:hAnsi="Arial" w:cs="Arial"/>
          <w:lang w:val="en-US"/>
        </w:rPr>
        <w:t xml:space="preserve"> are subject to due diligence and may</w:t>
      </w:r>
      <w:r w:rsidR="005309E8" w:rsidRPr="1D1A6796">
        <w:rPr>
          <w:rFonts w:ascii="Arial" w:eastAsia="Arial" w:hAnsi="Arial" w:cs="Arial"/>
          <w:lang w:val="en-US"/>
        </w:rPr>
        <w:t xml:space="preserve"> </w:t>
      </w:r>
      <w:r w:rsidR="00D80A66" w:rsidRPr="1D1A6796">
        <w:rPr>
          <w:rFonts w:ascii="Arial" w:eastAsia="Arial" w:hAnsi="Arial" w:cs="Arial"/>
          <w:lang w:val="en-US"/>
        </w:rPr>
        <w:t xml:space="preserve">be withdrawn at any time. Once a complete claim is received against eligible expenditure as </w:t>
      </w:r>
      <w:r w:rsidR="00D80A66" w:rsidRPr="00973A49">
        <w:rPr>
          <w:rFonts w:ascii="Arial" w:eastAsia="Arial" w:hAnsi="Arial" w:cs="Arial"/>
          <w:lang w:val="en-US"/>
        </w:rPr>
        <w:t xml:space="preserve">described in the business case, </w:t>
      </w:r>
      <w:r w:rsidR="00D80A66" w:rsidRPr="0068516A">
        <w:rPr>
          <w:rFonts w:ascii="Arial" w:eastAsia="Arial" w:hAnsi="Arial" w:cs="Arial"/>
          <w:lang w:val="en-US"/>
        </w:rPr>
        <w:t xml:space="preserve">NTCA </w:t>
      </w:r>
      <w:r w:rsidR="00D80A66" w:rsidRPr="00973A49">
        <w:rPr>
          <w:rFonts w:ascii="Arial" w:eastAsia="Arial" w:hAnsi="Arial" w:cs="Arial"/>
          <w:lang w:val="en-US"/>
        </w:rPr>
        <w:t xml:space="preserve">will pay the grant to projects. </w:t>
      </w:r>
    </w:p>
    <w:p w14:paraId="411A4AA6" w14:textId="77777777" w:rsidR="00221F3D" w:rsidRDefault="00221F3D" w:rsidP="00961804">
      <w:pPr>
        <w:widowControl w:val="0"/>
        <w:autoSpaceDE w:val="0"/>
        <w:autoSpaceDN w:val="0"/>
        <w:spacing w:after="0" w:line="240" w:lineRule="auto"/>
        <w:jc w:val="both"/>
        <w:textAlignment w:val="baseline"/>
        <w:rPr>
          <w:rFonts w:ascii="Arial" w:eastAsia="Times New Roman" w:hAnsi="Arial" w:cs="Arial"/>
          <w:b/>
          <w:bCs/>
          <w:color w:val="404040"/>
          <w:lang w:val="en-US" w:eastAsia="en-GB"/>
        </w:rPr>
      </w:pPr>
    </w:p>
    <w:p w14:paraId="3D5C1D9B" w14:textId="7EC01F10" w:rsidR="006860E2" w:rsidRPr="008F77D5" w:rsidRDefault="008F77D5" w:rsidP="008F77D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2</w:t>
      </w:r>
      <w:r w:rsidR="00990C24">
        <w:rPr>
          <w:rFonts w:ascii="Arial" w:eastAsia="Times New Roman" w:hAnsi="Arial" w:cs="Arial"/>
          <w:b/>
          <w:bCs/>
          <w:sz w:val="24"/>
          <w:szCs w:val="24"/>
          <w:lang w:val="en-US" w:eastAsia="en-GB"/>
        </w:rPr>
        <w:t>2</w:t>
      </w:r>
      <w:r>
        <w:rPr>
          <w:rFonts w:ascii="Arial" w:eastAsia="Times New Roman" w:hAnsi="Arial" w:cs="Arial"/>
          <w:b/>
          <w:bCs/>
          <w:sz w:val="24"/>
          <w:szCs w:val="24"/>
          <w:lang w:val="en-US" w:eastAsia="en-GB"/>
        </w:rPr>
        <w:tab/>
      </w:r>
      <w:r w:rsidR="006860E2" w:rsidRPr="008F77D5">
        <w:rPr>
          <w:rFonts w:ascii="Arial" w:eastAsia="Times New Roman" w:hAnsi="Arial" w:cs="Arial"/>
          <w:b/>
          <w:bCs/>
          <w:sz w:val="24"/>
          <w:szCs w:val="24"/>
          <w:lang w:val="en-US" w:eastAsia="en-GB"/>
        </w:rPr>
        <w:t>Procurement</w:t>
      </w:r>
    </w:p>
    <w:p w14:paraId="4D736DFA" w14:textId="77777777" w:rsidR="00BB730B" w:rsidRPr="00BB730B" w:rsidRDefault="00BB730B" w:rsidP="00BB730B">
      <w:pPr>
        <w:widowControl w:val="0"/>
        <w:autoSpaceDE w:val="0"/>
        <w:autoSpaceDN w:val="0"/>
        <w:spacing w:after="0" w:line="240" w:lineRule="auto"/>
        <w:contextualSpacing/>
        <w:rPr>
          <w:rFonts w:ascii="Arial" w:eastAsia="Times New Roman" w:hAnsi="Arial" w:cs="Arial"/>
          <w:b/>
          <w:bCs/>
          <w:sz w:val="24"/>
          <w:szCs w:val="24"/>
          <w:lang w:val="en-US" w:eastAsia="en-GB"/>
        </w:rPr>
      </w:pPr>
    </w:p>
    <w:p w14:paraId="395C5071" w14:textId="6E69AE12" w:rsidR="00BB730B" w:rsidRDefault="00812E2D" w:rsidP="00812E2D">
      <w:pPr>
        <w:spacing w:after="0" w:line="276" w:lineRule="auto"/>
        <w:ind w:left="720" w:hanging="720"/>
        <w:rPr>
          <w:rFonts w:ascii="Arial" w:hAnsi="Arial" w:cs="Arial"/>
        </w:rPr>
      </w:pPr>
      <w:r>
        <w:rPr>
          <w:rFonts w:ascii="Arial" w:hAnsi="Arial" w:cs="Arial"/>
        </w:rPr>
        <w:t>2</w:t>
      </w:r>
      <w:r w:rsidR="00990C24">
        <w:rPr>
          <w:rFonts w:ascii="Arial" w:hAnsi="Arial" w:cs="Arial"/>
        </w:rPr>
        <w:t>2</w:t>
      </w:r>
      <w:r>
        <w:rPr>
          <w:rFonts w:ascii="Arial" w:hAnsi="Arial" w:cs="Arial"/>
        </w:rPr>
        <w:t>.1</w:t>
      </w:r>
      <w:r>
        <w:rPr>
          <w:rFonts w:ascii="Arial" w:hAnsi="Arial" w:cs="Arial"/>
        </w:rPr>
        <w:tab/>
      </w:r>
      <w:r w:rsidR="006860E2" w:rsidRPr="006860E2">
        <w:rPr>
          <w:rFonts w:ascii="Arial" w:hAnsi="Arial" w:cs="Arial"/>
        </w:rPr>
        <w:t>All costs claimed by the lead applicant and/or named delivery partners must be on an actual</w:t>
      </w:r>
      <w:r>
        <w:rPr>
          <w:rFonts w:ascii="Arial" w:hAnsi="Arial" w:cs="Arial"/>
        </w:rPr>
        <w:t xml:space="preserve"> </w:t>
      </w:r>
      <w:r w:rsidR="006860E2" w:rsidRPr="006860E2">
        <w:rPr>
          <w:rFonts w:ascii="Arial" w:hAnsi="Arial" w:cs="Arial"/>
        </w:rPr>
        <w:t>cost incurred basis.</w:t>
      </w:r>
      <w:r w:rsidR="00B03D94">
        <w:rPr>
          <w:rFonts w:ascii="Arial" w:hAnsi="Arial" w:cs="Arial"/>
        </w:rPr>
        <w:t xml:space="preserve"> </w:t>
      </w:r>
      <w:r w:rsidR="006860E2" w:rsidRPr="006860E2">
        <w:rPr>
          <w:rFonts w:ascii="Arial" w:hAnsi="Arial" w:cs="Arial"/>
        </w:rPr>
        <w:t>Where the grant is to be used to procure third party contractors, all costs</w:t>
      </w:r>
      <w:r>
        <w:rPr>
          <w:rFonts w:ascii="Arial" w:hAnsi="Arial" w:cs="Arial"/>
        </w:rPr>
        <w:t xml:space="preserve"> </w:t>
      </w:r>
      <w:r w:rsidR="006860E2" w:rsidRPr="006860E2">
        <w:rPr>
          <w:rFonts w:ascii="Arial" w:hAnsi="Arial" w:cs="Arial"/>
        </w:rPr>
        <w:t>must be incurred in compliance with the following minimum standards:</w:t>
      </w:r>
    </w:p>
    <w:p w14:paraId="65FE4C13" w14:textId="77777777" w:rsidR="003169AA" w:rsidRPr="006860E2" w:rsidRDefault="003169AA" w:rsidP="00812E2D">
      <w:pPr>
        <w:spacing w:after="0" w:line="276" w:lineRule="auto"/>
        <w:ind w:left="720" w:hanging="720"/>
        <w:rPr>
          <w:rFonts w:ascii="Arial" w:hAnsi="Arial" w:cs="Arial"/>
        </w:rPr>
      </w:pPr>
    </w:p>
    <w:p w14:paraId="7664BA0A" w14:textId="5CC3CCDD" w:rsidR="006860E2" w:rsidRPr="00E46A41" w:rsidRDefault="006860E2" w:rsidP="00D707F6">
      <w:pPr>
        <w:pStyle w:val="ListParagraph"/>
        <w:numPr>
          <w:ilvl w:val="0"/>
          <w:numId w:val="5"/>
        </w:numPr>
        <w:suppressAutoHyphens/>
        <w:autoSpaceDN w:val="0"/>
        <w:spacing w:after="0" w:line="276" w:lineRule="auto"/>
        <w:textAlignment w:val="baseline"/>
        <w:rPr>
          <w:rFonts w:ascii="Arial" w:hAnsi="Arial"/>
        </w:rPr>
      </w:pPr>
      <w:r w:rsidRPr="00E46A41">
        <w:rPr>
          <w:rFonts w:ascii="Arial" w:hAnsi="Arial"/>
        </w:rPr>
        <w:t xml:space="preserve">The lead applicant (regardless of </w:t>
      </w:r>
      <w:proofErr w:type="gramStart"/>
      <w:r w:rsidRPr="00E46A41">
        <w:rPr>
          <w:rFonts w:ascii="Arial" w:hAnsi="Arial"/>
        </w:rPr>
        <w:t>whether or not</w:t>
      </w:r>
      <w:proofErr w:type="gramEnd"/>
      <w:r w:rsidRPr="00E46A41">
        <w:rPr>
          <w:rFonts w:ascii="Arial" w:hAnsi="Arial"/>
        </w:rPr>
        <w:t xml:space="preserve"> they are a contracting authority) must ensure that the procurement of all contractors is transparent and demonstrates value for </w:t>
      </w:r>
      <w:r w:rsidR="000148BB" w:rsidRPr="00E46A41">
        <w:rPr>
          <w:rFonts w:ascii="Arial" w:hAnsi="Arial"/>
        </w:rPr>
        <w:t>money.</w:t>
      </w:r>
    </w:p>
    <w:p w14:paraId="11420C5E" w14:textId="66E8AA67" w:rsidR="006860E2" w:rsidRPr="00E46A41" w:rsidRDefault="006860E2" w:rsidP="00D707F6">
      <w:pPr>
        <w:pStyle w:val="ListParagraph"/>
        <w:numPr>
          <w:ilvl w:val="0"/>
          <w:numId w:val="5"/>
        </w:numPr>
        <w:suppressAutoHyphens/>
        <w:autoSpaceDN w:val="0"/>
        <w:spacing w:after="0" w:line="276" w:lineRule="auto"/>
        <w:textAlignment w:val="baseline"/>
        <w:rPr>
          <w:rFonts w:ascii="Arial" w:hAnsi="Arial"/>
        </w:rPr>
      </w:pPr>
      <w:r w:rsidRPr="00E46A41">
        <w:rPr>
          <w:rFonts w:ascii="Arial" w:hAnsi="Arial"/>
        </w:rPr>
        <w:t>Where the lead applicant is a contracting authority, they must ensure that all procurement activity complies with Public Procurement Law (currently contained in the Public Contracts Regulations 2015)</w:t>
      </w:r>
      <w:r w:rsidR="000148BB">
        <w:rPr>
          <w:rFonts w:ascii="Arial" w:hAnsi="Arial"/>
        </w:rPr>
        <w:t>.</w:t>
      </w:r>
    </w:p>
    <w:p w14:paraId="2DE13A02" w14:textId="14FD141E" w:rsidR="006860E2" w:rsidRPr="00E46A41" w:rsidRDefault="006860E2" w:rsidP="00D707F6">
      <w:pPr>
        <w:pStyle w:val="ListParagraph"/>
        <w:numPr>
          <w:ilvl w:val="0"/>
          <w:numId w:val="5"/>
        </w:numPr>
        <w:suppressAutoHyphens/>
        <w:autoSpaceDN w:val="0"/>
        <w:spacing w:after="0" w:line="276" w:lineRule="auto"/>
        <w:textAlignment w:val="baseline"/>
        <w:rPr>
          <w:rFonts w:ascii="Arial" w:hAnsi="Arial"/>
        </w:rPr>
      </w:pPr>
      <w:r w:rsidRPr="00E46A41">
        <w:rPr>
          <w:rFonts w:ascii="Arial" w:hAnsi="Arial"/>
        </w:rPr>
        <w:t xml:space="preserve">Where the lead applicant is not a contracting authority, they must comply with the minimum procurement procedures as set out </w:t>
      </w:r>
      <w:r w:rsidR="000148BB" w:rsidRPr="00E46A41">
        <w:rPr>
          <w:rFonts w:ascii="Arial" w:hAnsi="Arial"/>
        </w:rPr>
        <w:t>below.</w:t>
      </w:r>
      <w:r w:rsidRPr="00E46A41">
        <w:rPr>
          <w:rFonts w:ascii="Arial" w:hAnsi="Arial"/>
        </w:rPr>
        <w:t xml:space="preserve"> </w:t>
      </w:r>
    </w:p>
    <w:p w14:paraId="347B199F" w14:textId="77777777" w:rsidR="006860E2" w:rsidRPr="00E46A41" w:rsidRDefault="006860E2" w:rsidP="00D707F6">
      <w:pPr>
        <w:pStyle w:val="ListParagraph"/>
        <w:numPr>
          <w:ilvl w:val="0"/>
          <w:numId w:val="5"/>
        </w:numPr>
        <w:suppressAutoHyphens/>
        <w:autoSpaceDN w:val="0"/>
        <w:spacing w:after="0" w:line="276" w:lineRule="auto"/>
        <w:textAlignment w:val="baseline"/>
        <w:rPr>
          <w:rFonts w:ascii="Arial" w:hAnsi="Arial"/>
        </w:rPr>
      </w:pPr>
      <w:r w:rsidRPr="00E46A41">
        <w:rPr>
          <w:rFonts w:ascii="Arial" w:hAnsi="Arial"/>
          <w:color w:val="0B0C0C"/>
        </w:rPr>
        <w:t xml:space="preserve">All other applicable laws to the activity undertaken, including without limitation Modern Slavery Act 2015, </w:t>
      </w:r>
      <w:r w:rsidRPr="00E46A41">
        <w:rPr>
          <w:rFonts w:ascii="Arial" w:hAnsi="Arial"/>
        </w:rPr>
        <w:t>IR35 (Intermediaries Legislation), Equality Act 2010, Subsidy Control Act 2022, etc; and</w:t>
      </w:r>
    </w:p>
    <w:p w14:paraId="7192B9C2" w14:textId="77777777" w:rsidR="006860E2" w:rsidRPr="00E46A41" w:rsidRDefault="006860E2" w:rsidP="00D707F6">
      <w:pPr>
        <w:pStyle w:val="ListParagraph"/>
        <w:numPr>
          <w:ilvl w:val="0"/>
          <w:numId w:val="5"/>
        </w:numPr>
        <w:suppressAutoHyphens/>
        <w:autoSpaceDN w:val="0"/>
        <w:spacing w:after="0" w:line="276" w:lineRule="auto"/>
        <w:textAlignment w:val="baseline"/>
        <w:rPr>
          <w:rFonts w:ascii="Arial" w:hAnsi="Arial"/>
        </w:rPr>
      </w:pPr>
      <w:r w:rsidRPr="00E46A41">
        <w:rPr>
          <w:rFonts w:ascii="Arial" w:hAnsi="Arial"/>
        </w:rPr>
        <w:t>Other compliance areas such as Fraud Risk Assessment and Due Diligence.</w:t>
      </w:r>
    </w:p>
    <w:p w14:paraId="24ED2EE1" w14:textId="77777777" w:rsidR="006860E2" w:rsidRPr="006860E2" w:rsidRDefault="006860E2" w:rsidP="006860E2">
      <w:pPr>
        <w:spacing w:after="0" w:line="276" w:lineRule="auto"/>
        <w:rPr>
          <w:rFonts w:ascii="Arial" w:hAnsi="Arial" w:cs="Arial"/>
        </w:rPr>
      </w:pPr>
    </w:p>
    <w:p w14:paraId="3A2C3AB1" w14:textId="47ED29EB" w:rsidR="006860E2" w:rsidRPr="006860E2" w:rsidRDefault="00812E2D" w:rsidP="00812E2D">
      <w:pPr>
        <w:spacing w:after="0" w:line="276" w:lineRule="auto"/>
        <w:ind w:left="720" w:hanging="720"/>
        <w:rPr>
          <w:rFonts w:ascii="Arial" w:hAnsi="Arial" w:cs="Arial"/>
        </w:rPr>
      </w:pPr>
      <w:r>
        <w:rPr>
          <w:rFonts w:ascii="Arial" w:hAnsi="Arial" w:cs="Arial"/>
        </w:rPr>
        <w:t>2</w:t>
      </w:r>
      <w:r w:rsidR="00990C24">
        <w:rPr>
          <w:rFonts w:ascii="Arial" w:hAnsi="Arial" w:cs="Arial"/>
        </w:rPr>
        <w:t>2</w:t>
      </w:r>
      <w:r>
        <w:rPr>
          <w:rFonts w:ascii="Arial" w:hAnsi="Arial" w:cs="Arial"/>
        </w:rPr>
        <w:t>.2</w:t>
      </w:r>
      <w:r>
        <w:rPr>
          <w:rFonts w:ascii="Arial" w:hAnsi="Arial" w:cs="Arial"/>
        </w:rPr>
        <w:tab/>
      </w:r>
      <w:r w:rsidR="006860E2" w:rsidRPr="006860E2">
        <w:rPr>
          <w:rFonts w:ascii="Arial" w:hAnsi="Arial" w:cs="Arial"/>
        </w:rPr>
        <w:t xml:space="preserve">The procurement and appointment of all contractors to be funded by the proposed grant will be subject to audit and verification and any irregularity will result in a financial penalty of up to 100% of the grant paid. </w:t>
      </w:r>
    </w:p>
    <w:p w14:paraId="4DD460AE" w14:textId="77777777" w:rsidR="006860E2" w:rsidRPr="006860E2" w:rsidRDefault="006860E2" w:rsidP="006860E2">
      <w:pPr>
        <w:spacing w:after="0" w:line="276" w:lineRule="auto"/>
        <w:rPr>
          <w:rFonts w:ascii="Arial" w:hAnsi="Arial" w:cs="Arial"/>
        </w:rPr>
      </w:pPr>
    </w:p>
    <w:p w14:paraId="678DDEE1" w14:textId="56C50682" w:rsidR="006860E2" w:rsidRPr="006860E2" w:rsidRDefault="007D2E9A" w:rsidP="007D2E9A">
      <w:pPr>
        <w:spacing w:after="0" w:line="276" w:lineRule="auto"/>
        <w:ind w:left="720" w:hanging="720"/>
        <w:rPr>
          <w:rFonts w:ascii="Arial" w:hAnsi="Arial" w:cs="Arial"/>
        </w:rPr>
      </w:pPr>
      <w:r>
        <w:rPr>
          <w:rFonts w:ascii="Arial" w:hAnsi="Arial" w:cs="Arial"/>
        </w:rPr>
        <w:t>22</w:t>
      </w:r>
      <w:r w:rsidR="00812E2D">
        <w:rPr>
          <w:rFonts w:ascii="Arial" w:hAnsi="Arial" w:cs="Arial"/>
        </w:rPr>
        <w:t>.3</w:t>
      </w:r>
      <w:r w:rsidR="00812E2D">
        <w:rPr>
          <w:rFonts w:ascii="Arial" w:hAnsi="Arial" w:cs="Arial"/>
        </w:rPr>
        <w:tab/>
      </w:r>
      <w:r w:rsidR="006860E2" w:rsidRPr="006860E2">
        <w:rPr>
          <w:rFonts w:ascii="Arial" w:hAnsi="Arial" w:cs="Arial"/>
        </w:rPr>
        <w:t xml:space="preserve">It is strongly recommended that applicants review their own procurement procedures to ensure they are in line with UKSPF guidance available on the Government’s UKSPF webpage </w:t>
      </w:r>
      <w:hyperlink r:id="rId19" w:history="1">
        <w:r w:rsidR="006860E2" w:rsidRPr="006860E2">
          <w:rPr>
            <w:rFonts w:ascii="Arial" w:hAnsi="Arial" w:cs="Arial"/>
            <w:color w:val="0563C1"/>
            <w:u w:val="single"/>
          </w:rPr>
          <w:t>UK Shared Prosperity Fund: procurement (8) - GOV.UK (www.gov.uk)</w:t>
        </w:r>
      </w:hyperlink>
      <w:r w:rsidR="006860E2" w:rsidRPr="006860E2">
        <w:rPr>
          <w:rFonts w:ascii="Arial" w:hAnsi="Arial" w:cs="Arial"/>
        </w:rPr>
        <w:t>.</w:t>
      </w:r>
    </w:p>
    <w:p w14:paraId="48AC5E9D" w14:textId="77777777" w:rsidR="006860E2" w:rsidRPr="006860E2" w:rsidRDefault="006860E2" w:rsidP="006860E2">
      <w:pPr>
        <w:spacing w:after="0" w:line="276" w:lineRule="auto"/>
        <w:rPr>
          <w:rFonts w:ascii="Arial" w:hAnsi="Arial" w:cs="Arial"/>
        </w:rPr>
      </w:pPr>
    </w:p>
    <w:p w14:paraId="133F00C9" w14:textId="149D3CB2" w:rsidR="003169AA" w:rsidRPr="003169AA" w:rsidRDefault="003169AA" w:rsidP="003169AA">
      <w:pPr>
        <w:pStyle w:val="ListParagraph"/>
        <w:numPr>
          <w:ilvl w:val="1"/>
          <w:numId w:val="12"/>
        </w:numPr>
        <w:suppressAutoHyphens/>
        <w:autoSpaceDN w:val="0"/>
        <w:spacing w:after="0" w:line="276" w:lineRule="auto"/>
        <w:textAlignment w:val="baseline"/>
        <w:rPr>
          <w:rFonts w:ascii="Arial" w:hAnsi="Arial"/>
          <w:color w:val="0B0C0C"/>
        </w:rPr>
      </w:pPr>
      <w:r w:rsidRPr="003169AA">
        <w:rPr>
          <w:rFonts w:ascii="Arial" w:hAnsi="Arial"/>
          <w:color w:val="0B0C0C"/>
        </w:rPr>
        <w:t xml:space="preserve">Grant recipients should also consider and implement wherever possible: </w:t>
      </w:r>
    </w:p>
    <w:p w14:paraId="730DDFD4" w14:textId="067461B5" w:rsidR="003169AA" w:rsidRPr="003169AA" w:rsidRDefault="003169AA" w:rsidP="003169AA">
      <w:pPr>
        <w:pStyle w:val="ListParagraph"/>
        <w:numPr>
          <w:ilvl w:val="0"/>
          <w:numId w:val="5"/>
        </w:numPr>
        <w:suppressAutoHyphens/>
        <w:autoSpaceDN w:val="0"/>
        <w:spacing w:after="0" w:line="276" w:lineRule="auto"/>
        <w:textAlignment w:val="baseline"/>
        <w:rPr>
          <w:rFonts w:ascii="Arial" w:hAnsi="Arial"/>
          <w:color w:val="0B0C0C"/>
        </w:rPr>
      </w:pPr>
      <w:r w:rsidRPr="003169AA">
        <w:rPr>
          <w:rFonts w:ascii="Arial" w:hAnsi="Arial"/>
          <w:color w:val="0B0C0C"/>
        </w:rPr>
        <w:t xml:space="preserve">sustainability and green measures in procurement plans, aligned with the government’s net zero </w:t>
      </w:r>
      <w:r w:rsidRPr="003169AA">
        <w:rPr>
          <w:rFonts w:ascii="Arial" w:hAnsi="Arial"/>
          <w:color w:val="0B0C0C"/>
        </w:rPr>
        <w:t>strategy.</w:t>
      </w:r>
      <w:r w:rsidRPr="003169AA">
        <w:rPr>
          <w:rFonts w:ascii="Arial" w:hAnsi="Arial"/>
          <w:color w:val="0B0C0C"/>
        </w:rPr>
        <w:t xml:space="preserve"> </w:t>
      </w:r>
    </w:p>
    <w:p w14:paraId="7650CCC9" w14:textId="1DCE5173" w:rsidR="003169AA" w:rsidRPr="003169AA" w:rsidRDefault="003169AA" w:rsidP="003169AA">
      <w:pPr>
        <w:pStyle w:val="ListParagraph"/>
        <w:numPr>
          <w:ilvl w:val="0"/>
          <w:numId w:val="5"/>
        </w:numPr>
        <w:suppressAutoHyphens/>
        <w:autoSpaceDN w:val="0"/>
        <w:spacing w:after="0" w:line="276" w:lineRule="auto"/>
        <w:textAlignment w:val="baseline"/>
        <w:rPr>
          <w:rFonts w:ascii="Arial" w:hAnsi="Arial"/>
          <w:color w:val="0B0C0C"/>
        </w:rPr>
      </w:pPr>
      <w:r w:rsidRPr="003169AA">
        <w:rPr>
          <w:rFonts w:ascii="Arial" w:hAnsi="Arial"/>
          <w:color w:val="0B0C0C"/>
        </w:rPr>
        <w:t xml:space="preserve">innovative procurement, including the factoring in of social value into procurement; and </w:t>
      </w:r>
    </w:p>
    <w:p w14:paraId="14CD3621" w14:textId="3CDE503A" w:rsidR="003169AA" w:rsidRPr="003169AA" w:rsidRDefault="003169AA" w:rsidP="003169AA">
      <w:pPr>
        <w:pStyle w:val="ListParagraph"/>
        <w:numPr>
          <w:ilvl w:val="0"/>
          <w:numId w:val="5"/>
        </w:numPr>
        <w:suppressAutoHyphens/>
        <w:autoSpaceDN w:val="0"/>
        <w:spacing w:after="0" w:line="276" w:lineRule="auto"/>
        <w:textAlignment w:val="baseline"/>
        <w:rPr>
          <w:rFonts w:ascii="Arial" w:hAnsi="Arial"/>
          <w:color w:val="0B0C0C"/>
        </w:rPr>
      </w:pPr>
      <w:r w:rsidRPr="003169AA">
        <w:rPr>
          <w:rFonts w:ascii="Arial" w:hAnsi="Arial"/>
          <w:color w:val="0B0C0C"/>
        </w:rPr>
        <w:t xml:space="preserve">government initiatives, </w:t>
      </w:r>
      <w:proofErr w:type="gramStart"/>
      <w:r w:rsidRPr="003169AA">
        <w:rPr>
          <w:rFonts w:ascii="Arial" w:hAnsi="Arial"/>
          <w:color w:val="0B0C0C"/>
        </w:rPr>
        <w:t>guidance</w:t>
      </w:r>
      <w:proofErr w:type="gramEnd"/>
      <w:r w:rsidRPr="003169AA">
        <w:rPr>
          <w:rFonts w:ascii="Arial" w:hAnsi="Arial"/>
          <w:color w:val="0B0C0C"/>
        </w:rPr>
        <w:t xml:space="preserve"> and policy such as the Sourcing and Consultancy Playbooks, Construction Playbook, the Outsourcing Playbook and government guidance on Resolution Planning.</w:t>
      </w:r>
    </w:p>
    <w:p w14:paraId="50524346" w14:textId="77777777" w:rsidR="006860E2" w:rsidRPr="006860E2" w:rsidRDefault="006860E2" w:rsidP="00812E2D">
      <w:pPr>
        <w:spacing w:after="0" w:line="240" w:lineRule="auto"/>
        <w:rPr>
          <w:rFonts w:ascii="Arial" w:hAnsi="Arial" w:cs="Arial"/>
          <w:sz w:val="24"/>
          <w:szCs w:val="24"/>
        </w:rPr>
      </w:pPr>
    </w:p>
    <w:p w14:paraId="7EEBC62B" w14:textId="3B5C1D42" w:rsidR="006860E2" w:rsidRPr="006860E2" w:rsidRDefault="007B59A5" w:rsidP="006860E2">
      <w:pPr>
        <w:spacing w:after="0" w:line="240" w:lineRule="auto"/>
        <w:rPr>
          <w:rFonts w:ascii="Arial" w:hAnsi="Arial" w:cs="Arial"/>
        </w:rPr>
      </w:pPr>
      <w:r>
        <w:rPr>
          <w:rFonts w:ascii="Arial" w:hAnsi="Arial" w:cs="Arial"/>
        </w:rPr>
        <w:t>22.5</w:t>
      </w:r>
      <w:r>
        <w:rPr>
          <w:rFonts w:ascii="Arial" w:hAnsi="Arial" w:cs="Arial"/>
        </w:rPr>
        <w:tab/>
      </w:r>
      <w:r w:rsidR="006860E2" w:rsidRPr="006860E2">
        <w:rPr>
          <w:rFonts w:ascii="Arial" w:hAnsi="Arial" w:cs="Arial"/>
        </w:rPr>
        <w:t>Minimum Procurement Procedure for Non- Contracting Authorities</w:t>
      </w:r>
    </w:p>
    <w:p w14:paraId="361E557C" w14:textId="77777777" w:rsidR="006860E2" w:rsidRPr="006860E2" w:rsidRDefault="006860E2" w:rsidP="006860E2">
      <w:pPr>
        <w:spacing w:after="0" w:line="240" w:lineRule="auto"/>
        <w:rPr>
          <w:rFonts w:ascii="Arial" w:hAnsi="Arial" w:cs="Arial"/>
        </w:rPr>
      </w:pP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940"/>
        <w:gridCol w:w="7510"/>
      </w:tblGrid>
      <w:tr w:rsidR="006860E2" w:rsidRPr="006860E2" w14:paraId="25AE20A2" w14:textId="77777777" w:rsidTr="00C862F8">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44C2453F" w14:textId="77777777" w:rsidR="006860E2" w:rsidRPr="006860E2" w:rsidRDefault="006860E2" w:rsidP="006860E2">
            <w:pPr>
              <w:spacing w:after="0"/>
              <w:rPr>
                <w:rFonts w:ascii="Arial" w:hAnsi="Arial" w:cs="Arial"/>
                <w:b/>
                <w:bCs/>
                <w:color w:val="0B0C0C"/>
              </w:rPr>
            </w:pPr>
            <w:r w:rsidRPr="006860E2">
              <w:rPr>
                <w:rFonts w:ascii="Arial" w:hAnsi="Arial" w:cs="Arial"/>
                <w:b/>
                <w:bCs/>
                <w:color w:val="0B0C0C"/>
              </w:rPr>
              <w:lastRenderedPageBreak/>
              <w:t>Value of contract</w:t>
            </w:r>
          </w:p>
        </w:tc>
        <w:tc>
          <w:tcPr>
            <w:tcW w:w="0" w:type="auto"/>
            <w:tcBorders>
              <w:bottom w:val="single" w:sz="6" w:space="0" w:color="B1B4B6"/>
            </w:tcBorders>
            <w:shd w:val="clear" w:color="auto" w:fill="FFFFFF"/>
            <w:tcMar>
              <w:top w:w="150" w:type="dxa"/>
              <w:left w:w="0" w:type="dxa"/>
              <w:bottom w:w="150" w:type="dxa"/>
              <w:right w:w="0" w:type="dxa"/>
            </w:tcMar>
            <w:hideMark/>
          </w:tcPr>
          <w:p w14:paraId="6BE75B80" w14:textId="20A32B77" w:rsidR="006860E2" w:rsidRPr="006860E2" w:rsidRDefault="006860E2" w:rsidP="006860E2">
            <w:pPr>
              <w:spacing w:after="0"/>
              <w:rPr>
                <w:rFonts w:ascii="Arial" w:hAnsi="Arial" w:cs="Arial"/>
                <w:b/>
                <w:bCs/>
                <w:color w:val="0B0C0C"/>
              </w:rPr>
            </w:pPr>
            <w:r w:rsidRPr="006860E2">
              <w:rPr>
                <w:rFonts w:ascii="Arial" w:hAnsi="Arial" w:cs="Arial"/>
                <w:b/>
                <w:bCs/>
                <w:color w:val="0B0C0C"/>
              </w:rPr>
              <w:t>Minimum procedure</w:t>
            </w:r>
          </w:p>
        </w:tc>
      </w:tr>
      <w:tr w:rsidR="006860E2" w:rsidRPr="006860E2" w14:paraId="6CC1EB55" w14:textId="77777777" w:rsidTr="00C862F8">
        <w:tc>
          <w:tcPr>
            <w:tcW w:w="0" w:type="auto"/>
            <w:tcBorders>
              <w:bottom w:val="single" w:sz="6" w:space="0" w:color="B1B4B6"/>
            </w:tcBorders>
            <w:shd w:val="clear" w:color="auto" w:fill="FFFFFF"/>
            <w:tcMar>
              <w:top w:w="150" w:type="dxa"/>
              <w:left w:w="0" w:type="dxa"/>
              <w:bottom w:w="150" w:type="dxa"/>
              <w:right w:w="300" w:type="dxa"/>
            </w:tcMar>
            <w:hideMark/>
          </w:tcPr>
          <w:p w14:paraId="2426A651" w14:textId="77777777" w:rsidR="006860E2" w:rsidRPr="006860E2" w:rsidRDefault="006860E2" w:rsidP="006860E2">
            <w:pPr>
              <w:spacing w:after="0"/>
              <w:rPr>
                <w:rFonts w:ascii="Arial" w:hAnsi="Arial" w:cs="Arial"/>
                <w:color w:val="0B0C0C"/>
              </w:rPr>
            </w:pPr>
            <w:r w:rsidRPr="006860E2">
              <w:rPr>
                <w:rFonts w:ascii="Arial" w:hAnsi="Arial" w:cs="Arial"/>
                <w:color w:val="0B0C0C"/>
              </w:rPr>
              <w:t>£0 - £2,499</w:t>
            </w:r>
          </w:p>
        </w:tc>
        <w:tc>
          <w:tcPr>
            <w:tcW w:w="0" w:type="auto"/>
            <w:tcBorders>
              <w:bottom w:val="single" w:sz="6" w:space="0" w:color="B1B4B6"/>
            </w:tcBorders>
            <w:shd w:val="clear" w:color="auto" w:fill="FFFFFF"/>
            <w:tcMar>
              <w:top w:w="150" w:type="dxa"/>
              <w:left w:w="0" w:type="dxa"/>
              <w:bottom w:w="150" w:type="dxa"/>
              <w:right w:w="0" w:type="dxa"/>
            </w:tcMar>
            <w:hideMark/>
          </w:tcPr>
          <w:p w14:paraId="79C7457E" w14:textId="77777777" w:rsidR="006860E2" w:rsidRPr="006860E2" w:rsidRDefault="006860E2" w:rsidP="006860E2">
            <w:pPr>
              <w:spacing w:after="0"/>
              <w:rPr>
                <w:rFonts w:ascii="Arial" w:hAnsi="Arial" w:cs="Arial"/>
                <w:color w:val="0B0C0C"/>
              </w:rPr>
            </w:pPr>
            <w:r w:rsidRPr="006860E2">
              <w:rPr>
                <w:rFonts w:ascii="Arial" w:hAnsi="Arial" w:cs="Arial"/>
                <w:color w:val="0B0C0C"/>
              </w:rPr>
              <w:t>Direct award provided value for money has been considered</w:t>
            </w:r>
          </w:p>
        </w:tc>
      </w:tr>
      <w:tr w:rsidR="006860E2" w:rsidRPr="006860E2" w14:paraId="15B99F91" w14:textId="77777777" w:rsidTr="00C862F8">
        <w:tc>
          <w:tcPr>
            <w:tcW w:w="0" w:type="auto"/>
            <w:tcBorders>
              <w:bottom w:val="single" w:sz="6" w:space="0" w:color="B1B4B6"/>
            </w:tcBorders>
            <w:shd w:val="clear" w:color="auto" w:fill="FFFFFF"/>
            <w:tcMar>
              <w:top w:w="150" w:type="dxa"/>
              <w:left w:w="0" w:type="dxa"/>
              <w:bottom w:w="150" w:type="dxa"/>
              <w:right w:w="300" w:type="dxa"/>
            </w:tcMar>
            <w:hideMark/>
          </w:tcPr>
          <w:p w14:paraId="666DFFC2" w14:textId="77777777" w:rsidR="006860E2" w:rsidRPr="006860E2" w:rsidRDefault="006860E2" w:rsidP="006860E2">
            <w:pPr>
              <w:spacing w:after="0"/>
              <w:rPr>
                <w:rFonts w:ascii="Arial" w:hAnsi="Arial" w:cs="Arial"/>
                <w:color w:val="0B0C0C"/>
              </w:rPr>
            </w:pPr>
            <w:r w:rsidRPr="006860E2">
              <w:rPr>
                <w:rFonts w:ascii="Arial" w:hAnsi="Arial" w:cs="Arial"/>
                <w:color w:val="0B0C0C"/>
              </w:rPr>
              <w:t>£2,500 - £24,999</w:t>
            </w:r>
          </w:p>
        </w:tc>
        <w:tc>
          <w:tcPr>
            <w:tcW w:w="0" w:type="auto"/>
            <w:tcBorders>
              <w:bottom w:val="single" w:sz="6" w:space="0" w:color="B1B4B6"/>
            </w:tcBorders>
            <w:shd w:val="clear" w:color="auto" w:fill="FFFFFF"/>
            <w:tcMar>
              <w:top w:w="150" w:type="dxa"/>
              <w:left w:w="0" w:type="dxa"/>
              <w:bottom w:w="150" w:type="dxa"/>
              <w:right w:w="0" w:type="dxa"/>
            </w:tcMar>
            <w:hideMark/>
          </w:tcPr>
          <w:p w14:paraId="24F99443" w14:textId="77777777" w:rsidR="006860E2" w:rsidRPr="006860E2" w:rsidRDefault="006860E2" w:rsidP="006860E2">
            <w:pPr>
              <w:spacing w:after="0"/>
              <w:rPr>
                <w:rFonts w:ascii="Arial" w:hAnsi="Arial" w:cs="Arial"/>
                <w:color w:val="0B0C0C"/>
              </w:rPr>
            </w:pPr>
            <w:r w:rsidRPr="006860E2">
              <w:rPr>
                <w:rFonts w:ascii="Arial" w:hAnsi="Arial" w:cs="Arial"/>
                <w:color w:val="0B0C0C"/>
              </w:rPr>
              <w:t>3 written quotes or prices sought from suitable suppliers of goods, works and / or services</w:t>
            </w:r>
          </w:p>
        </w:tc>
      </w:tr>
      <w:tr w:rsidR="006860E2" w:rsidRPr="006860E2" w14:paraId="18D36D2F" w14:textId="77777777" w:rsidTr="00C862F8">
        <w:tc>
          <w:tcPr>
            <w:tcW w:w="0" w:type="auto"/>
            <w:tcBorders>
              <w:bottom w:val="single" w:sz="6" w:space="0" w:color="B1B4B6"/>
            </w:tcBorders>
            <w:shd w:val="clear" w:color="auto" w:fill="FFFFFF"/>
            <w:tcMar>
              <w:top w:w="150" w:type="dxa"/>
              <w:left w:w="0" w:type="dxa"/>
              <w:bottom w:w="150" w:type="dxa"/>
              <w:right w:w="300" w:type="dxa"/>
            </w:tcMar>
            <w:hideMark/>
          </w:tcPr>
          <w:p w14:paraId="0D2B2D42" w14:textId="77777777" w:rsidR="006860E2" w:rsidRPr="006860E2" w:rsidRDefault="006860E2" w:rsidP="006860E2">
            <w:pPr>
              <w:spacing w:after="0"/>
              <w:rPr>
                <w:rFonts w:ascii="Arial" w:hAnsi="Arial" w:cs="Arial"/>
                <w:color w:val="0B0C0C"/>
              </w:rPr>
            </w:pPr>
            <w:r w:rsidRPr="006860E2">
              <w:rPr>
                <w:rFonts w:ascii="Arial" w:hAnsi="Arial" w:cs="Arial"/>
                <w:color w:val="0B0C0C"/>
              </w:rPr>
              <w:t>Over £25,000</w:t>
            </w:r>
          </w:p>
        </w:tc>
        <w:tc>
          <w:tcPr>
            <w:tcW w:w="0" w:type="auto"/>
            <w:tcBorders>
              <w:bottom w:val="single" w:sz="6" w:space="0" w:color="B1B4B6"/>
            </w:tcBorders>
            <w:shd w:val="clear" w:color="auto" w:fill="FFFFFF"/>
            <w:tcMar>
              <w:top w:w="150" w:type="dxa"/>
              <w:left w:w="0" w:type="dxa"/>
              <w:bottom w:w="150" w:type="dxa"/>
              <w:right w:w="0" w:type="dxa"/>
            </w:tcMar>
            <w:hideMark/>
          </w:tcPr>
          <w:p w14:paraId="4C73FD90" w14:textId="77777777" w:rsidR="006860E2" w:rsidRPr="006860E2" w:rsidRDefault="006860E2" w:rsidP="006860E2">
            <w:pPr>
              <w:spacing w:after="0"/>
              <w:rPr>
                <w:rFonts w:ascii="Arial" w:hAnsi="Arial" w:cs="Arial"/>
                <w:color w:val="0B0C0C"/>
              </w:rPr>
            </w:pPr>
            <w:r w:rsidRPr="006860E2">
              <w:rPr>
                <w:rFonts w:ascii="Arial" w:hAnsi="Arial" w:cs="Arial"/>
                <w:color w:val="0B0C0C"/>
              </w:rPr>
              <w:t>Formal tender process</w:t>
            </w:r>
          </w:p>
        </w:tc>
      </w:tr>
    </w:tbl>
    <w:p w14:paraId="2DEEAA27" w14:textId="77777777" w:rsidR="00391ECF" w:rsidRDefault="00391ECF" w:rsidP="00961804">
      <w:pPr>
        <w:widowControl w:val="0"/>
        <w:autoSpaceDE w:val="0"/>
        <w:autoSpaceDN w:val="0"/>
        <w:spacing w:after="0" w:line="240" w:lineRule="auto"/>
        <w:jc w:val="both"/>
        <w:textAlignment w:val="baseline"/>
        <w:rPr>
          <w:rFonts w:ascii="Arial" w:eastAsia="Times New Roman" w:hAnsi="Arial" w:cs="Arial"/>
          <w:b/>
          <w:bCs/>
          <w:color w:val="404040"/>
          <w:lang w:val="en-US" w:eastAsia="en-GB"/>
        </w:rPr>
      </w:pPr>
    </w:p>
    <w:p w14:paraId="13031C1C" w14:textId="20CFC91B" w:rsidR="00D80A66" w:rsidRPr="008F77D5" w:rsidRDefault="008F77D5" w:rsidP="008F77D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2</w:t>
      </w:r>
      <w:r w:rsidR="00990C24">
        <w:rPr>
          <w:rFonts w:ascii="Arial" w:eastAsia="Times New Roman" w:hAnsi="Arial" w:cs="Arial"/>
          <w:b/>
          <w:bCs/>
          <w:sz w:val="24"/>
          <w:szCs w:val="24"/>
          <w:lang w:val="en-US" w:eastAsia="en-GB"/>
        </w:rPr>
        <w:t>3</w:t>
      </w:r>
      <w:r>
        <w:rPr>
          <w:rFonts w:ascii="Arial" w:eastAsia="Times New Roman" w:hAnsi="Arial" w:cs="Arial"/>
          <w:b/>
          <w:bCs/>
          <w:sz w:val="24"/>
          <w:szCs w:val="24"/>
          <w:lang w:val="en-US" w:eastAsia="en-GB"/>
        </w:rPr>
        <w:tab/>
      </w:r>
      <w:r w:rsidR="00D80A66" w:rsidRPr="008F77D5">
        <w:rPr>
          <w:rFonts w:ascii="Arial" w:eastAsia="Times New Roman" w:hAnsi="Arial" w:cs="Arial"/>
          <w:b/>
          <w:bCs/>
          <w:sz w:val="24"/>
          <w:szCs w:val="24"/>
          <w:lang w:val="en-US" w:eastAsia="en-GB"/>
        </w:rPr>
        <w:t xml:space="preserve">Revenue Funding </w:t>
      </w:r>
    </w:p>
    <w:p w14:paraId="795A1ADC" w14:textId="77777777" w:rsidR="00D80A66" w:rsidRPr="005B5454" w:rsidRDefault="00D80A66" w:rsidP="00D80A66">
      <w:pPr>
        <w:widowControl w:val="0"/>
        <w:autoSpaceDE w:val="0"/>
        <w:autoSpaceDN w:val="0"/>
        <w:spacing w:after="0" w:line="240" w:lineRule="auto"/>
        <w:contextualSpacing/>
        <w:rPr>
          <w:rFonts w:ascii="Arial" w:eastAsia="Times New Roman" w:hAnsi="Arial" w:cs="Arial"/>
          <w:b/>
          <w:bCs/>
          <w:i/>
          <w:iCs/>
          <w:lang w:val="en-US" w:eastAsia="en-GB"/>
        </w:rPr>
      </w:pPr>
    </w:p>
    <w:p w14:paraId="10C56F13" w14:textId="38D4D2A2" w:rsidR="00D80A66" w:rsidRDefault="00990C24" w:rsidP="00812E2D">
      <w:pPr>
        <w:spacing w:after="0" w:line="240" w:lineRule="auto"/>
        <w:ind w:left="720" w:hanging="720"/>
        <w:jc w:val="both"/>
        <w:rPr>
          <w:rFonts w:ascii="Arial" w:eastAsia="Arial" w:hAnsi="Arial" w:cs="Arial"/>
          <w:lang w:val="en-US"/>
        </w:rPr>
      </w:pPr>
      <w:r>
        <w:rPr>
          <w:rFonts w:ascii="Arial" w:eastAsia="Arial" w:hAnsi="Arial" w:cs="Arial"/>
          <w:lang w:val="en-US"/>
        </w:rPr>
        <w:t>23</w:t>
      </w:r>
      <w:r w:rsidR="00812E2D">
        <w:rPr>
          <w:rFonts w:ascii="Arial" w:eastAsia="Arial" w:hAnsi="Arial" w:cs="Arial"/>
          <w:lang w:val="en-US"/>
        </w:rPr>
        <w:t>.1</w:t>
      </w:r>
      <w:r w:rsidR="00812E2D">
        <w:rPr>
          <w:rFonts w:ascii="Arial" w:eastAsia="Arial" w:hAnsi="Arial" w:cs="Arial"/>
          <w:lang w:val="en-US"/>
        </w:rPr>
        <w:tab/>
      </w:r>
      <w:r w:rsidR="00D80A66" w:rsidRPr="005B5454">
        <w:rPr>
          <w:rFonts w:ascii="Arial" w:eastAsia="Arial" w:hAnsi="Arial" w:cs="Arial"/>
          <w:lang w:val="en-US"/>
        </w:rPr>
        <w:t>Revenue expenditure is eligible where the activity fits within the scope a specific call for projects. Eligible revenue costs should fit within the following expenditure headings:</w:t>
      </w:r>
    </w:p>
    <w:p w14:paraId="068EE6BB" w14:textId="77777777" w:rsidR="00E46A41" w:rsidRPr="005B5454" w:rsidRDefault="00E46A41" w:rsidP="00E46A41">
      <w:pPr>
        <w:spacing w:after="0" w:line="240" w:lineRule="auto"/>
        <w:ind w:left="720" w:hanging="720"/>
        <w:jc w:val="both"/>
        <w:rPr>
          <w:rFonts w:ascii="Arial" w:eastAsia="Arial" w:hAnsi="Arial" w:cs="Arial"/>
          <w:lang w:val="en-US"/>
        </w:rPr>
      </w:pPr>
    </w:p>
    <w:tbl>
      <w:tblPr>
        <w:tblStyle w:val="TableGrid1"/>
        <w:tblW w:w="0" w:type="auto"/>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1794"/>
        <w:gridCol w:w="7186"/>
      </w:tblGrid>
      <w:tr w:rsidR="00D80A66" w:rsidRPr="005B5454" w14:paraId="25446580" w14:textId="77777777" w:rsidTr="00C862F8">
        <w:tc>
          <w:tcPr>
            <w:tcW w:w="1678" w:type="dxa"/>
            <w:shd w:val="clear" w:color="auto" w:fill="1F3864" w:themeFill="accent1" w:themeFillShade="80"/>
          </w:tcPr>
          <w:p w14:paraId="0142D6D7" w14:textId="77777777" w:rsidR="00D80A66" w:rsidRPr="005B5454" w:rsidRDefault="00D80A66" w:rsidP="00C862F8">
            <w:pPr>
              <w:spacing w:before="100" w:beforeAutospacing="1"/>
              <w:jc w:val="both"/>
              <w:rPr>
                <w:rFonts w:ascii="Arial" w:hAnsi="Arial" w:cs="Arial"/>
                <w:b/>
                <w:bCs/>
              </w:rPr>
            </w:pPr>
            <w:r w:rsidRPr="005B5454">
              <w:rPr>
                <w:rFonts w:ascii="Arial" w:hAnsi="Arial" w:cs="Arial"/>
                <w:b/>
                <w:bCs/>
              </w:rPr>
              <w:t>Expenditure Heading</w:t>
            </w:r>
          </w:p>
        </w:tc>
        <w:tc>
          <w:tcPr>
            <w:tcW w:w="7302" w:type="dxa"/>
            <w:shd w:val="clear" w:color="auto" w:fill="1F3864" w:themeFill="accent1" w:themeFillShade="80"/>
          </w:tcPr>
          <w:p w14:paraId="7C38ACA6" w14:textId="77777777" w:rsidR="00D80A66" w:rsidRPr="005B5454" w:rsidRDefault="00D80A66" w:rsidP="00C862F8">
            <w:pPr>
              <w:spacing w:before="100" w:beforeAutospacing="1"/>
              <w:jc w:val="both"/>
              <w:rPr>
                <w:rFonts w:ascii="Arial" w:hAnsi="Arial" w:cs="Arial"/>
                <w:b/>
                <w:bCs/>
              </w:rPr>
            </w:pPr>
            <w:r w:rsidRPr="005B5454">
              <w:rPr>
                <w:rFonts w:ascii="Arial" w:hAnsi="Arial" w:cs="Arial"/>
                <w:b/>
                <w:bCs/>
              </w:rPr>
              <w:t>Types of expenditure to be included</w:t>
            </w:r>
          </w:p>
        </w:tc>
      </w:tr>
      <w:tr w:rsidR="00D80A66" w:rsidRPr="005B5454" w14:paraId="2A35A68A" w14:textId="77777777" w:rsidTr="00C862F8">
        <w:tc>
          <w:tcPr>
            <w:tcW w:w="1678" w:type="dxa"/>
          </w:tcPr>
          <w:p w14:paraId="4BF6B4FE" w14:textId="77777777" w:rsidR="00D80A66" w:rsidRPr="005B5454" w:rsidRDefault="00D80A66" w:rsidP="00C862F8">
            <w:pPr>
              <w:spacing w:before="100" w:beforeAutospacing="1"/>
              <w:rPr>
                <w:rFonts w:ascii="Arial" w:hAnsi="Arial" w:cs="Arial"/>
              </w:rPr>
            </w:pPr>
            <w:r w:rsidRPr="005B5454">
              <w:rPr>
                <w:rFonts w:ascii="Arial" w:hAnsi="Arial" w:cs="Arial"/>
              </w:rPr>
              <w:t>Salaries</w:t>
            </w:r>
          </w:p>
        </w:tc>
        <w:tc>
          <w:tcPr>
            <w:tcW w:w="7302" w:type="dxa"/>
          </w:tcPr>
          <w:p w14:paraId="528A57C7" w14:textId="77777777" w:rsidR="00D80A66" w:rsidRDefault="00D80A66" w:rsidP="00C862F8">
            <w:pPr>
              <w:spacing w:before="100" w:beforeAutospacing="1"/>
              <w:jc w:val="both"/>
              <w:rPr>
                <w:rFonts w:ascii="Arial" w:hAnsi="Arial" w:cs="Arial"/>
              </w:rPr>
            </w:pPr>
            <w:r w:rsidRPr="005B5454">
              <w:rPr>
                <w:rFonts w:ascii="Arial" w:hAnsi="Arial" w:cs="Arial"/>
              </w:rPr>
              <w:t>Please see separate section below</w:t>
            </w:r>
          </w:p>
          <w:p w14:paraId="20564F87" w14:textId="77777777" w:rsidR="00D80A66" w:rsidRPr="005B5454" w:rsidRDefault="00D80A66" w:rsidP="00C862F8">
            <w:pPr>
              <w:spacing w:before="100" w:beforeAutospacing="1"/>
              <w:jc w:val="both"/>
              <w:rPr>
                <w:rFonts w:ascii="Arial" w:hAnsi="Arial" w:cs="Arial"/>
              </w:rPr>
            </w:pPr>
          </w:p>
        </w:tc>
      </w:tr>
      <w:tr w:rsidR="00D80A66" w:rsidRPr="005B5454" w14:paraId="490148C8" w14:textId="77777777" w:rsidTr="00C862F8">
        <w:tc>
          <w:tcPr>
            <w:tcW w:w="1678" w:type="dxa"/>
          </w:tcPr>
          <w:p w14:paraId="6742D452" w14:textId="77777777" w:rsidR="00D80A66" w:rsidRPr="005B5454" w:rsidRDefault="00D80A66" w:rsidP="00C862F8">
            <w:pPr>
              <w:spacing w:before="100" w:beforeAutospacing="1"/>
              <w:rPr>
                <w:rFonts w:ascii="Arial" w:hAnsi="Arial" w:cs="Arial"/>
              </w:rPr>
            </w:pPr>
            <w:r w:rsidRPr="005B5454">
              <w:rPr>
                <w:rFonts w:ascii="Arial" w:hAnsi="Arial" w:cs="Arial"/>
              </w:rPr>
              <w:t>Flat Rate Indirect Costs</w:t>
            </w:r>
          </w:p>
        </w:tc>
        <w:tc>
          <w:tcPr>
            <w:tcW w:w="7302" w:type="dxa"/>
          </w:tcPr>
          <w:p w14:paraId="09D845FA" w14:textId="77777777" w:rsidR="00D80A66" w:rsidRPr="005B5454" w:rsidRDefault="00D80A66" w:rsidP="00C862F8">
            <w:pPr>
              <w:spacing w:before="100" w:beforeAutospacing="1"/>
              <w:jc w:val="both"/>
              <w:rPr>
                <w:rFonts w:ascii="Arial" w:hAnsi="Arial" w:cs="Arial"/>
              </w:rPr>
            </w:pPr>
            <w:r w:rsidRPr="005B5454">
              <w:rPr>
                <w:rFonts w:ascii="Arial" w:hAnsi="Arial" w:cs="Arial"/>
              </w:rPr>
              <w:t>Please see separate section below</w:t>
            </w:r>
          </w:p>
        </w:tc>
      </w:tr>
      <w:tr w:rsidR="00D80A66" w:rsidRPr="005B5454" w14:paraId="7AD32894" w14:textId="77777777" w:rsidTr="00C862F8">
        <w:tc>
          <w:tcPr>
            <w:tcW w:w="1678" w:type="dxa"/>
          </w:tcPr>
          <w:p w14:paraId="51520D00" w14:textId="77777777" w:rsidR="00D80A66" w:rsidRPr="005B5454" w:rsidRDefault="00D80A66" w:rsidP="00C862F8">
            <w:pPr>
              <w:spacing w:before="100" w:beforeAutospacing="1"/>
              <w:rPr>
                <w:rFonts w:ascii="Arial" w:hAnsi="Arial" w:cs="Arial"/>
              </w:rPr>
            </w:pPr>
            <w:bookmarkStart w:id="16" w:name="_Hlk116290120"/>
            <w:r w:rsidRPr="005B5454">
              <w:rPr>
                <w:rFonts w:ascii="Arial" w:hAnsi="Arial" w:cs="Arial"/>
              </w:rPr>
              <w:t>Travel &amp; Expenses</w:t>
            </w:r>
          </w:p>
        </w:tc>
        <w:tc>
          <w:tcPr>
            <w:tcW w:w="7302" w:type="dxa"/>
          </w:tcPr>
          <w:p w14:paraId="53C9ABDD" w14:textId="77777777" w:rsidR="00D80A66" w:rsidRPr="005B5454" w:rsidRDefault="00D80A66" w:rsidP="00C862F8">
            <w:pPr>
              <w:jc w:val="both"/>
              <w:rPr>
                <w:rFonts w:ascii="Arial" w:hAnsi="Arial" w:cs="Arial"/>
              </w:rPr>
            </w:pPr>
            <w:r w:rsidRPr="005B5454">
              <w:rPr>
                <w:rFonts w:ascii="Arial" w:hAnsi="Arial" w:cs="Arial"/>
              </w:rPr>
              <w:t xml:space="preserve">Costs for travel and expenses related to project staff and activity. This can include mileage and public transport costs in line with the applicant’s travel and subsistence policy. </w:t>
            </w:r>
          </w:p>
        </w:tc>
      </w:tr>
      <w:tr w:rsidR="00D80A66" w:rsidRPr="005B5454" w14:paraId="3FA27EB1" w14:textId="77777777" w:rsidTr="00C862F8">
        <w:tc>
          <w:tcPr>
            <w:tcW w:w="1678" w:type="dxa"/>
          </w:tcPr>
          <w:p w14:paraId="11C8BA2B" w14:textId="77777777" w:rsidR="00D80A66" w:rsidRPr="005B5454" w:rsidRDefault="00D80A66" w:rsidP="00C862F8">
            <w:pPr>
              <w:spacing w:before="100" w:beforeAutospacing="1"/>
              <w:rPr>
                <w:rFonts w:ascii="Arial" w:hAnsi="Arial" w:cs="Arial"/>
              </w:rPr>
            </w:pPr>
            <w:r w:rsidRPr="005B5454">
              <w:rPr>
                <w:rFonts w:ascii="Arial" w:hAnsi="Arial" w:cs="Arial"/>
              </w:rPr>
              <w:t>Accommodation Costs</w:t>
            </w:r>
          </w:p>
        </w:tc>
        <w:tc>
          <w:tcPr>
            <w:tcW w:w="7302" w:type="dxa"/>
          </w:tcPr>
          <w:p w14:paraId="5C9AB599" w14:textId="77777777" w:rsidR="00D80A66" w:rsidRPr="005B5454" w:rsidRDefault="00D80A66" w:rsidP="00C862F8">
            <w:pPr>
              <w:jc w:val="both"/>
              <w:rPr>
                <w:rFonts w:ascii="Arial" w:hAnsi="Arial" w:cs="Arial"/>
              </w:rPr>
            </w:pPr>
            <w:r w:rsidRPr="005B5454">
              <w:rPr>
                <w:rFonts w:ascii="Arial" w:hAnsi="Arial" w:cs="Arial"/>
              </w:rPr>
              <w:t xml:space="preserve">Accommodation costs such as rent or rates that can be directly attributed to the project. For example, if building is used solely for the purposes of the </w:t>
            </w:r>
            <w:proofErr w:type="gramStart"/>
            <w:r w:rsidRPr="005B5454">
              <w:rPr>
                <w:rFonts w:ascii="Arial" w:hAnsi="Arial" w:cs="Arial"/>
              </w:rPr>
              <w:t>project</w:t>
            </w:r>
            <w:proofErr w:type="gramEnd"/>
            <w:r w:rsidRPr="005B5454">
              <w:rPr>
                <w:rFonts w:ascii="Arial" w:hAnsi="Arial" w:cs="Arial"/>
              </w:rPr>
              <w:t xml:space="preserve"> then the rent and rates for that building can be included in the project budget.</w:t>
            </w:r>
          </w:p>
          <w:p w14:paraId="36358E57" w14:textId="77777777" w:rsidR="00D80A66" w:rsidRPr="005B5454" w:rsidRDefault="00D80A66" w:rsidP="00C862F8">
            <w:pPr>
              <w:jc w:val="both"/>
              <w:rPr>
                <w:rFonts w:ascii="Arial" w:hAnsi="Arial" w:cs="Arial"/>
                <w:b/>
                <w:bCs/>
              </w:rPr>
            </w:pPr>
            <w:r w:rsidRPr="005B5454">
              <w:rPr>
                <w:rFonts w:ascii="Arial" w:hAnsi="Arial" w:cs="Arial"/>
                <w:b/>
                <w:bCs/>
              </w:rPr>
              <w:t>If costs need to be apportioned, then they should be covered by the flat rate indirect cost.</w:t>
            </w:r>
          </w:p>
        </w:tc>
      </w:tr>
      <w:tr w:rsidR="00D80A66" w:rsidRPr="005B5454" w14:paraId="5B0E9905" w14:textId="77777777" w:rsidTr="00C862F8">
        <w:tc>
          <w:tcPr>
            <w:tcW w:w="1678" w:type="dxa"/>
          </w:tcPr>
          <w:p w14:paraId="57E31308" w14:textId="77777777" w:rsidR="00D80A66" w:rsidRPr="005B5454" w:rsidRDefault="00D80A66" w:rsidP="00C862F8">
            <w:pPr>
              <w:spacing w:before="100" w:beforeAutospacing="1"/>
              <w:rPr>
                <w:rFonts w:ascii="Arial" w:hAnsi="Arial" w:cs="Arial"/>
              </w:rPr>
            </w:pPr>
            <w:r w:rsidRPr="005B5454">
              <w:rPr>
                <w:rFonts w:ascii="Arial" w:hAnsi="Arial" w:cs="Arial"/>
              </w:rPr>
              <w:t>Materials &amp; Consumables</w:t>
            </w:r>
          </w:p>
        </w:tc>
        <w:tc>
          <w:tcPr>
            <w:tcW w:w="7302" w:type="dxa"/>
          </w:tcPr>
          <w:p w14:paraId="3D5E05BB" w14:textId="77777777" w:rsidR="00D80A66" w:rsidRPr="005B5454" w:rsidRDefault="00D80A66" w:rsidP="00C862F8">
            <w:pPr>
              <w:jc w:val="both"/>
              <w:rPr>
                <w:rFonts w:ascii="Arial" w:hAnsi="Arial" w:cs="Arial"/>
              </w:rPr>
            </w:pPr>
            <w:r w:rsidRPr="005B5454">
              <w:rPr>
                <w:rFonts w:ascii="Arial" w:hAnsi="Arial" w:cs="Arial"/>
              </w:rPr>
              <w:t xml:space="preserve">Includes costs for specific materials, small equipment, and goods that need to be used and regularly replaced that are necessary for project delivery. </w:t>
            </w:r>
          </w:p>
        </w:tc>
      </w:tr>
      <w:tr w:rsidR="00D80A66" w:rsidRPr="005B5454" w14:paraId="7D440F30" w14:textId="77777777" w:rsidTr="00C862F8">
        <w:tc>
          <w:tcPr>
            <w:tcW w:w="1678" w:type="dxa"/>
          </w:tcPr>
          <w:p w14:paraId="5A113699" w14:textId="77777777" w:rsidR="00D80A66" w:rsidRPr="005B5454" w:rsidRDefault="00D80A66" w:rsidP="00C862F8">
            <w:pPr>
              <w:spacing w:before="100" w:beforeAutospacing="1"/>
              <w:rPr>
                <w:rFonts w:ascii="Arial" w:hAnsi="Arial" w:cs="Arial"/>
              </w:rPr>
            </w:pPr>
            <w:r w:rsidRPr="005B5454">
              <w:rPr>
                <w:rFonts w:ascii="Arial" w:hAnsi="Arial" w:cs="Arial"/>
              </w:rPr>
              <w:t>Training</w:t>
            </w:r>
          </w:p>
        </w:tc>
        <w:tc>
          <w:tcPr>
            <w:tcW w:w="7302" w:type="dxa"/>
          </w:tcPr>
          <w:p w14:paraId="616866FE" w14:textId="77777777" w:rsidR="00D80A66" w:rsidRPr="005B5454" w:rsidRDefault="00D80A66" w:rsidP="00C862F8">
            <w:pPr>
              <w:jc w:val="both"/>
              <w:rPr>
                <w:rFonts w:ascii="Arial" w:hAnsi="Arial" w:cs="Arial"/>
              </w:rPr>
            </w:pPr>
            <w:r w:rsidRPr="005B5454">
              <w:rPr>
                <w:rFonts w:ascii="Arial" w:hAnsi="Arial" w:cs="Arial"/>
              </w:rPr>
              <w:t xml:space="preserve">It is expected that staff members should have the skills and experience to deliver the project, however this budget line covers any necessary training for staff skills and development that are </w:t>
            </w:r>
            <w:proofErr w:type="gramStart"/>
            <w:r w:rsidRPr="005B5454">
              <w:rPr>
                <w:rFonts w:ascii="Arial" w:hAnsi="Arial" w:cs="Arial"/>
              </w:rPr>
              <w:t>absolutely necessary</w:t>
            </w:r>
            <w:proofErr w:type="gramEnd"/>
            <w:r w:rsidRPr="005B5454">
              <w:rPr>
                <w:rFonts w:ascii="Arial" w:hAnsi="Arial" w:cs="Arial"/>
              </w:rPr>
              <w:t xml:space="preserve"> to deliver the project. Inclusion of training budget will be challenged during project appraisal to ensure it is additional and proportionate. </w:t>
            </w:r>
          </w:p>
        </w:tc>
      </w:tr>
      <w:tr w:rsidR="00D80A66" w:rsidRPr="005B5454" w14:paraId="3614FA5C" w14:textId="77777777" w:rsidTr="00C862F8">
        <w:tc>
          <w:tcPr>
            <w:tcW w:w="1678" w:type="dxa"/>
          </w:tcPr>
          <w:p w14:paraId="37079A60" w14:textId="77777777" w:rsidR="00D80A66" w:rsidRPr="005B5454" w:rsidRDefault="00D80A66" w:rsidP="00C862F8">
            <w:pPr>
              <w:spacing w:before="100" w:beforeAutospacing="1"/>
              <w:rPr>
                <w:rFonts w:ascii="Arial" w:hAnsi="Arial" w:cs="Arial"/>
              </w:rPr>
            </w:pPr>
            <w:r w:rsidRPr="005B5454">
              <w:rPr>
                <w:rFonts w:ascii="Arial" w:hAnsi="Arial" w:cs="Arial"/>
              </w:rPr>
              <w:t>Marketing &amp; Promotion</w:t>
            </w:r>
          </w:p>
        </w:tc>
        <w:tc>
          <w:tcPr>
            <w:tcW w:w="7302" w:type="dxa"/>
          </w:tcPr>
          <w:p w14:paraId="39BA2B1E" w14:textId="77777777" w:rsidR="00D80A66" w:rsidRPr="005B5454" w:rsidRDefault="00D80A66" w:rsidP="00C862F8">
            <w:pPr>
              <w:jc w:val="both"/>
              <w:rPr>
                <w:rFonts w:ascii="Arial" w:hAnsi="Arial" w:cs="Arial"/>
              </w:rPr>
            </w:pPr>
            <w:r w:rsidRPr="005B5454">
              <w:rPr>
                <w:rFonts w:ascii="Arial" w:hAnsi="Arial" w:cs="Arial"/>
              </w:rPr>
              <w:t xml:space="preserve">Includes marketing costs such as press releases, social media, events, and publicity materials to promote project activity. </w:t>
            </w:r>
          </w:p>
        </w:tc>
      </w:tr>
      <w:tr w:rsidR="00D80A66" w:rsidRPr="005B5454" w14:paraId="4657B163" w14:textId="77777777" w:rsidTr="00C862F8">
        <w:tc>
          <w:tcPr>
            <w:tcW w:w="1678" w:type="dxa"/>
          </w:tcPr>
          <w:p w14:paraId="5DD57ACE" w14:textId="77777777" w:rsidR="00D80A66" w:rsidRPr="005B5454" w:rsidRDefault="00D80A66" w:rsidP="00C862F8">
            <w:pPr>
              <w:spacing w:before="100" w:beforeAutospacing="1"/>
              <w:rPr>
                <w:rFonts w:ascii="Arial" w:hAnsi="Arial" w:cs="Arial"/>
              </w:rPr>
            </w:pPr>
            <w:r w:rsidRPr="005B5454">
              <w:rPr>
                <w:rFonts w:ascii="Arial" w:hAnsi="Arial" w:cs="Arial"/>
              </w:rPr>
              <w:t>Consultancy/ Legal Fees</w:t>
            </w:r>
          </w:p>
        </w:tc>
        <w:tc>
          <w:tcPr>
            <w:tcW w:w="7302" w:type="dxa"/>
          </w:tcPr>
          <w:p w14:paraId="61D51371" w14:textId="77777777" w:rsidR="00D80A66" w:rsidRPr="005B5454" w:rsidRDefault="00D80A66" w:rsidP="00C862F8">
            <w:pPr>
              <w:jc w:val="both"/>
              <w:rPr>
                <w:rFonts w:ascii="Arial" w:hAnsi="Arial" w:cs="Arial"/>
              </w:rPr>
            </w:pPr>
            <w:r w:rsidRPr="005B5454">
              <w:rPr>
                <w:rFonts w:ascii="Arial" w:hAnsi="Arial" w:cs="Arial"/>
              </w:rPr>
              <w:t xml:space="preserve">Procured consultancy support to deliver specific aspects of project activity that cannot be undertaken by project staff. This can include legal fees where applicable. </w:t>
            </w:r>
          </w:p>
        </w:tc>
      </w:tr>
      <w:tr w:rsidR="00D80A66" w:rsidRPr="005B5454" w14:paraId="28C07738" w14:textId="77777777" w:rsidTr="00C862F8">
        <w:tc>
          <w:tcPr>
            <w:tcW w:w="1678" w:type="dxa"/>
          </w:tcPr>
          <w:p w14:paraId="2D3D0CEA" w14:textId="77777777" w:rsidR="00D80A66" w:rsidRPr="005B5454" w:rsidRDefault="00D80A66" w:rsidP="00C862F8">
            <w:pPr>
              <w:spacing w:before="100" w:beforeAutospacing="1"/>
              <w:rPr>
                <w:rFonts w:ascii="Arial" w:hAnsi="Arial" w:cs="Arial"/>
              </w:rPr>
            </w:pPr>
            <w:r w:rsidRPr="005B5454">
              <w:rPr>
                <w:rFonts w:ascii="Arial" w:hAnsi="Arial" w:cs="Arial"/>
              </w:rPr>
              <w:t>Evaluation</w:t>
            </w:r>
          </w:p>
        </w:tc>
        <w:tc>
          <w:tcPr>
            <w:tcW w:w="7302" w:type="dxa"/>
          </w:tcPr>
          <w:p w14:paraId="1A2540B5" w14:textId="77777777" w:rsidR="00D80A66" w:rsidRDefault="00D80A66" w:rsidP="00C862F8">
            <w:pPr>
              <w:jc w:val="both"/>
              <w:rPr>
                <w:rFonts w:ascii="Arial" w:hAnsi="Arial" w:cs="Arial"/>
              </w:rPr>
            </w:pPr>
            <w:r w:rsidRPr="005B5454">
              <w:rPr>
                <w:rFonts w:ascii="Arial" w:hAnsi="Arial" w:cs="Arial"/>
              </w:rPr>
              <w:t xml:space="preserve">Costs associated with evaluation of project activity. </w:t>
            </w:r>
          </w:p>
          <w:p w14:paraId="22300F1C" w14:textId="77777777" w:rsidR="00D80A66" w:rsidRPr="005B5454" w:rsidRDefault="00D80A66" w:rsidP="00C862F8">
            <w:pPr>
              <w:jc w:val="both"/>
              <w:rPr>
                <w:rFonts w:ascii="Arial" w:hAnsi="Arial" w:cs="Arial"/>
              </w:rPr>
            </w:pPr>
          </w:p>
        </w:tc>
      </w:tr>
      <w:tr w:rsidR="00D80A66" w:rsidRPr="005B5454" w14:paraId="01A279A6" w14:textId="77777777" w:rsidTr="00C862F8">
        <w:tc>
          <w:tcPr>
            <w:tcW w:w="1678" w:type="dxa"/>
          </w:tcPr>
          <w:p w14:paraId="7AAA7535" w14:textId="77777777" w:rsidR="00D80A66" w:rsidRPr="005B5454" w:rsidRDefault="00D80A66" w:rsidP="00C862F8">
            <w:pPr>
              <w:spacing w:before="100" w:beforeAutospacing="1"/>
              <w:rPr>
                <w:rFonts w:ascii="Arial" w:hAnsi="Arial" w:cs="Arial"/>
              </w:rPr>
            </w:pPr>
            <w:r w:rsidRPr="005B5454">
              <w:rPr>
                <w:rFonts w:ascii="Arial" w:hAnsi="Arial" w:cs="Arial"/>
              </w:rPr>
              <w:t>Other Revenue</w:t>
            </w:r>
          </w:p>
        </w:tc>
        <w:tc>
          <w:tcPr>
            <w:tcW w:w="7302" w:type="dxa"/>
          </w:tcPr>
          <w:p w14:paraId="785F7899" w14:textId="77777777" w:rsidR="00D80A66" w:rsidRPr="005B5454" w:rsidRDefault="00D80A66" w:rsidP="00C862F8">
            <w:pPr>
              <w:jc w:val="both"/>
              <w:rPr>
                <w:rFonts w:ascii="Arial" w:hAnsi="Arial" w:cs="Arial"/>
              </w:rPr>
            </w:pPr>
            <w:r w:rsidRPr="005B5454">
              <w:rPr>
                <w:rFonts w:ascii="Arial" w:hAnsi="Arial" w:cs="Arial"/>
              </w:rPr>
              <w:t xml:space="preserve">Any other direct costs that do not clearly fit into the categories above. The business case or granular budget breakdown should provide details as what these costs include. </w:t>
            </w:r>
          </w:p>
        </w:tc>
      </w:tr>
      <w:bookmarkEnd w:id="16"/>
    </w:tbl>
    <w:p w14:paraId="512196B7" w14:textId="77777777" w:rsidR="00D80A66" w:rsidRDefault="00D80A66" w:rsidP="00D80A66">
      <w:pPr>
        <w:widowControl w:val="0"/>
        <w:autoSpaceDE w:val="0"/>
        <w:autoSpaceDN w:val="0"/>
        <w:spacing w:after="0" w:line="240" w:lineRule="auto"/>
        <w:contextualSpacing/>
        <w:rPr>
          <w:rFonts w:ascii="Arial" w:eastAsia="Times New Roman" w:hAnsi="Arial" w:cs="Arial"/>
          <w:b/>
          <w:bCs/>
          <w:i/>
          <w:iCs/>
          <w:lang w:val="en-US" w:eastAsia="en-GB"/>
        </w:rPr>
      </w:pPr>
    </w:p>
    <w:p w14:paraId="6B00B31D" w14:textId="6290279F" w:rsidR="00754D4F" w:rsidRPr="00812E2D" w:rsidRDefault="00812E2D" w:rsidP="00812E2D">
      <w:pPr>
        <w:widowControl w:val="0"/>
        <w:autoSpaceDE w:val="0"/>
        <w:autoSpaceDN w:val="0"/>
        <w:spacing w:after="0" w:line="240" w:lineRule="auto"/>
        <w:ind w:left="720" w:hanging="720"/>
        <w:contextualSpacing/>
        <w:rPr>
          <w:rFonts w:ascii="Arial" w:hAnsi="Arial" w:cs="Arial"/>
        </w:rPr>
      </w:pPr>
      <w:r w:rsidRPr="00812E2D">
        <w:rPr>
          <w:rFonts w:ascii="Arial" w:eastAsia="Times New Roman" w:hAnsi="Arial" w:cs="Arial"/>
          <w:lang w:val="en-US" w:eastAsia="en-GB"/>
        </w:rPr>
        <w:lastRenderedPageBreak/>
        <w:t>2</w:t>
      </w:r>
      <w:r w:rsidR="00990C24">
        <w:rPr>
          <w:rFonts w:ascii="Arial" w:eastAsia="Times New Roman" w:hAnsi="Arial" w:cs="Arial"/>
          <w:lang w:val="en-US" w:eastAsia="en-GB"/>
        </w:rPr>
        <w:t>3</w:t>
      </w:r>
      <w:r w:rsidRPr="00812E2D">
        <w:rPr>
          <w:rFonts w:ascii="Arial" w:eastAsia="Times New Roman" w:hAnsi="Arial" w:cs="Arial"/>
          <w:lang w:val="en-US" w:eastAsia="en-GB"/>
        </w:rPr>
        <w:t>.2</w:t>
      </w:r>
      <w:r w:rsidRPr="00812E2D">
        <w:rPr>
          <w:rFonts w:ascii="Arial" w:eastAsia="Times New Roman" w:hAnsi="Arial" w:cs="Arial"/>
          <w:lang w:val="en-US" w:eastAsia="en-GB"/>
        </w:rPr>
        <w:tab/>
      </w:r>
      <w:r w:rsidR="00D80A66" w:rsidRPr="00812E2D">
        <w:rPr>
          <w:rFonts w:ascii="Arial" w:eastAsia="Times New Roman" w:hAnsi="Arial" w:cs="Arial"/>
          <w:lang w:val="en-US" w:eastAsia="en-GB"/>
        </w:rPr>
        <w:t>Salaries</w:t>
      </w:r>
      <w:r w:rsidR="00B03D94">
        <w:rPr>
          <w:rFonts w:ascii="Arial" w:eastAsia="Times New Roman" w:hAnsi="Arial" w:cs="Arial"/>
          <w:b/>
          <w:bCs/>
          <w:lang w:val="en-US" w:eastAsia="en-GB"/>
        </w:rPr>
        <w:t xml:space="preserve">: </w:t>
      </w:r>
      <w:r w:rsidR="00D80A66" w:rsidRPr="00203C47">
        <w:rPr>
          <w:rFonts w:ascii="Arial" w:hAnsi="Arial" w:cs="Arial"/>
        </w:rPr>
        <w:t xml:space="preserve">Costs associated with staff members employed to deliver project activity. Salaries included as project expenditure must be actual costs and cannot include day rates. </w:t>
      </w:r>
      <w:r w:rsidR="00E46A41">
        <w:rPr>
          <w:rFonts w:ascii="Arial" w:hAnsi="Arial" w:cs="Arial"/>
        </w:rPr>
        <w:t>NTCA may</w:t>
      </w:r>
      <w:r w:rsidR="00D80A66" w:rsidRPr="00203C47">
        <w:rPr>
          <w:rFonts w:ascii="Arial" w:hAnsi="Arial" w:cs="Arial"/>
        </w:rPr>
        <w:t xml:space="preserve"> request that applicants use a simplified cost methodology to calculate salaries </w:t>
      </w:r>
      <w:proofErr w:type="gramStart"/>
      <w:r w:rsidR="00D80A66" w:rsidRPr="00203C47">
        <w:rPr>
          <w:rFonts w:ascii="Arial" w:hAnsi="Arial" w:cs="Arial"/>
        </w:rPr>
        <w:t>in order to</w:t>
      </w:r>
      <w:proofErr w:type="gramEnd"/>
      <w:r w:rsidR="00D80A66" w:rsidRPr="00203C47">
        <w:rPr>
          <w:rFonts w:ascii="Arial" w:hAnsi="Arial" w:cs="Arial"/>
        </w:rPr>
        <w:t xml:space="preserve"> standardise processes and reduce administrative burden on all sides. </w:t>
      </w:r>
    </w:p>
    <w:p w14:paraId="2EAE5A47" w14:textId="77777777" w:rsidR="00AB351D" w:rsidRPr="00AB351D" w:rsidRDefault="00AB351D" w:rsidP="00AB351D">
      <w:pPr>
        <w:widowControl w:val="0"/>
        <w:autoSpaceDE w:val="0"/>
        <w:autoSpaceDN w:val="0"/>
        <w:spacing w:after="0" w:line="240" w:lineRule="auto"/>
        <w:ind w:left="720" w:hanging="720"/>
        <w:contextualSpacing/>
        <w:rPr>
          <w:rFonts w:ascii="Arial" w:eastAsia="Times New Roman" w:hAnsi="Arial" w:cs="Arial"/>
          <w:b/>
          <w:bCs/>
          <w:lang w:val="en-US" w:eastAsia="en-GB"/>
        </w:rPr>
      </w:pPr>
    </w:p>
    <w:p w14:paraId="50AF35E2" w14:textId="5757017B" w:rsidR="00D80A66" w:rsidRPr="00203C47" w:rsidRDefault="00812E2D" w:rsidP="00754D4F">
      <w:pPr>
        <w:rPr>
          <w:rFonts w:ascii="Arial" w:hAnsi="Arial" w:cs="Arial"/>
        </w:rPr>
      </w:pPr>
      <w:r>
        <w:rPr>
          <w:rFonts w:ascii="Arial" w:hAnsi="Arial" w:cs="Arial"/>
        </w:rPr>
        <w:t>2</w:t>
      </w:r>
      <w:r w:rsidR="00990C24">
        <w:rPr>
          <w:rFonts w:ascii="Arial" w:hAnsi="Arial" w:cs="Arial"/>
        </w:rPr>
        <w:t>3</w:t>
      </w:r>
      <w:r>
        <w:rPr>
          <w:rFonts w:ascii="Arial" w:hAnsi="Arial" w:cs="Arial"/>
        </w:rPr>
        <w:t>.3</w:t>
      </w:r>
      <w:r>
        <w:rPr>
          <w:rFonts w:ascii="Arial" w:hAnsi="Arial" w:cs="Arial"/>
        </w:rPr>
        <w:tab/>
      </w:r>
      <w:r w:rsidR="00D80A66" w:rsidRPr="00203C47">
        <w:rPr>
          <w:rFonts w:ascii="Arial" w:hAnsi="Arial" w:cs="Arial"/>
        </w:rPr>
        <w:t>The simplified cost methodology falls into three categories:</w:t>
      </w:r>
    </w:p>
    <w:p w14:paraId="6CB301C8" w14:textId="77777777" w:rsidR="00D80A66" w:rsidRPr="00812E2D" w:rsidRDefault="00D80A66" w:rsidP="00D707F6">
      <w:pPr>
        <w:pStyle w:val="ListParagraph"/>
        <w:numPr>
          <w:ilvl w:val="0"/>
          <w:numId w:val="5"/>
        </w:numPr>
        <w:suppressAutoHyphens/>
        <w:autoSpaceDN w:val="0"/>
        <w:spacing w:after="0" w:line="276" w:lineRule="auto"/>
        <w:textAlignment w:val="baseline"/>
        <w:rPr>
          <w:rFonts w:ascii="Arial" w:hAnsi="Arial"/>
        </w:rPr>
      </w:pPr>
      <w:r w:rsidRPr="00812E2D">
        <w:rPr>
          <w:rFonts w:ascii="Arial" w:hAnsi="Arial"/>
        </w:rPr>
        <w:t>Staff working 100% of their time on the project</w:t>
      </w:r>
    </w:p>
    <w:p w14:paraId="2A5837F7" w14:textId="77777777" w:rsidR="00D80A66" w:rsidRPr="00812E2D" w:rsidRDefault="00D80A66" w:rsidP="00D707F6">
      <w:pPr>
        <w:pStyle w:val="ListParagraph"/>
        <w:numPr>
          <w:ilvl w:val="0"/>
          <w:numId w:val="5"/>
        </w:numPr>
        <w:suppressAutoHyphens/>
        <w:autoSpaceDN w:val="0"/>
        <w:spacing w:after="0" w:line="276" w:lineRule="auto"/>
        <w:textAlignment w:val="baseline"/>
        <w:rPr>
          <w:rFonts w:ascii="Arial" w:hAnsi="Arial"/>
        </w:rPr>
      </w:pPr>
      <w:r w:rsidRPr="00812E2D">
        <w:rPr>
          <w:rFonts w:ascii="Arial" w:hAnsi="Arial"/>
        </w:rPr>
        <w:t>Staff working a fixed proportion of their time on the project (Fixed Hours)</w:t>
      </w:r>
    </w:p>
    <w:p w14:paraId="31CE3F14" w14:textId="20611D85" w:rsidR="00D80A66" w:rsidRPr="00812E2D" w:rsidRDefault="00D80A66" w:rsidP="00D707F6">
      <w:pPr>
        <w:pStyle w:val="ListParagraph"/>
        <w:numPr>
          <w:ilvl w:val="0"/>
          <w:numId w:val="5"/>
        </w:numPr>
        <w:suppressAutoHyphens/>
        <w:autoSpaceDN w:val="0"/>
        <w:spacing w:after="0" w:line="276" w:lineRule="auto"/>
        <w:textAlignment w:val="baseline"/>
        <w:rPr>
          <w:rFonts w:ascii="Arial" w:hAnsi="Arial"/>
        </w:rPr>
      </w:pPr>
      <w:r w:rsidRPr="00812E2D">
        <w:rPr>
          <w:rFonts w:ascii="Arial" w:hAnsi="Arial"/>
        </w:rPr>
        <w:t>Staff working intermittently on the project (Hourly Rate)</w:t>
      </w:r>
    </w:p>
    <w:p w14:paraId="11A287C1" w14:textId="77777777" w:rsidR="00AB351D" w:rsidRPr="00AB351D" w:rsidRDefault="00AB351D" w:rsidP="00AB351D">
      <w:pPr>
        <w:ind w:left="360"/>
        <w:contextualSpacing/>
        <w:rPr>
          <w:rFonts w:ascii="Arial" w:hAnsi="Arial" w:cs="Arial"/>
        </w:rPr>
      </w:pPr>
    </w:p>
    <w:p w14:paraId="5056BA02" w14:textId="287174E5" w:rsidR="00D80A66" w:rsidRDefault="00812E2D" w:rsidP="00006C29">
      <w:pPr>
        <w:spacing w:after="0" w:line="240" w:lineRule="auto"/>
        <w:ind w:left="720" w:hanging="720"/>
        <w:rPr>
          <w:rFonts w:ascii="Arial" w:hAnsi="Arial" w:cs="Arial"/>
        </w:rPr>
      </w:pPr>
      <w:r w:rsidRPr="00812E2D">
        <w:rPr>
          <w:rFonts w:ascii="Arial" w:hAnsi="Arial" w:cs="Arial"/>
        </w:rPr>
        <w:t>2</w:t>
      </w:r>
      <w:r w:rsidR="00990C24">
        <w:rPr>
          <w:rFonts w:ascii="Arial" w:hAnsi="Arial" w:cs="Arial"/>
        </w:rPr>
        <w:t>3</w:t>
      </w:r>
      <w:r w:rsidRPr="00812E2D">
        <w:rPr>
          <w:rFonts w:ascii="Arial" w:hAnsi="Arial" w:cs="Arial"/>
        </w:rPr>
        <w:t>.4</w:t>
      </w:r>
      <w:r w:rsidRPr="00812E2D">
        <w:rPr>
          <w:rFonts w:ascii="Arial" w:hAnsi="Arial" w:cs="Arial"/>
        </w:rPr>
        <w:tab/>
      </w:r>
      <w:r w:rsidR="00D80A66" w:rsidRPr="00812E2D">
        <w:rPr>
          <w:rFonts w:ascii="Arial" w:hAnsi="Arial" w:cs="Arial"/>
        </w:rPr>
        <w:t>Staff working 100%</w:t>
      </w:r>
      <w:r w:rsidR="00D80A66" w:rsidRPr="00203C47">
        <w:rPr>
          <w:rFonts w:ascii="Arial" w:hAnsi="Arial" w:cs="Arial"/>
        </w:rPr>
        <w:t xml:space="preserve"> of their time on the proposed project can include their full gross salary within project claims. This will include gross salary (before deductions) plus on costs such as employer’s national insurance contributions, employer’s pension contributions, and any extra costs included within the employees' contract. </w:t>
      </w:r>
    </w:p>
    <w:p w14:paraId="4104F2CE" w14:textId="77777777" w:rsidR="00E46A41" w:rsidRPr="00203C47" w:rsidRDefault="00E46A41" w:rsidP="00E46A41">
      <w:pPr>
        <w:spacing w:after="0" w:line="240" w:lineRule="auto"/>
        <w:ind w:left="720" w:hanging="720"/>
        <w:rPr>
          <w:rFonts w:ascii="Arial" w:hAnsi="Arial" w:cs="Arial"/>
        </w:rPr>
      </w:pPr>
    </w:p>
    <w:p w14:paraId="0830571C" w14:textId="0AFD1B13" w:rsidR="00754D4F" w:rsidRPr="00006C29" w:rsidRDefault="00006C29" w:rsidP="00006C29">
      <w:pPr>
        <w:widowControl w:val="0"/>
        <w:autoSpaceDE w:val="0"/>
        <w:autoSpaceDN w:val="0"/>
        <w:spacing w:after="0" w:line="240" w:lineRule="auto"/>
        <w:ind w:left="720" w:hanging="660"/>
        <w:contextualSpacing/>
        <w:rPr>
          <w:rFonts w:ascii="Arial" w:hAnsi="Arial" w:cs="Arial"/>
        </w:rPr>
      </w:pPr>
      <w:bookmarkStart w:id="17" w:name="_Toc118354466"/>
      <w:r w:rsidRPr="00006C29">
        <w:rPr>
          <w:rFonts w:ascii="Arial" w:eastAsia="Times New Roman" w:hAnsi="Arial" w:cs="Arial"/>
          <w:lang w:val="en-US" w:eastAsia="en-GB"/>
        </w:rPr>
        <w:t>2</w:t>
      </w:r>
      <w:r w:rsidR="00990C24">
        <w:rPr>
          <w:rFonts w:ascii="Arial" w:eastAsia="Times New Roman" w:hAnsi="Arial" w:cs="Arial"/>
          <w:lang w:val="en-US" w:eastAsia="en-GB"/>
        </w:rPr>
        <w:t>3</w:t>
      </w:r>
      <w:r w:rsidRPr="00006C29">
        <w:rPr>
          <w:rFonts w:ascii="Arial" w:eastAsia="Times New Roman" w:hAnsi="Arial" w:cs="Arial"/>
          <w:lang w:val="en-US" w:eastAsia="en-GB"/>
        </w:rPr>
        <w:t>.5</w:t>
      </w:r>
      <w:r w:rsidRPr="00006C29">
        <w:rPr>
          <w:rFonts w:ascii="Arial" w:eastAsia="Times New Roman" w:hAnsi="Arial" w:cs="Arial"/>
          <w:lang w:val="en-US" w:eastAsia="en-GB"/>
        </w:rPr>
        <w:tab/>
      </w:r>
      <w:r w:rsidR="00D80A66" w:rsidRPr="00006C29">
        <w:rPr>
          <w:rFonts w:ascii="Arial" w:eastAsia="Times New Roman" w:hAnsi="Arial" w:cs="Arial"/>
          <w:lang w:val="en-US" w:eastAsia="en-GB"/>
        </w:rPr>
        <w:t>Fixed Hours</w:t>
      </w:r>
      <w:bookmarkEnd w:id="17"/>
      <w:r w:rsidR="00754D4F">
        <w:rPr>
          <w:rFonts w:ascii="Arial" w:eastAsia="Times New Roman" w:hAnsi="Arial" w:cs="Arial"/>
          <w:lang w:val="en-US" w:eastAsia="en-GB"/>
        </w:rPr>
        <w:t xml:space="preserve">: </w:t>
      </w:r>
      <w:r w:rsidR="00D80A66" w:rsidRPr="00203C47">
        <w:rPr>
          <w:rFonts w:ascii="Arial" w:hAnsi="Arial" w:cs="Arial"/>
        </w:rPr>
        <w:t xml:space="preserve">Staff costs related to individuals who work part of their time on a project may be calculated as a fixed percentage of the gross employment costs, in line with a fixed percentage of time working on the project per month, with no requirement to complete time sheets.  </w:t>
      </w:r>
    </w:p>
    <w:p w14:paraId="08F3D06F" w14:textId="77777777" w:rsidR="00E46A41" w:rsidRPr="00E46A41" w:rsidRDefault="00E46A41" w:rsidP="005B54E5">
      <w:pPr>
        <w:widowControl w:val="0"/>
        <w:autoSpaceDE w:val="0"/>
        <w:autoSpaceDN w:val="0"/>
        <w:spacing w:after="0" w:line="240" w:lineRule="auto"/>
        <w:ind w:left="720" w:hanging="720"/>
        <w:contextualSpacing/>
        <w:rPr>
          <w:rFonts w:ascii="Arial" w:eastAsia="Times New Roman" w:hAnsi="Arial" w:cs="Arial"/>
          <w:lang w:val="en-US" w:eastAsia="en-GB"/>
        </w:rPr>
      </w:pPr>
    </w:p>
    <w:p w14:paraId="7C1B2F68" w14:textId="608E9148" w:rsidR="00D80A66" w:rsidRDefault="00006C29" w:rsidP="00006C29">
      <w:pPr>
        <w:spacing w:after="0" w:line="240" w:lineRule="auto"/>
        <w:ind w:left="720" w:hanging="720"/>
        <w:rPr>
          <w:rFonts w:ascii="Arial" w:hAnsi="Arial" w:cs="Arial"/>
        </w:rPr>
      </w:pPr>
      <w:r>
        <w:rPr>
          <w:rFonts w:ascii="Arial" w:hAnsi="Arial" w:cs="Arial"/>
        </w:rPr>
        <w:t>2</w:t>
      </w:r>
      <w:r w:rsidR="00990C24">
        <w:rPr>
          <w:rFonts w:ascii="Arial" w:hAnsi="Arial" w:cs="Arial"/>
        </w:rPr>
        <w:t>3</w:t>
      </w:r>
      <w:r>
        <w:rPr>
          <w:rFonts w:ascii="Arial" w:hAnsi="Arial" w:cs="Arial"/>
        </w:rPr>
        <w:t>.6</w:t>
      </w:r>
      <w:r>
        <w:rPr>
          <w:rFonts w:ascii="Arial" w:hAnsi="Arial" w:cs="Arial"/>
        </w:rPr>
        <w:tab/>
      </w:r>
      <w:r w:rsidR="00D80A66" w:rsidRPr="00203C47">
        <w:rPr>
          <w:rFonts w:ascii="Arial" w:hAnsi="Arial" w:cs="Arial"/>
        </w:rPr>
        <w:t xml:space="preserve">The employer must issue a document for employees setting out the fixed percentage of time for working on the project.  This could be, for example, in the form of a job description or a letter from HR detailing the new contractual hours of work.  The key requirement is that it must be formally documented.  Personnel working flexibly across </w:t>
      </w:r>
      <w:proofErr w:type="gramStart"/>
      <w:r w:rsidR="00D80A66" w:rsidRPr="00203C47">
        <w:rPr>
          <w:rFonts w:ascii="Arial" w:hAnsi="Arial" w:cs="Arial"/>
        </w:rPr>
        <w:t>a number of</w:t>
      </w:r>
      <w:proofErr w:type="gramEnd"/>
      <w:r w:rsidR="00D80A66" w:rsidRPr="00203C47">
        <w:rPr>
          <w:rFonts w:ascii="Arial" w:hAnsi="Arial" w:cs="Arial"/>
        </w:rPr>
        <w:t xml:space="preserve"> projects where hours fluctuate would not be able to use this methodology.  They would need to keep time sheets and use the 1720 hours calculation (see below).</w:t>
      </w:r>
    </w:p>
    <w:p w14:paraId="692F4971" w14:textId="77777777" w:rsidR="005B54E5" w:rsidRPr="00203C47" w:rsidRDefault="005B54E5" w:rsidP="005B54E5">
      <w:pPr>
        <w:spacing w:after="0" w:line="240" w:lineRule="auto"/>
        <w:ind w:left="720" w:hanging="720"/>
        <w:rPr>
          <w:rFonts w:ascii="Arial" w:hAnsi="Arial" w:cs="Arial"/>
        </w:rPr>
      </w:pPr>
    </w:p>
    <w:p w14:paraId="4163860B" w14:textId="359BF0F0" w:rsidR="005B54E5" w:rsidRDefault="00006C29" w:rsidP="006C133B">
      <w:pPr>
        <w:widowControl w:val="0"/>
        <w:autoSpaceDE w:val="0"/>
        <w:autoSpaceDN w:val="0"/>
        <w:spacing w:after="0" w:line="240" w:lineRule="auto"/>
        <w:ind w:left="720" w:hanging="720"/>
        <w:contextualSpacing/>
        <w:rPr>
          <w:rFonts w:ascii="Arial" w:hAnsi="Arial" w:cs="Arial"/>
        </w:rPr>
      </w:pPr>
      <w:r>
        <w:rPr>
          <w:rFonts w:ascii="Arial" w:hAnsi="Arial" w:cs="Arial"/>
        </w:rPr>
        <w:t>2</w:t>
      </w:r>
      <w:r w:rsidR="00990C24">
        <w:rPr>
          <w:rFonts w:ascii="Arial" w:hAnsi="Arial" w:cs="Arial"/>
        </w:rPr>
        <w:t>3</w:t>
      </w:r>
      <w:r>
        <w:rPr>
          <w:rFonts w:ascii="Arial" w:hAnsi="Arial" w:cs="Arial"/>
        </w:rPr>
        <w:t>.7</w:t>
      </w:r>
      <w:r>
        <w:rPr>
          <w:rFonts w:ascii="Arial" w:hAnsi="Arial" w:cs="Arial"/>
        </w:rPr>
        <w:tab/>
      </w:r>
      <w:r w:rsidR="00D80A66" w:rsidRPr="00006C29">
        <w:rPr>
          <w:rFonts w:ascii="Arial" w:hAnsi="Arial" w:cs="Arial"/>
        </w:rPr>
        <w:t>The hourly rate</w:t>
      </w:r>
      <w:r w:rsidR="00D80A66" w:rsidRPr="00203C47">
        <w:rPr>
          <w:rFonts w:ascii="Arial" w:hAnsi="Arial" w:cs="Arial"/>
        </w:rPr>
        <w:t xml:space="preserve"> is the cost per hour of a project staff member whose time needs to be </w:t>
      </w:r>
    </w:p>
    <w:p w14:paraId="5FE8C683" w14:textId="2DA91EE7" w:rsidR="00D80A66" w:rsidRDefault="00D80A66" w:rsidP="00006C29">
      <w:pPr>
        <w:widowControl w:val="0"/>
        <w:autoSpaceDE w:val="0"/>
        <w:autoSpaceDN w:val="0"/>
        <w:spacing w:after="0" w:line="240" w:lineRule="auto"/>
        <w:ind w:left="720"/>
        <w:contextualSpacing/>
        <w:rPr>
          <w:rFonts w:ascii="Arial" w:hAnsi="Arial" w:cs="Arial"/>
        </w:rPr>
      </w:pPr>
      <w:r w:rsidRPr="00203C47">
        <w:rPr>
          <w:rFonts w:ascii="Arial" w:hAnsi="Arial" w:cs="Arial"/>
        </w:rPr>
        <w:t xml:space="preserve">recorded on time </w:t>
      </w:r>
      <w:r w:rsidR="007B59A5" w:rsidRPr="00203C47">
        <w:rPr>
          <w:rFonts w:ascii="Arial" w:hAnsi="Arial" w:cs="Arial"/>
        </w:rPr>
        <w:t>sheets because</w:t>
      </w:r>
      <w:r w:rsidRPr="00203C47">
        <w:rPr>
          <w:rFonts w:ascii="Arial" w:hAnsi="Arial" w:cs="Arial"/>
        </w:rPr>
        <w:t xml:space="preserve"> </w:t>
      </w:r>
      <w:r w:rsidR="0055536D" w:rsidRPr="00203C47">
        <w:rPr>
          <w:rFonts w:ascii="Arial" w:hAnsi="Arial" w:cs="Arial"/>
        </w:rPr>
        <w:t>they are</w:t>
      </w:r>
      <w:r w:rsidRPr="00203C47">
        <w:rPr>
          <w:rFonts w:ascii="Arial" w:hAnsi="Arial" w:cs="Arial"/>
        </w:rPr>
        <w:t xml:space="preserve"> either:</w:t>
      </w:r>
    </w:p>
    <w:p w14:paraId="1FCFBBE7" w14:textId="77777777" w:rsidR="006C133B" w:rsidRPr="00203C47" w:rsidRDefault="006C133B" w:rsidP="006C133B">
      <w:pPr>
        <w:widowControl w:val="0"/>
        <w:autoSpaceDE w:val="0"/>
        <w:autoSpaceDN w:val="0"/>
        <w:spacing w:after="0" w:line="240" w:lineRule="auto"/>
        <w:ind w:left="720" w:hanging="720"/>
        <w:contextualSpacing/>
        <w:rPr>
          <w:rFonts w:ascii="Arial" w:eastAsia="Times New Roman" w:hAnsi="Arial" w:cs="Arial"/>
          <w:lang w:val="en-US" w:eastAsia="en-GB"/>
        </w:rPr>
      </w:pPr>
    </w:p>
    <w:p w14:paraId="00148ADA" w14:textId="7E0863D6" w:rsidR="00D80A66" w:rsidRPr="00006C29" w:rsidRDefault="00D80A66" w:rsidP="00D707F6">
      <w:pPr>
        <w:pStyle w:val="ListParagraph"/>
        <w:numPr>
          <w:ilvl w:val="0"/>
          <w:numId w:val="5"/>
        </w:numPr>
        <w:suppressAutoHyphens/>
        <w:autoSpaceDN w:val="0"/>
        <w:spacing w:after="0" w:line="276" w:lineRule="auto"/>
        <w:textAlignment w:val="baseline"/>
        <w:rPr>
          <w:rFonts w:ascii="Arial" w:hAnsi="Arial"/>
        </w:rPr>
      </w:pPr>
      <w:r w:rsidRPr="00006C29">
        <w:rPr>
          <w:rFonts w:ascii="Arial" w:hAnsi="Arial"/>
        </w:rPr>
        <w:t xml:space="preserve">Do not spend 100% of their time working on the approved project </w:t>
      </w:r>
      <w:r w:rsidRPr="00006C29">
        <w:rPr>
          <w:rFonts w:ascii="Arial" w:hAnsi="Arial"/>
        </w:rPr>
        <w:br/>
        <w:t>(</w:t>
      </w:r>
      <w:r w:rsidR="007B59A5" w:rsidRPr="00006C29">
        <w:rPr>
          <w:rFonts w:ascii="Arial" w:hAnsi="Arial"/>
        </w:rPr>
        <w:t>e.g.,</w:t>
      </w:r>
      <w:r w:rsidRPr="00006C29">
        <w:rPr>
          <w:rFonts w:ascii="Arial" w:hAnsi="Arial"/>
        </w:rPr>
        <w:t xml:space="preserve"> the activity covered by the relevant Funding Agreement) and do not work a fixed percentage of their time on the project</w:t>
      </w:r>
    </w:p>
    <w:p w14:paraId="4BA840F5" w14:textId="7BC46F8B" w:rsidR="005B54E5" w:rsidRPr="00006C29" w:rsidRDefault="00D80A66" w:rsidP="00D707F6">
      <w:pPr>
        <w:pStyle w:val="ListParagraph"/>
        <w:numPr>
          <w:ilvl w:val="0"/>
          <w:numId w:val="5"/>
        </w:numPr>
        <w:suppressAutoHyphens/>
        <w:autoSpaceDN w:val="0"/>
        <w:spacing w:after="0" w:line="276" w:lineRule="auto"/>
        <w:textAlignment w:val="baseline"/>
        <w:rPr>
          <w:rFonts w:ascii="Arial" w:hAnsi="Arial"/>
        </w:rPr>
      </w:pPr>
      <w:r w:rsidRPr="00006C29">
        <w:rPr>
          <w:rFonts w:ascii="Arial" w:hAnsi="Arial"/>
        </w:rPr>
        <w:t xml:space="preserve">Work flexibly on more than one UKSPF funded project </w:t>
      </w:r>
    </w:p>
    <w:p w14:paraId="1DFF324C" w14:textId="77777777" w:rsidR="00006C29" w:rsidRDefault="00006C29" w:rsidP="005B54E5">
      <w:pPr>
        <w:spacing w:after="0" w:line="240" w:lineRule="auto"/>
        <w:ind w:left="720" w:hanging="720"/>
        <w:rPr>
          <w:rFonts w:ascii="Arial" w:hAnsi="Arial" w:cs="Arial"/>
        </w:rPr>
      </w:pPr>
    </w:p>
    <w:p w14:paraId="6570057A" w14:textId="01A8E424" w:rsidR="00D80A66" w:rsidRPr="00203C47" w:rsidRDefault="001D4546" w:rsidP="001D4546">
      <w:pPr>
        <w:spacing w:after="0" w:line="240" w:lineRule="auto"/>
        <w:ind w:left="720" w:hanging="720"/>
        <w:rPr>
          <w:rFonts w:ascii="Arial" w:hAnsi="Arial" w:cs="Arial"/>
        </w:rPr>
      </w:pPr>
      <w:r>
        <w:rPr>
          <w:rFonts w:ascii="Arial" w:hAnsi="Arial" w:cs="Arial"/>
        </w:rPr>
        <w:t>2</w:t>
      </w:r>
      <w:r w:rsidR="00990C24">
        <w:rPr>
          <w:rFonts w:ascii="Arial" w:hAnsi="Arial" w:cs="Arial"/>
        </w:rPr>
        <w:t>3</w:t>
      </w:r>
      <w:r>
        <w:rPr>
          <w:rFonts w:ascii="Arial" w:hAnsi="Arial" w:cs="Arial"/>
        </w:rPr>
        <w:t>.8</w:t>
      </w:r>
      <w:r>
        <w:rPr>
          <w:rFonts w:ascii="Arial" w:hAnsi="Arial" w:cs="Arial"/>
        </w:rPr>
        <w:tab/>
      </w:r>
      <w:r w:rsidR="00D80A66" w:rsidRPr="00203C47">
        <w:rPr>
          <w:rFonts w:ascii="Arial" w:hAnsi="Arial" w:cs="Arial"/>
        </w:rPr>
        <w:t xml:space="preserve">The underlying principle is that the project pays for the hours of work it receives.  It allows an organisation to make use of existing staff as well as newly appointed staff on a temporary or ad hoc basis whilst being appropriately compensated. If a member of staff is absent from work for whatever reason (including sick leave, maternity/paternity leave) the assumption is that hours of work required by the project would be covered by an alternative member of staff and thus paid at an agreed rate. Projects cannot claim for notional hours that might have been worked should an individual be absent from work. </w:t>
      </w:r>
    </w:p>
    <w:p w14:paraId="61FD7EAF" w14:textId="77777777" w:rsidR="005B54E5" w:rsidRDefault="005B54E5" w:rsidP="00DA2007">
      <w:pPr>
        <w:widowControl w:val="0"/>
        <w:autoSpaceDE w:val="0"/>
        <w:autoSpaceDN w:val="0"/>
        <w:spacing w:after="0" w:line="240" w:lineRule="auto"/>
        <w:ind w:left="720" w:hanging="720"/>
        <w:contextualSpacing/>
        <w:rPr>
          <w:rFonts w:ascii="Arial" w:eastAsia="Times New Roman" w:hAnsi="Arial" w:cs="Arial"/>
          <w:lang w:val="en-US" w:eastAsia="en-GB"/>
        </w:rPr>
      </w:pPr>
    </w:p>
    <w:p w14:paraId="56D55E98" w14:textId="3C811ABF" w:rsidR="00DA2007" w:rsidRPr="00CA6D70" w:rsidRDefault="001D4546" w:rsidP="00CA6D70">
      <w:pPr>
        <w:widowControl w:val="0"/>
        <w:autoSpaceDE w:val="0"/>
        <w:autoSpaceDN w:val="0"/>
        <w:spacing w:after="0" w:line="240" w:lineRule="auto"/>
        <w:ind w:left="720" w:hanging="720"/>
        <w:contextualSpacing/>
        <w:rPr>
          <w:rFonts w:ascii="Arial" w:hAnsi="Arial" w:cs="Arial"/>
        </w:rPr>
      </w:pPr>
      <w:r>
        <w:rPr>
          <w:rFonts w:ascii="Arial" w:hAnsi="Arial" w:cs="Arial"/>
        </w:rPr>
        <w:t>2</w:t>
      </w:r>
      <w:r w:rsidR="00990C24">
        <w:rPr>
          <w:rFonts w:ascii="Arial" w:hAnsi="Arial" w:cs="Arial"/>
        </w:rPr>
        <w:t>3</w:t>
      </w:r>
      <w:r>
        <w:rPr>
          <w:rFonts w:ascii="Arial" w:hAnsi="Arial" w:cs="Arial"/>
        </w:rPr>
        <w:t>.9</w:t>
      </w:r>
      <w:r>
        <w:rPr>
          <w:rFonts w:ascii="Arial" w:hAnsi="Arial" w:cs="Arial"/>
        </w:rPr>
        <w:tab/>
      </w:r>
      <w:r w:rsidR="00D80A66" w:rsidRPr="00203C47">
        <w:rPr>
          <w:rFonts w:ascii="Arial" w:hAnsi="Arial" w:cs="Arial"/>
        </w:rPr>
        <w:t>The hourly rate is calculated by dividing the Latest Gross Annual Employment Costs by 1720. In the calculation, the ‘Latest Gross Annual Employment Costs’ refer to the individual’s gross salary + Employer’s National Insurance Contributions + Employer’s Pension Contribution + any other contractual costs to the organisation relating to the post</w:t>
      </w:r>
      <w:r w:rsidR="00DA2007">
        <w:rPr>
          <w:rFonts w:ascii="Arial" w:hAnsi="Arial" w:cs="Arial"/>
        </w:rPr>
        <w:t xml:space="preserve">. </w:t>
      </w:r>
      <w:r w:rsidR="00D80A66" w:rsidRPr="00203C47">
        <w:rPr>
          <w:rFonts w:ascii="Arial" w:hAnsi="Arial" w:cs="Arial"/>
        </w:rPr>
        <w:t xml:space="preserve">1720 hours assumes a working week of 33 hours – it therefore overcompensates by between 4 and 9 hours depending on an organisations standard working week to take account of annual leave costs. </w:t>
      </w:r>
    </w:p>
    <w:p w14:paraId="27B31EDB" w14:textId="77777777" w:rsidR="005B54E5" w:rsidRPr="005B54E5" w:rsidRDefault="005B54E5" w:rsidP="005B54E5">
      <w:pPr>
        <w:widowControl w:val="0"/>
        <w:autoSpaceDE w:val="0"/>
        <w:autoSpaceDN w:val="0"/>
        <w:spacing w:after="0" w:line="240" w:lineRule="auto"/>
        <w:ind w:left="720" w:hanging="720"/>
        <w:contextualSpacing/>
        <w:rPr>
          <w:rFonts w:ascii="Arial" w:eastAsia="Times New Roman" w:hAnsi="Arial" w:cs="Arial"/>
          <w:lang w:val="en-US" w:eastAsia="en-GB"/>
        </w:rPr>
      </w:pPr>
    </w:p>
    <w:p w14:paraId="78CE264A" w14:textId="5A32D027" w:rsidR="00D80A66" w:rsidRDefault="00CA6D70" w:rsidP="00CA6D70">
      <w:pPr>
        <w:spacing w:after="0" w:line="240" w:lineRule="auto"/>
        <w:ind w:left="720" w:hanging="720"/>
        <w:jc w:val="both"/>
        <w:rPr>
          <w:rFonts w:ascii="Arial" w:hAnsi="Arial" w:cs="Arial"/>
        </w:rPr>
      </w:pPr>
      <w:r>
        <w:rPr>
          <w:rFonts w:ascii="Arial" w:hAnsi="Arial" w:cs="Arial"/>
        </w:rPr>
        <w:t>2</w:t>
      </w:r>
      <w:r w:rsidR="00990C24">
        <w:rPr>
          <w:rFonts w:ascii="Arial" w:hAnsi="Arial" w:cs="Arial"/>
        </w:rPr>
        <w:t>3</w:t>
      </w:r>
      <w:r>
        <w:rPr>
          <w:rFonts w:ascii="Arial" w:hAnsi="Arial" w:cs="Arial"/>
        </w:rPr>
        <w:t>.10</w:t>
      </w:r>
      <w:r>
        <w:rPr>
          <w:rFonts w:ascii="Arial" w:hAnsi="Arial" w:cs="Arial"/>
        </w:rPr>
        <w:tab/>
      </w:r>
      <w:r w:rsidR="00D80A66" w:rsidRPr="00203C47">
        <w:rPr>
          <w:rFonts w:ascii="Arial" w:hAnsi="Arial" w:cs="Arial"/>
        </w:rPr>
        <w:t xml:space="preserve">If individuals work part time, their hourly rate must be calculated by using a corresponding pro-rata of 1720 hours. This means that if an individual’s working pattern is 0.5 FTE the gross employment costs would be calculated as follows:  1720 x 0.5 = 860.  </w:t>
      </w:r>
    </w:p>
    <w:p w14:paraId="2DEB5A2F" w14:textId="77777777" w:rsidR="005B54E5" w:rsidRPr="00203C47" w:rsidRDefault="005B54E5" w:rsidP="005B54E5">
      <w:pPr>
        <w:spacing w:after="0" w:line="240" w:lineRule="auto"/>
        <w:ind w:left="720" w:hanging="720"/>
        <w:jc w:val="both"/>
        <w:rPr>
          <w:rFonts w:ascii="Arial" w:hAnsi="Arial" w:cs="Arial"/>
        </w:rPr>
      </w:pPr>
    </w:p>
    <w:p w14:paraId="2902D392" w14:textId="3EE6BF4F" w:rsidR="00D80A66" w:rsidRPr="007254D4" w:rsidRDefault="00CA6D70" w:rsidP="00CA6D70">
      <w:pPr>
        <w:widowControl w:val="0"/>
        <w:autoSpaceDE w:val="0"/>
        <w:autoSpaceDN w:val="0"/>
        <w:spacing w:after="0" w:line="240" w:lineRule="auto"/>
        <w:ind w:left="720" w:hanging="720"/>
        <w:contextualSpacing/>
        <w:rPr>
          <w:rFonts w:ascii="Arial" w:eastAsia="Times New Roman" w:hAnsi="Arial" w:cs="Arial"/>
          <w:lang w:val="en-US" w:eastAsia="en-GB"/>
        </w:rPr>
      </w:pPr>
      <w:r w:rsidRPr="00CA6D70">
        <w:rPr>
          <w:rFonts w:ascii="Arial" w:eastAsia="Times New Roman" w:hAnsi="Arial" w:cs="Arial"/>
          <w:lang w:val="en-US" w:eastAsia="en-GB"/>
        </w:rPr>
        <w:t>2</w:t>
      </w:r>
      <w:r w:rsidR="00990C24">
        <w:rPr>
          <w:rFonts w:ascii="Arial" w:eastAsia="Times New Roman" w:hAnsi="Arial" w:cs="Arial"/>
          <w:lang w:val="en-US" w:eastAsia="en-GB"/>
        </w:rPr>
        <w:t>3</w:t>
      </w:r>
      <w:r w:rsidRPr="00CA6D70">
        <w:rPr>
          <w:rFonts w:ascii="Arial" w:eastAsia="Times New Roman" w:hAnsi="Arial" w:cs="Arial"/>
          <w:lang w:val="en-US" w:eastAsia="en-GB"/>
        </w:rPr>
        <w:t>.11</w:t>
      </w:r>
      <w:r w:rsidRPr="00CA6D70">
        <w:rPr>
          <w:rFonts w:ascii="Arial" w:eastAsia="Times New Roman" w:hAnsi="Arial" w:cs="Arial"/>
          <w:lang w:val="en-US" w:eastAsia="en-GB"/>
        </w:rPr>
        <w:tab/>
      </w:r>
      <w:r w:rsidR="00D80A66" w:rsidRPr="00CA6D70">
        <w:rPr>
          <w:rFonts w:ascii="Arial" w:eastAsia="Times New Roman" w:hAnsi="Arial" w:cs="Arial"/>
          <w:lang w:val="en-US" w:eastAsia="en-GB"/>
        </w:rPr>
        <w:t>Flat rate indirect costs</w:t>
      </w:r>
      <w:r w:rsidR="00D80A66" w:rsidRPr="007254D4">
        <w:rPr>
          <w:rFonts w:ascii="Arial" w:eastAsia="Times New Roman" w:hAnsi="Arial" w:cs="Arial"/>
          <w:lang w:val="en-US" w:eastAsia="en-GB"/>
        </w:rPr>
        <w:t xml:space="preserve"> refer to shared costs or overheads. These are genuine costs to the project but cannot be directly attributed or audited. Many organisations have complex methodologies for calculating and apportioning indirect costs, and these can be administratively burdensome to evidence and audit. Where applicants seek to utilise a flat rate to calculate indirect costs this should be calculated against direct staff costs only and </w:t>
      </w:r>
      <w:proofErr w:type="spellStart"/>
      <w:r w:rsidR="00D80A66" w:rsidRPr="007254D4">
        <w:rPr>
          <w:rFonts w:ascii="Arial" w:eastAsia="Times New Roman" w:hAnsi="Arial" w:cs="Arial"/>
          <w:lang w:val="en-US" w:eastAsia="en-GB"/>
        </w:rPr>
        <w:t>not</w:t>
      </w:r>
      <w:proofErr w:type="spellEnd"/>
      <w:r w:rsidR="00D80A66" w:rsidRPr="007254D4">
        <w:rPr>
          <w:rFonts w:ascii="Arial" w:eastAsia="Times New Roman" w:hAnsi="Arial" w:cs="Arial"/>
          <w:lang w:val="en-US" w:eastAsia="en-GB"/>
        </w:rPr>
        <w:t xml:space="preserve"> other direct project costs. The tracing/auditing of all costs to individual supporting documents is not required - this is the key point of simplified costs as it significantly alleviates the administrative burden. </w:t>
      </w:r>
    </w:p>
    <w:p w14:paraId="6C7B4ED8" w14:textId="77777777" w:rsidR="00D80A66" w:rsidRPr="007254D4" w:rsidRDefault="00D80A66" w:rsidP="00D80A66">
      <w:pPr>
        <w:contextualSpacing/>
        <w:jc w:val="both"/>
        <w:rPr>
          <w:rFonts w:ascii="Arial" w:hAnsi="Arial" w:cs="Arial"/>
          <w:sz w:val="24"/>
        </w:rPr>
      </w:pPr>
    </w:p>
    <w:p w14:paraId="7669365D" w14:textId="1F084183" w:rsidR="005B54E5" w:rsidRDefault="00CA6D70" w:rsidP="00CA6D70">
      <w:pPr>
        <w:widowControl w:val="0"/>
        <w:autoSpaceDE w:val="0"/>
        <w:autoSpaceDN w:val="0"/>
        <w:spacing w:after="0" w:line="240" w:lineRule="auto"/>
        <w:ind w:left="720" w:hanging="720"/>
        <w:contextualSpacing/>
        <w:rPr>
          <w:rFonts w:ascii="Arial" w:hAnsi="Arial" w:cs="Arial"/>
        </w:rPr>
      </w:pPr>
      <w:bookmarkStart w:id="18" w:name="_Toc118354471"/>
      <w:r>
        <w:rPr>
          <w:rFonts w:ascii="Arial" w:eastAsia="Times New Roman" w:hAnsi="Arial" w:cs="Arial"/>
          <w:lang w:val="en-US" w:eastAsia="en-GB"/>
        </w:rPr>
        <w:t>2</w:t>
      </w:r>
      <w:r w:rsidR="00990C24">
        <w:rPr>
          <w:rFonts w:ascii="Arial" w:eastAsia="Times New Roman" w:hAnsi="Arial" w:cs="Arial"/>
          <w:lang w:val="en-US" w:eastAsia="en-GB"/>
        </w:rPr>
        <w:t>3</w:t>
      </w:r>
      <w:r>
        <w:rPr>
          <w:rFonts w:ascii="Arial" w:eastAsia="Times New Roman" w:hAnsi="Arial" w:cs="Arial"/>
          <w:lang w:val="en-US" w:eastAsia="en-GB"/>
        </w:rPr>
        <w:t>.12</w:t>
      </w:r>
      <w:r>
        <w:rPr>
          <w:rFonts w:ascii="Arial" w:eastAsia="Times New Roman" w:hAnsi="Arial" w:cs="Arial"/>
          <w:lang w:val="en-US" w:eastAsia="en-GB"/>
        </w:rPr>
        <w:tab/>
      </w:r>
      <w:r w:rsidR="00D80A66" w:rsidRPr="00CA6D70">
        <w:rPr>
          <w:rFonts w:ascii="Arial" w:eastAsia="Times New Roman" w:hAnsi="Arial" w:cs="Arial"/>
          <w:lang w:val="en-US" w:eastAsia="en-GB"/>
        </w:rPr>
        <w:t>Simplified costs</w:t>
      </w:r>
      <w:r w:rsidR="00D80A66" w:rsidRPr="005B54E5">
        <w:rPr>
          <w:rFonts w:ascii="Arial" w:eastAsia="Times New Roman" w:hAnsi="Arial" w:cs="Arial"/>
          <w:b/>
          <w:bCs/>
          <w:lang w:val="en-US" w:eastAsia="en-GB"/>
        </w:rPr>
        <w:t>:</w:t>
      </w:r>
      <w:r w:rsidR="00D80A66" w:rsidRPr="00DA2007">
        <w:rPr>
          <w:rFonts w:ascii="Arial" w:eastAsia="Times New Roman" w:hAnsi="Arial" w:cs="Arial"/>
          <w:lang w:val="en-US" w:eastAsia="en-GB"/>
        </w:rPr>
        <w:t xml:space="preserve"> 15% Flat Rate</w:t>
      </w:r>
      <w:bookmarkEnd w:id="18"/>
      <w:r w:rsidR="00DA2007">
        <w:rPr>
          <w:rFonts w:ascii="Arial" w:eastAsia="Times New Roman" w:hAnsi="Arial" w:cs="Arial"/>
          <w:lang w:val="en-US" w:eastAsia="en-GB"/>
        </w:rPr>
        <w:t xml:space="preserve">. </w:t>
      </w:r>
      <w:r w:rsidR="00D80A66" w:rsidRPr="007254D4">
        <w:rPr>
          <w:rFonts w:ascii="Arial" w:hAnsi="Arial" w:cs="Arial"/>
        </w:rPr>
        <w:t xml:space="preserve">This rate may also be used for projects being supported under People and </w:t>
      </w:r>
      <w:r w:rsidR="001004FF" w:rsidRPr="007254D4">
        <w:rPr>
          <w:rFonts w:ascii="Arial" w:hAnsi="Arial" w:cs="Arial"/>
        </w:rPr>
        <w:t>Skills.</w:t>
      </w:r>
      <w:r w:rsidR="00D80A66" w:rsidRPr="007254D4">
        <w:rPr>
          <w:rFonts w:ascii="Arial" w:hAnsi="Arial" w:cs="Arial"/>
        </w:rPr>
        <w:t xml:space="preserve"> </w:t>
      </w:r>
    </w:p>
    <w:p w14:paraId="61DE726B" w14:textId="77777777" w:rsidR="00CA6D70" w:rsidRPr="00CA6D70" w:rsidRDefault="00CA6D70" w:rsidP="00CA6D70">
      <w:pPr>
        <w:widowControl w:val="0"/>
        <w:autoSpaceDE w:val="0"/>
        <w:autoSpaceDN w:val="0"/>
        <w:spacing w:after="0" w:line="240" w:lineRule="auto"/>
        <w:ind w:left="720" w:hanging="720"/>
        <w:contextualSpacing/>
        <w:rPr>
          <w:rFonts w:ascii="Arial" w:hAnsi="Arial" w:cs="Arial"/>
        </w:rPr>
      </w:pPr>
    </w:p>
    <w:p w14:paraId="74B4E82D" w14:textId="1BAA8547" w:rsidR="00A73DA9" w:rsidRPr="00717017" w:rsidRDefault="00D80A66" w:rsidP="00717017">
      <w:pPr>
        <w:pStyle w:val="ListParagraph"/>
        <w:numPr>
          <w:ilvl w:val="0"/>
          <w:numId w:val="2"/>
        </w:numPr>
        <w:rPr>
          <w:rFonts w:ascii="Arial" w:hAnsi="Arial" w:cs="Arial"/>
        </w:rPr>
      </w:pPr>
      <w:r w:rsidRPr="005875A4">
        <w:rPr>
          <w:rFonts w:ascii="Arial" w:hAnsi="Arial" w:cs="Arial"/>
        </w:rPr>
        <w:t xml:space="preserve">A 15% flat rate enables the calculation of </w:t>
      </w:r>
      <w:r w:rsidRPr="005875A4">
        <w:rPr>
          <w:rFonts w:ascii="Arial" w:hAnsi="Arial" w:cs="Arial"/>
          <w:b/>
        </w:rPr>
        <w:t>all indirect costs</w:t>
      </w:r>
      <w:r w:rsidRPr="005875A4">
        <w:rPr>
          <w:rFonts w:ascii="Arial" w:hAnsi="Arial" w:cs="Arial"/>
        </w:rPr>
        <w:t xml:space="preserve"> attributable to a project without the need for complex apportionment or overhead methodologies or checking of evidence/audit trail associated with indirect costs.  Use of the 15% rate permits other Direct Costs (Travel &amp; Expenses, Accommodation Costs, Materials &amp; Consumables, Training, Marketing &amp; Promotion, Consultancy/ Legal Fees, Evaluation, Other Revenue) to be claime</w:t>
      </w:r>
      <w:r w:rsidR="00717017">
        <w:rPr>
          <w:rFonts w:ascii="Arial" w:hAnsi="Arial" w:cs="Arial"/>
        </w:rPr>
        <w:t>d.</w:t>
      </w:r>
      <w:r w:rsidRPr="00717017">
        <w:rPr>
          <w:rFonts w:ascii="Arial" w:hAnsi="Arial" w:cs="Arial"/>
        </w:rPr>
        <w:t xml:space="preserve"> </w:t>
      </w:r>
      <w:bookmarkStart w:id="19" w:name="_Toc114663039"/>
    </w:p>
    <w:p w14:paraId="2A275F68" w14:textId="1F806D5C" w:rsidR="00472DEB" w:rsidRPr="008342F4" w:rsidRDefault="008F77D5" w:rsidP="008F77D5">
      <w:pPr>
        <w:widowControl w:val="0"/>
        <w:autoSpaceDE w:val="0"/>
        <w:autoSpaceDN w:val="0"/>
        <w:spacing w:after="0" w:line="240" w:lineRule="auto"/>
        <w:contextualSpacing/>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2</w:t>
      </w:r>
      <w:r w:rsidR="00990C24">
        <w:rPr>
          <w:rFonts w:ascii="Arial" w:eastAsia="Times New Roman" w:hAnsi="Arial" w:cs="Arial"/>
          <w:b/>
          <w:bCs/>
          <w:sz w:val="24"/>
          <w:szCs w:val="24"/>
          <w:lang w:val="en-US" w:eastAsia="en-GB"/>
        </w:rPr>
        <w:t>4</w:t>
      </w:r>
      <w:r>
        <w:rPr>
          <w:rFonts w:ascii="Arial" w:eastAsia="Times New Roman" w:hAnsi="Arial" w:cs="Arial"/>
          <w:b/>
          <w:bCs/>
          <w:sz w:val="24"/>
          <w:szCs w:val="24"/>
          <w:lang w:val="en-US" w:eastAsia="en-GB"/>
        </w:rPr>
        <w:tab/>
      </w:r>
      <w:r w:rsidR="00472DEB" w:rsidRPr="008342F4">
        <w:rPr>
          <w:rFonts w:ascii="Arial" w:eastAsia="Times New Roman" w:hAnsi="Arial" w:cs="Arial"/>
          <w:b/>
          <w:bCs/>
          <w:sz w:val="24"/>
          <w:szCs w:val="24"/>
          <w:lang w:val="en-US" w:eastAsia="en-GB"/>
        </w:rPr>
        <w:t xml:space="preserve">Social value </w:t>
      </w:r>
      <w:bookmarkEnd w:id="19"/>
    </w:p>
    <w:p w14:paraId="4383E176" w14:textId="6495EEB3" w:rsidR="00472DEB" w:rsidRPr="00472DEB" w:rsidRDefault="00472DEB" w:rsidP="00472DEB">
      <w:pPr>
        <w:widowControl w:val="0"/>
        <w:autoSpaceDE w:val="0"/>
        <w:autoSpaceDN w:val="0"/>
        <w:spacing w:after="0" w:line="240" w:lineRule="auto"/>
        <w:rPr>
          <w:rFonts w:ascii="Arial" w:eastAsia="Arial" w:hAnsi="Arial" w:cs="Arial"/>
          <w:lang w:val="en-US" w:eastAsia="en-GB"/>
        </w:rPr>
      </w:pPr>
    </w:p>
    <w:p w14:paraId="48487CA1" w14:textId="4572FCF6" w:rsidR="00472DEB" w:rsidRPr="008426FF" w:rsidRDefault="008342F4" w:rsidP="008342F4">
      <w:pPr>
        <w:widowControl w:val="0"/>
        <w:autoSpaceDE w:val="0"/>
        <w:autoSpaceDN w:val="0"/>
        <w:spacing w:after="0" w:line="240" w:lineRule="auto"/>
        <w:ind w:left="568" w:hanging="568"/>
        <w:contextualSpacing/>
        <w:textAlignment w:val="baseline"/>
        <w:rPr>
          <w:rFonts w:ascii="Arial" w:eastAsia="Arial" w:hAnsi="Arial" w:cs="Arial"/>
          <w:lang w:val="en-US" w:eastAsia="en-GB"/>
        </w:rPr>
      </w:pPr>
      <w:r>
        <w:rPr>
          <w:rFonts w:ascii="Arial" w:eastAsia="Arial" w:hAnsi="Arial" w:cs="Arial"/>
          <w:lang w:val="en-US" w:eastAsia="en-GB"/>
        </w:rPr>
        <w:t>2</w:t>
      </w:r>
      <w:r w:rsidR="00990C24">
        <w:rPr>
          <w:rFonts w:ascii="Arial" w:eastAsia="Arial" w:hAnsi="Arial" w:cs="Arial"/>
          <w:lang w:val="en-US" w:eastAsia="en-GB"/>
        </w:rPr>
        <w:t>4</w:t>
      </w:r>
      <w:r>
        <w:rPr>
          <w:rFonts w:ascii="Arial" w:eastAsia="Arial" w:hAnsi="Arial" w:cs="Arial"/>
          <w:lang w:val="en-US" w:eastAsia="en-GB"/>
        </w:rPr>
        <w:t>.1</w:t>
      </w:r>
      <w:r>
        <w:rPr>
          <w:rFonts w:ascii="Arial" w:eastAsia="Arial" w:hAnsi="Arial" w:cs="Arial"/>
          <w:lang w:val="en-US" w:eastAsia="en-GB"/>
        </w:rPr>
        <w:tab/>
      </w:r>
      <w:r w:rsidR="00472DEB" w:rsidRPr="008426FF">
        <w:rPr>
          <w:rFonts w:ascii="Arial" w:eastAsia="Arial" w:hAnsi="Arial" w:cs="Arial"/>
          <w:lang w:val="en-US" w:eastAsia="en-GB"/>
        </w:rPr>
        <w:t>In addition, the Social Value delivered through your project will be evaluated as a constituent part of your response to other Quality Assessment Questions. Providers must consider Social Value in their proposals as set out below: </w:t>
      </w:r>
    </w:p>
    <w:p w14:paraId="1FE2067B"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eastAsia="en-GB"/>
        </w:rPr>
      </w:pPr>
      <w:r w:rsidRPr="00472DEB">
        <w:rPr>
          <w:rFonts w:ascii="Arial" w:eastAsia="Arial" w:hAnsi="Arial" w:cs="Arial"/>
          <w:lang w:val="en-US" w:eastAsia="en-GB"/>
        </w:rPr>
        <w:t> </w:t>
      </w:r>
    </w:p>
    <w:p w14:paraId="3D1F55EE" w14:textId="4EE1000F" w:rsidR="00472DEB" w:rsidRPr="00472DEB" w:rsidRDefault="008342F4" w:rsidP="008342F4">
      <w:pPr>
        <w:widowControl w:val="0"/>
        <w:autoSpaceDE w:val="0"/>
        <w:autoSpaceDN w:val="0"/>
        <w:spacing w:after="0" w:line="240" w:lineRule="auto"/>
        <w:ind w:left="568" w:hanging="568"/>
        <w:contextualSpacing/>
        <w:rPr>
          <w:rFonts w:ascii="Arial" w:eastAsia="Arial" w:hAnsi="Arial" w:cs="Arial"/>
          <w:lang w:val="en-US" w:eastAsia="en-GB"/>
        </w:rPr>
      </w:pPr>
      <w:r>
        <w:rPr>
          <w:rFonts w:ascii="Arial" w:eastAsia="Arial" w:hAnsi="Arial" w:cs="Arial"/>
          <w:lang w:val="en-US" w:eastAsia="en-GB"/>
        </w:rPr>
        <w:t>2</w:t>
      </w:r>
      <w:r w:rsidR="00990C24">
        <w:rPr>
          <w:rFonts w:ascii="Arial" w:eastAsia="Arial" w:hAnsi="Arial" w:cs="Arial"/>
          <w:lang w:val="en-US" w:eastAsia="en-GB"/>
        </w:rPr>
        <w:t>4</w:t>
      </w:r>
      <w:r>
        <w:rPr>
          <w:rFonts w:ascii="Arial" w:eastAsia="Arial" w:hAnsi="Arial" w:cs="Arial"/>
          <w:lang w:val="en-US" w:eastAsia="en-GB"/>
        </w:rPr>
        <w:t>.2</w:t>
      </w:r>
      <w:r>
        <w:rPr>
          <w:rFonts w:ascii="Arial" w:eastAsia="Arial" w:hAnsi="Arial" w:cs="Arial"/>
          <w:lang w:val="en-US" w:eastAsia="en-GB"/>
        </w:rPr>
        <w:tab/>
      </w:r>
      <w:r w:rsidR="00472DEB" w:rsidRPr="00472DEB">
        <w:rPr>
          <w:rFonts w:ascii="Arial" w:eastAsia="Arial" w:hAnsi="Arial" w:cs="Arial"/>
          <w:lang w:val="en-US" w:eastAsia="en-GB"/>
        </w:rPr>
        <w:t>The Public Services (Social Value) Act places a requirement to consider how economic,</w:t>
      </w:r>
      <w:r w:rsidR="00F04FA0">
        <w:rPr>
          <w:rFonts w:ascii="Arial" w:eastAsia="Arial" w:hAnsi="Arial" w:cs="Arial"/>
          <w:lang w:val="en-US" w:eastAsia="en-GB"/>
        </w:rPr>
        <w:t xml:space="preserve"> </w:t>
      </w:r>
      <w:r w:rsidR="00472DEB" w:rsidRPr="00472DEB">
        <w:rPr>
          <w:rFonts w:ascii="Arial" w:eastAsia="Arial" w:hAnsi="Arial" w:cs="Arial"/>
          <w:lang w:val="en-US" w:eastAsia="en-GB"/>
        </w:rPr>
        <w:t>environmental, and social well-being might be improved by what we’re buying. </w:t>
      </w:r>
    </w:p>
    <w:p w14:paraId="76305C9B"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eastAsia="en-GB"/>
        </w:rPr>
      </w:pPr>
      <w:r w:rsidRPr="00472DEB">
        <w:rPr>
          <w:rFonts w:ascii="Arial" w:eastAsia="Arial" w:hAnsi="Arial" w:cs="Arial"/>
          <w:lang w:val="en-US" w:eastAsia="en-GB"/>
        </w:rPr>
        <w:t> </w:t>
      </w:r>
    </w:p>
    <w:p w14:paraId="385D9BA6" w14:textId="3BD89C30" w:rsidR="00472DEB" w:rsidRPr="008426FF" w:rsidRDefault="008342F4" w:rsidP="008342F4">
      <w:pPr>
        <w:widowControl w:val="0"/>
        <w:autoSpaceDE w:val="0"/>
        <w:autoSpaceDN w:val="0"/>
        <w:spacing w:after="0" w:line="240" w:lineRule="auto"/>
        <w:ind w:left="568" w:hanging="568"/>
        <w:rPr>
          <w:rFonts w:ascii="Arial" w:eastAsia="Arial" w:hAnsi="Arial" w:cs="Arial"/>
          <w:lang w:val="en-US" w:eastAsia="en-GB"/>
        </w:rPr>
      </w:pPr>
      <w:r>
        <w:rPr>
          <w:rFonts w:ascii="Arial" w:eastAsia="Arial" w:hAnsi="Arial" w:cs="Arial"/>
          <w:lang w:val="en-US" w:eastAsia="en-GB"/>
        </w:rPr>
        <w:t>2</w:t>
      </w:r>
      <w:r w:rsidR="00990C24">
        <w:rPr>
          <w:rFonts w:ascii="Arial" w:eastAsia="Arial" w:hAnsi="Arial" w:cs="Arial"/>
          <w:lang w:val="en-US" w:eastAsia="en-GB"/>
        </w:rPr>
        <w:t>4</w:t>
      </w:r>
      <w:r>
        <w:rPr>
          <w:rFonts w:ascii="Arial" w:eastAsia="Arial" w:hAnsi="Arial" w:cs="Arial"/>
          <w:lang w:val="en-US" w:eastAsia="en-GB"/>
        </w:rPr>
        <w:t>.3</w:t>
      </w:r>
      <w:r>
        <w:rPr>
          <w:rFonts w:ascii="Arial" w:eastAsia="Arial" w:hAnsi="Arial" w:cs="Arial"/>
          <w:lang w:val="en-US" w:eastAsia="en-GB"/>
        </w:rPr>
        <w:tab/>
      </w:r>
      <w:r w:rsidR="00472DEB" w:rsidRPr="008426FF">
        <w:rPr>
          <w:rFonts w:ascii="Arial" w:eastAsia="Arial" w:hAnsi="Arial" w:cs="Arial"/>
          <w:lang w:val="en-US" w:eastAsia="en-GB"/>
        </w:rPr>
        <w:t>There are three categories – Social, Environmental and Economic, out of which fall several themes.  The People and Skills investment delivers specifically on four of the Social Value Themes in varying extents:   </w:t>
      </w:r>
    </w:p>
    <w:p w14:paraId="7A28F429" w14:textId="77777777" w:rsidR="00472DEB" w:rsidRPr="00472DEB" w:rsidRDefault="00472DEB" w:rsidP="00472DEB">
      <w:pPr>
        <w:widowControl w:val="0"/>
        <w:autoSpaceDE w:val="0"/>
        <w:autoSpaceDN w:val="0"/>
        <w:spacing w:after="0" w:line="240" w:lineRule="auto"/>
        <w:ind w:left="568"/>
        <w:contextualSpacing/>
        <w:rPr>
          <w:rFonts w:ascii="Arial" w:eastAsia="Arial" w:hAnsi="Arial" w:cs="Arial"/>
          <w:lang w:val="en-US" w:eastAsia="en-GB"/>
        </w:rPr>
      </w:pPr>
    </w:p>
    <w:p w14:paraId="102BC654" w14:textId="77777777" w:rsidR="00472DEB" w:rsidRPr="008342F4" w:rsidRDefault="00472DEB" w:rsidP="00D707F6">
      <w:pPr>
        <w:pStyle w:val="ListParagraph"/>
        <w:numPr>
          <w:ilvl w:val="0"/>
          <w:numId w:val="2"/>
        </w:numPr>
        <w:rPr>
          <w:rFonts w:ascii="Arial" w:hAnsi="Arial" w:cs="Arial"/>
        </w:rPr>
      </w:pPr>
      <w:r w:rsidRPr="008342F4">
        <w:rPr>
          <w:rFonts w:ascii="Arial" w:hAnsi="Arial" w:cs="Arial"/>
        </w:rPr>
        <w:t>Social Value Theme 1: COVID-19 Recovery - Help local communities to manage and recover from the impact of COVID-19   </w:t>
      </w:r>
    </w:p>
    <w:p w14:paraId="7A643AAF" w14:textId="77777777" w:rsidR="00472DEB" w:rsidRPr="008342F4" w:rsidRDefault="00472DEB" w:rsidP="00D707F6">
      <w:pPr>
        <w:pStyle w:val="ListParagraph"/>
        <w:numPr>
          <w:ilvl w:val="0"/>
          <w:numId w:val="2"/>
        </w:numPr>
        <w:rPr>
          <w:rFonts w:ascii="Arial" w:hAnsi="Arial" w:cs="Arial"/>
        </w:rPr>
      </w:pPr>
      <w:r w:rsidRPr="008342F4">
        <w:rPr>
          <w:rFonts w:ascii="Arial" w:hAnsi="Arial" w:cs="Arial"/>
        </w:rPr>
        <w:t xml:space="preserve">Social Value Theme 2: Tackling economic inequality – Create new businesses, new </w:t>
      </w:r>
      <w:proofErr w:type="gramStart"/>
      <w:r w:rsidRPr="008342F4">
        <w:rPr>
          <w:rFonts w:ascii="Arial" w:hAnsi="Arial" w:cs="Arial"/>
        </w:rPr>
        <w:t>jobs</w:t>
      </w:r>
      <w:proofErr w:type="gramEnd"/>
      <w:r w:rsidRPr="008342F4">
        <w:rPr>
          <w:rFonts w:ascii="Arial" w:hAnsi="Arial" w:cs="Arial"/>
        </w:rPr>
        <w:t xml:space="preserve"> and new skills   </w:t>
      </w:r>
    </w:p>
    <w:p w14:paraId="722C5849" w14:textId="77777777" w:rsidR="00472DEB" w:rsidRPr="008342F4" w:rsidRDefault="00472DEB" w:rsidP="00D707F6">
      <w:pPr>
        <w:pStyle w:val="ListParagraph"/>
        <w:numPr>
          <w:ilvl w:val="0"/>
          <w:numId w:val="2"/>
        </w:numPr>
        <w:rPr>
          <w:rFonts w:ascii="Arial" w:hAnsi="Arial" w:cs="Arial"/>
        </w:rPr>
      </w:pPr>
      <w:r w:rsidRPr="008342F4">
        <w:rPr>
          <w:rFonts w:ascii="Arial" w:hAnsi="Arial" w:cs="Arial"/>
        </w:rPr>
        <w:t>Social Value Theme 4: Equal opportunity – Policy outcome: Tackle workforce inequality </w:t>
      </w:r>
    </w:p>
    <w:p w14:paraId="64DC97A0" w14:textId="1060DC38" w:rsidR="001004FF" w:rsidRPr="00717017" w:rsidRDefault="00472DEB" w:rsidP="00717017">
      <w:pPr>
        <w:pStyle w:val="ListParagraph"/>
        <w:numPr>
          <w:ilvl w:val="0"/>
          <w:numId w:val="2"/>
        </w:numPr>
        <w:rPr>
          <w:rFonts w:ascii="Arial" w:hAnsi="Arial" w:cs="Arial"/>
        </w:rPr>
      </w:pPr>
      <w:r w:rsidRPr="008342F4">
        <w:rPr>
          <w:rFonts w:ascii="Arial" w:hAnsi="Arial" w:cs="Arial"/>
        </w:rPr>
        <w:t>Social Value Theme 5: Wellbeing – Policy outcome: Improve health and wellbeing</w:t>
      </w:r>
      <w:r w:rsidR="001004FF">
        <w:rPr>
          <w:rFonts w:ascii="Arial" w:hAnsi="Arial" w:cs="Arial"/>
        </w:rPr>
        <w:t>.</w:t>
      </w:r>
    </w:p>
    <w:p w14:paraId="42203850" w14:textId="429C8494" w:rsidR="007D2E9A" w:rsidRPr="006F681D" w:rsidRDefault="007D2E9A" w:rsidP="007D2E9A">
      <w:pPr>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25</w:t>
      </w:r>
      <w:r>
        <w:rPr>
          <w:rFonts w:ascii="Arial" w:eastAsia="Times New Roman" w:hAnsi="Arial" w:cs="Arial"/>
          <w:b/>
          <w:bCs/>
          <w:sz w:val="24"/>
          <w:szCs w:val="24"/>
          <w:lang w:val="en-US" w:eastAsia="en-GB"/>
        </w:rPr>
        <w:tab/>
      </w:r>
      <w:r w:rsidRPr="006F681D">
        <w:rPr>
          <w:rFonts w:ascii="Arial" w:eastAsia="Times New Roman" w:hAnsi="Arial" w:cs="Arial"/>
          <w:b/>
          <w:bCs/>
          <w:sz w:val="24"/>
          <w:szCs w:val="24"/>
          <w:lang w:val="en-US" w:eastAsia="en-GB"/>
        </w:rPr>
        <w:t xml:space="preserve">Subsidy Control </w:t>
      </w:r>
    </w:p>
    <w:p w14:paraId="691D1BF1" w14:textId="3629D7D8" w:rsidR="007D2E9A" w:rsidRPr="006F681D" w:rsidRDefault="007D2E9A" w:rsidP="007D2E9A">
      <w:pPr>
        <w:spacing w:after="0" w:line="240" w:lineRule="auto"/>
        <w:ind w:left="720" w:hanging="720"/>
        <w:rPr>
          <w:rFonts w:ascii="Arial" w:hAnsi="Arial" w:cs="Arial"/>
          <w:bCs/>
        </w:rPr>
      </w:pPr>
      <w:r w:rsidRPr="006F681D">
        <w:rPr>
          <w:rFonts w:ascii="Arial" w:hAnsi="Arial" w:cs="Arial"/>
          <w:bCs/>
        </w:rPr>
        <w:t>25.1</w:t>
      </w:r>
      <w:r w:rsidRPr="006F681D">
        <w:rPr>
          <w:rFonts w:ascii="Arial" w:hAnsi="Arial" w:cs="Arial"/>
          <w:bCs/>
        </w:rPr>
        <w:tab/>
        <w:t xml:space="preserve">As a public authority, NTCA is required to comply with the new Subsidy Control Act 2022 (which took effect on 4th January 2023) when awarding funding or other support. Please note that, where a provisional decision is made to award support to your organisation, and NTCA considers that support may involve a subsidy, you will </w:t>
      </w:r>
      <w:r w:rsidRPr="006F681D">
        <w:rPr>
          <w:rFonts w:ascii="Arial" w:hAnsi="Arial" w:cs="Arial"/>
          <w:bCs/>
        </w:rPr>
        <w:lastRenderedPageBreak/>
        <w:t>then be required to provide further information regarding the subsidy position of the project. Annex B of the Application Form will need to be completed at this stage, to allow NTCA to assess the subsidy control position.</w:t>
      </w:r>
    </w:p>
    <w:p w14:paraId="6DE7F4B3" w14:textId="77777777" w:rsidR="007D2E9A" w:rsidRPr="006F681D" w:rsidRDefault="007D2E9A" w:rsidP="007D2E9A">
      <w:pPr>
        <w:spacing w:after="0" w:line="240" w:lineRule="auto"/>
        <w:ind w:left="720" w:hanging="720"/>
        <w:rPr>
          <w:rFonts w:ascii="Arial" w:hAnsi="Arial" w:cs="Arial"/>
          <w:bCs/>
        </w:rPr>
      </w:pPr>
    </w:p>
    <w:p w14:paraId="6F2144E8" w14:textId="0BF009F6" w:rsidR="007D2E9A" w:rsidRPr="006F681D" w:rsidRDefault="007D2E9A" w:rsidP="007D2E9A">
      <w:pPr>
        <w:spacing w:after="0" w:line="240" w:lineRule="auto"/>
        <w:ind w:left="720" w:hanging="720"/>
        <w:rPr>
          <w:rFonts w:ascii="Arial" w:hAnsi="Arial" w:cs="Arial"/>
          <w:bCs/>
        </w:rPr>
      </w:pPr>
      <w:r w:rsidRPr="006F681D">
        <w:rPr>
          <w:rFonts w:ascii="Arial" w:hAnsi="Arial" w:cs="Arial"/>
          <w:bCs/>
        </w:rPr>
        <w:t>25.2</w:t>
      </w:r>
      <w:r w:rsidRPr="006F681D">
        <w:rPr>
          <w:rFonts w:ascii="Arial" w:hAnsi="Arial" w:cs="Arial"/>
          <w:bCs/>
        </w:rPr>
        <w:tab/>
        <w:t>Please note that any funding decisions by NTCA will not be made until such times as a subsidy compliant route has been identified. Any provisional decisions remain entirely conditional on the subsidy control position being satisfactorily resolved prior to any final decision by NTCA to award any funding or support.</w:t>
      </w:r>
    </w:p>
    <w:p w14:paraId="6A5D5ACF" w14:textId="77777777" w:rsidR="007D2E9A" w:rsidRPr="006F681D" w:rsidRDefault="007D2E9A" w:rsidP="007D2E9A">
      <w:pPr>
        <w:spacing w:after="0" w:line="240" w:lineRule="auto"/>
        <w:ind w:left="720" w:hanging="720"/>
        <w:rPr>
          <w:rFonts w:ascii="Arial" w:hAnsi="Arial" w:cs="Arial"/>
          <w:bCs/>
        </w:rPr>
      </w:pPr>
    </w:p>
    <w:p w14:paraId="524869BB" w14:textId="4C28B67F" w:rsidR="006F681D" w:rsidRPr="00ED405B" w:rsidRDefault="007D2E9A" w:rsidP="001004FF">
      <w:pPr>
        <w:spacing w:after="0" w:line="240" w:lineRule="auto"/>
        <w:ind w:left="720" w:hanging="720"/>
        <w:rPr>
          <w:rFonts w:ascii="Arial" w:hAnsi="Arial" w:cs="Arial"/>
          <w:bCs/>
        </w:rPr>
      </w:pPr>
      <w:r w:rsidRPr="006F681D">
        <w:rPr>
          <w:rFonts w:ascii="Arial" w:hAnsi="Arial" w:cs="Arial"/>
          <w:bCs/>
        </w:rPr>
        <w:t>25.3</w:t>
      </w:r>
      <w:r w:rsidRPr="006F681D">
        <w:rPr>
          <w:rFonts w:ascii="Arial" w:hAnsi="Arial" w:cs="Arial"/>
          <w:bCs/>
        </w:rPr>
        <w:tab/>
        <w:t xml:space="preserve">Annex B of the Application Form does not need to be completed at this initial </w:t>
      </w:r>
      <w:r w:rsidR="00A0162F" w:rsidRPr="006F681D">
        <w:rPr>
          <w:rFonts w:ascii="Arial" w:hAnsi="Arial" w:cs="Arial"/>
          <w:bCs/>
        </w:rPr>
        <w:t>stage;</w:t>
      </w:r>
      <w:r w:rsidRPr="006F681D">
        <w:rPr>
          <w:rFonts w:ascii="Arial" w:hAnsi="Arial" w:cs="Arial"/>
          <w:bCs/>
        </w:rPr>
        <w:t xml:space="preserve"> </w:t>
      </w:r>
      <w:r w:rsidR="001004FF" w:rsidRPr="006F681D">
        <w:rPr>
          <w:rFonts w:ascii="Arial" w:hAnsi="Arial" w:cs="Arial"/>
          <w:bCs/>
        </w:rPr>
        <w:t>however,</w:t>
      </w:r>
      <w:r w:rsidRPr="006F681D">
        <w:rPr>
          <w:rFonts w:ascii="Arial" w:hAnsi="Arial" w:cs="Arial"/>
          <w:bCs/>
        </w:rPr>
        <w:t xml:space="preserve"> you may wish to consider from the outset how your project will align with the subsidy control rules should it be successful.</w:t>
      </w:r>
      <w:r w:rsidR="001B21F1">
        <w:rPr>
          <w:rFonts w:ascii="Arial" w:hAnsi="Arial" w:cs="Arial"/>
          <w:bCs/>
        </w:rPr>
        <w:t xml:space="preserve"> </w:t>
      </w:r>
    </w:p>
    <w:p w14:paraId="7199C74F" w14:textId="77777777" w:rsidR="006F681D" w:rsidRDefault="006F681D" w:rsidP="008F77D5">
      <w:pPr>
        <w:widowControl w:val="0"/>
        <w:autoSpaceDE w:val="0"/>
        <w:autoSpaceDN w:val="0"/>
        <w:spacing w:after="0" w:line="240" w:lineRule="auto"/>
        <w:rPr>
          <w:rFonts w:ascii="Arial" w:eastAsia="Times New Roman" w:hAnsi="Arial" w:cs="Arial"/>
          <w:b/>
          <w:bCs/>
          <w:sz w:val="24"/>
          <w:szCs w:val="24"/>
          <w:lang w:val="en-US" w:eastAsia="en-GB"/>
        </w:rPr>
      </w:pPr>
    </w:p>
    <w:p w14:paraId="78F8E566" w14:textId="3F0D0586" w:rsidR="008342F4" w:rsidRPr="008F77D5" w:rsidRDefault="008F77D5" w:rsidP="008F77D5">
      <w:pPr>
        <w:widowControl w:val="0"/>
        <w:autoSpaceDE w:val="0"/>
        <w:autoSpaceDN w:val="0"/>
        <w:spacing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2</w:t>
      </w:r>
      <w:r w:rsidR="007D2E9A">
        <w:rPr>
          <w:rFonts w:ascii="Arial" w:eastAsia="Times New Roman" w:hAnsi="Arial" w:cs="Arial"/>
          <w:b/>
          <w:bCs/>
          <w:sz w:val="24"/>
          <w:szCs w:val="24"/>
          <w:lang w:val="en-US" w:eastAsia="en-GB"/>
        </w:rPr>
        <w:t>6</w:t>
      </w:r>
      <w:r>
        <w:rPr>
          <w:rFonts w:ascii="Arial" w:eastAsia="Times New Roman" w:hAnsi="Arial" w:cs="Arial"/>
          <w:b/>
          <w:bCs/>
          <w:sz w:val="24"/>
          <w:szCs w:val="24"/>
          <w:lang w:val="en-US" w:eastAsia="en-GB"/>
        </w:rPr>
        <w:tab/>
      </w:r>
      <w:r w:rsidR="008342F4" w:rsidRPr="008F77D5">
        <w:rPr>
          <w:rFonts w:ascii="Arial" w:eastAsia="Times New Roman" w:hAnsi="Arial" w:cs="Arial"/>
          <w:b/>
          <w:bCs/>
          <w:sz w:val="24"/>
          <w:szCs w:val="24"/>
          <w:lang w:val="en-US" w:eastAsia="en-GB"/>
        </w:rPr>
        <w:t>VCSE organisations</w:t>
      </w:r>
      <w:r w:rsidR="0055536D" w:rsidRPr="008F77D5">
        <w:rPr>
          <w:rFonts w:ascii="Arial" w:eastAsia="Times New Roman" w:hAnsi="Arial" w:cs="Arial"/>
          <w:b/>
          <w:bCs/>
          <w:sz w:val="24"/>
          <w:szCs w:val="24"/>
          <w:lang w:val="en-US" w:eastAsia="en-GB"/>
        </w:rPr>
        <w:t xml:space="preserve">: </w:t>
      </w:r>
      <w:r w:rsidR="008342F4" w:rsidRPr="008F77D5">
        <w:rPr>
          <w:rFonts w:ascii="Arial" w:eastAsia="Times New Roman" w:hAnsi="Arial" w:cs="Arial"/>
          <w:b/>
          <w:bCs/>
          <w:sz w:val="24"/>
          <w:szCs w:val="24"/>
          <w:lang w:val="en-US" w:eastAsia="en-GB"/>
        </w:rPr>
        <w:t xml:space="preserve">NTCA definition </w:t>
      </w:r>
    </w:p>
    <w:p w14:paraId="0AFBCAAE" w14:textId="77777777" w:rsidR="00472DEB" w:rsidRPr="00472DEB" w:rsidRDefault="00472DEB" w:rsidP="005B54E5">
      <w:pPr>
        <w:widowControl w:val="0"/>
        <w:autoSpaceDE w:val="0"/>
        <w:autoSpaceDN w:val="0"/>
        <w:spacing w:after="0" w:line="240" w:lineRule="auto"/>
        <w:rPr>
          <w:rFonts w:ascii="Arial" w:eastAsia="Arial" w:hAnsi="Arial" w:cs="Arial"/>
          <w:b/>
          <w:color w:val="404040"/>
          <w:lang w:val="en-US"/>
        </w:rPr>
      </w:pPr>
    </w:p>
    <w:p w14:paraId="492F7C12" w14:textId="2167F4EB" w:rsidR="002D20A9" w:rsidRPr="002D20A9" w:rsidRDefault="002D20A9" w:rsidP="002D20A9">
      <w:pPr>
        <w:spacing w:after="0" w:line="240" w:lineRule="auto"/>
        <w:ind w:left="720" w:hanging="720"/>
        <w:rPr>
          <w:rFonts w:ascii="Arial" w:hAnsi="Arial" w:cs="Arial"/>
          <w:bCs/>
        </w:rPr>
      </w:pPr>
      <w:r>
        <w:rPr>
          <w:rFonts w:ascii="Arial" w:hAnsi="Arial" w:cs="Arial"/>
          <w:bCs/>
        </w:rPr>
        <w:t>2</w:t>
      </w:r>
      <w:r w:rsidR="007D2E9A">
        <w:rPr>
          <w:rFonts w:ascii="Arial" w:hAnsi="Arial" w:cs="Arial"/>
          <w:bCs/>
        </w:rPr>
        <w:t>6</w:t>
      </w:r>
      <w:r>
        <w:rPr>
          <w:rFonts w:ascii="Arial" w:hAnsi="Arial" w:cs="Arial"/>
          <w:bCs/>
        </w:rPr>
        <w:t>.1</w:t>
      </w:r>
      <w:r>
        <w:rPr>
          <w:rFonts w:ascii="Arial" w:hAnsi="Arial" w:cs="Arial"/>
          <w:bCs/>
        </w:rPr>
        <w:tab/>
      </w:r>
      <w:r w:rsidRPr="002D20A9">
        <w:rPr>
          <w:rFonts w:ascii="Arial" w:hAnsi="Arial" w:cs="Arial"/>
          <w:bCs/>
        </w:rPr>
        <w:t>NTCA define an VCSE organisation as:</w:t>
      </w:r>
      <w:r>
        <w:rPr>
          <w:rFonts w:ascii="Arial" w:hAnsi="Arial" w:cs="Arial"/>
          <w:bCs/>
        </w:rPr>
        <w:t xml:space="preserve"> </w:t>
      </w:r>
      <w:r w:rsidRPr="002D20A9">
        <w:rPr>
          <w:rFonts w:ascii="Arial" w:hAnsi="Arial" w:cs="Arial"/>
          <w:bCs/>
        </w:rPr>
        <w:t xml:space="preserve">VCSE means an incorporated voluntary, community or social enterprise organisation which serves communities within </w:t>
      </w:r>
      <w:r w:rsidR="001004FF" w:rsidRPr="002D20A9">
        <w:rPr>
          <w:rFonts w:ascii="Arial" w:hAnsi="Arial" w:cs="Arial"/>
          <w:bCs/>
        </w:rPr>
        <w:t>England,</w:t>
      </w:r>
      <w:r w:rsidRPr="002D20A9">
        <w:rPr>
          <w:rFonts w:ascii="Arial" w:hAnsi="Arial" w:cs="Arial"/>
          <w:bCs/>
        </w:rPr>
        <w:t xml:space="preserve"> and which is either:</w:t>
      </w:r>
    </w:p>
    <w:p w14:paraId="3DB795AE" w14:textId="77777777" w:rsidR="002D20A9" w:rsidRPr="002D20A9" w:rsidRDefault="002D20A9" w:rsidP="002D20A9">
      <w:pPr>
        <w:spacing w:after="0" w:line="240" w:lineRule="auto"/>
        <w:ind w:left="720" w:hanging="720"/>
        <w:rPr>
          <w:rFonts w:ascii="Arial" w:hAnsi="Arial" w:cs="Arial"/>
          <w:bCs/>
        </w:rPr>
      </w:pPr>
    </w:p>
    <w:p w14:paraId="46F61791" w14:textId="77777777" w:rsidR="002D20A9" w:rsidRPr="002D20A9" w:rsidRDefault="002D20A9" w:rsidP="00D707F6">
      <w:pPr>
        <w:numPr>
          <w:ilvl w:val="0"/>
          <w:numId w:val="6"/>
        </w:numPr>
        <w:spacing w:after="0" w:line="240" w:lineRule="auto"/>
        <w:contextualSpacing/>
        <w:rPr>
          <w:rFonts w:ascii="Arial" w:hAnsi="Arial" w:cs="Arial"/>
          <w:bCs/>
        </w:rPr>
      </w:pPr>
      <w:r w:rsidRPr="002D20A9">
        <w:rPr>
          <w:rFonts w:ascii="Arial" w:hAnsi="Arial" w:cs="Arial"/>
          <w:bCs/>
        </w:rPr>
        <w:t xml:space="preserve">a charity, Community Interest </w:t>
      </w:r>
      <w:proofErr w:type="gramStart"/>
      <w:r w:rsidRPr="002D20A9">
        <w:rPr>
          <w:rFonts w:ascii="Arial" w:hAnsi="Arial" w:cs="Arial"/>
          <w:bCs/>
        </w:rPr>
        <w:t>Company</w:t>
      </w:r>
      <w:proofErr w:type="gramEnd"/>
      <w:r w:rsidRPr="002D20A9">
        <w:rPr>
          <w:rFonts w:ascii="Arial" w:hAnsi="Arial" w:cs="Arial"/>
          <w:bCs/>
        </w:rPr>
        <w:t xml:space="preserve"> or Community Benefit Society, registered with the relevant registry body; or</w:t>
      </w:r>
    </w:p>
    <w:p w14:paraId="69F2E9F8" w14:textId="77777777" w:rsidR="002D20A9" w:rsidRPr="002D20A9" w:rsidRDefault="002D20A9" w:rsidP="002D20A9">
      <w:pPr>
        <w:spacing w:after="0" w:line="240" w:lineRule="auto"/>
        <w:ind w:left="720"/>
        <w:contextualSpacing/>
        <w:rPr>
          <w:rFonts w:ascii="Arial" w:hAnsi="Arial" w:cs="Arial"/>
          <w:bCs/>
        </w:rPr>
      </w:pPr>
    </w:p>
    <w:p w14:paraId="2706B632" w14:textId="77777777" w:rsidR="002D20A9" w:rsidRPr="002D20A9" w:rsidRDefault="002D20A9" w:rsidP="00D707F6">
      <w:pPr>
        <w:numPr>
          <w:ilvl w:val="0"/>
          <w:numId w:val="6"/>
        </w:numPr>
        <w:spacing w:after="0" w:line="240" w:lineRule="auto"/>
        <w:contextualSpacing/>
        <w:rPr>
          <w:rFonts w:ascii="Arial" w:hAnsi="Arial" w:cs="Arial"/>
        </w:rPr>
      </w:pPr>
      <w:r w:rsidRPr="002D20A9">
        <w:rPr>
          <w:rFonts w:ascii="Arial" w:hAnsi="Arial" w:cs="Arial"/>
        </w:rPr>
        <w:t>an unregulated organisation which:</w:t>
      </w:r>
    </w:p>
    <w:p w14:paraId="4788739B" w14:textId="77777777" w:rsidR="002D20A9" w:rsidRPr="002D20A9" w:rsidRDefault="002D20A9" w:rsidP="002D20A9">
      <w:pPr>
        <w:spacing w:after="0" w:line="240" w:lineRule="auto"/>
        <w:ind w:left="720"/>
        <w:contextualSpacing/>
        <w:rPr>
          <w:rFonts w:ascii="Arial" w:hAnsi="Arial" w:cs="Arial"/>
          <w:bCs/>
          <w:sz w:val="24"/>
          <w:szCs w:val="24"/>
        </w:rPr>
      </w:pPr>
    </w:p>
    <w:p w14:paraId="58C7DA2C" w14:textId="77777777" w:rsidR="002D20A9" w:rsidRPr="002D20A9" w:rsidRDefault="002D20A9" w:rsidP="002D20A9">
      <w:pPr>
        <w:spacing w:after="0" w:line="240" w:lineRule="auto"/>
        <w:ind w:left="1440" w:hanging="720"/>
        <w:rPr>
          <w:rFonts w:ascii="Arial" w:hAnsi="Arial" w:cs="Arial"/>
          <w:bCs/>
        </w:rPr>
      </w:pPr>
      <w:r w:rsidRPr="002D20A9">
        <w:rPr>
          <w:rFonts w:ascii="Arial" w:hAnsi="Arial" w:cs="Arial"/>
          <w:bCs/>
        </w:rPr>
        <w:t>(</w:t>
      </w:r>
      <w:proofErr w:type="spellStart"/>
      <w:r w:rsidRPr="002D20A9">
        <w:rPr>
          <w:rFonts w:ascii="Arial" w:hAnsi="Arial" w:cs="Arial"/>
          <w:bCs/>
        </w:rPr>
        <w:t>i</w:t>
      </w:r>
      <w:proofErr w:type="spellEnd"/>
      <w:r w:rsidRPr="002D20A9">
        <w:rPr>
          <w:rFonts w:ascii="Arial" w:hAnsi="Arial" w:cs="Arial"/>
          <w:bCs/>
        </w:rPr>
        <w:t>)</w:t>
      </w:r>
      <w:r w:rsidRPr="002D20A9">
        <w:rPr>
          <w:rFonts w:ascii="Arial" w:hAnsi="Arial" w:cs="Arial"/>
          <w:bCs/>
        </w:rPr>
        <w:tab/>
        <w:t>has a clear social mission which, in the reasonable opinion of the Fund Administrator, is analogous to a recognised charitable purpose.</w:t>
      </w:r>
    </w:p>
    <w:p w14:paraId="0609B429" w14:textId="77777777" w:rsidR="002D20A9" w:rsidRPr="002D20A9" w:rsidRDefault="002D20A9" w:rsidP="002D20A9">
      <w:pPr>
        <w:spacing w:after="0" w:line="240" w:lineRule="auto"/>
        <w:ind w:left="1440" w:hanging="720"/>
        <w:rPr>
          <w:rFonts w:ascii="Arial" w:hAnsi="Arial" w:cs="Arial"/>
          <w:bCs/>
        </w:rPr>
      </w:pPr>
      <w:r w:rsidRPr="002D20A9">
        <w:rPr>
          <w:rFonts w:ascii="Arial" w:hAnsi="Arial" w:cs="Arial"/>
          <w:bCs/>
        </w:rPr>
        <w:t>(ii)</w:t>
      </w:r>
      <w:r w:rsidRPr="002D20A9">
        <w:rPr>
          <w:rFonts w:ascii="Arial" w:hAnsi="Arial" w:cs="Arial"/>
          <w:bCs/>
        </w:rPr>
        <w:tab/>
        <w:t>distributes less than 50% of post-tax profits and reinvests at least 51% surpluses into pursuing its social mission.</w:t>
      </w:r>
    </w:p>
    <w:p w14:paraId="3D514B22" w14:textId="77777777" w:rsidR="002D20A9" w:rsidRPr="002D20A9" w:rsidRDefault="002D20A9" w:rsidP="002D20A9">
      <w:pPr>
        <w:spacing w:after="0" w:line="240" w:lineRule="auto"/>
        <w:ind w:left="1440" w:hanging="720"/>
        <w:rPr>
          <w:rFonts w:ascii="Arial" w:hAnsi="Arial" w:cs="Arial"/>
          <w:bCs/>
        </w:rPr>
      </w:pPr>
      <w:r w:rsidRPr="002D20A9">
        <w:rPr>
          <w:rFonts w:ascii="Arial" w:hAnsi="Arial" w:cs="Arial"/>
          <w:bCs/>
        </w:rPr>
        <w:t>(iii)</w:t>
      </w:r>
      <w:r w:rsidRPr="002D20A9">
        <w:rPr>
          <w:rFonts w:ascii="Arial" w:hAnsi="Arial" w:cs="Arial"/>
          <w:bCs/>
        </w:rPr>
        <w:tab/>
        <w:t>has a constitutional or contractual lock on its social mission, its dividend and surplus distribution policy and “asset-lock”.</w:t>
      </w:r>
    </w:p>
    <w:p w14:paraId="72BC20B4" w14:textId="77777777" w:rsidR="002D20A9" w:rsidRPr="002D20A9" w:rsidRDefault="002D20A9" w:rsidP="002D20A9">
      <w:pPr>
        <w:spacing w:after="0" w:line="240" w:lineRule="auto"/>
        <w:ind w:left="1440" w:hanging="720"/>
        <w:rPr>
          <w:rFonts w:ascii="Arial" w:hAnsi="Arial" w:cs="Arial"/>
          <w:bCs/>
        </w:rPr>
      </w:pPr>
      <w:r w:rsidRPr="002D20A9">
        <w:rPr>
          <w:rFonts w:ascii="Arial" w:hAnsi="Arial" w:cs="Arial"/>
          <w:bCs/>
        </w:rPr>
        <w:t>(iv)</w:t>
      </w:r>
      <w:r w:rsidRPr="002D20A9">
        <w:rPr>
          <w:rFonts w:ascii="Arial" w:hAnsi="Arial" w:cs="Arial"/>
          <w:bCs/>
        </w:rPr>
        <w:tab/>
        <w:t>carries out, or has ambitions to carry out, trading activities in support of and which are causally linked to its social mission.</w:t>
      </w:r>
    </w:p>
    <w:p w14:paraId="363F92ED" w14:textId="77777777" w:rsidR="002D20A9" w:rsidRPr="002D20A9" w:rsidRDefault="002D20A9" w:rsidP="002D20A9">
      <w:pPr>
        <w:spacing w:after="0" w:line="240" w:lineRule="auto"/>
        <w:ind w:left="1440" w:hanging="720"/>
        <w:rPr>
          <w:rFonts w:ascii="Arial" w:hAnsi="Arial" w:cs="Arial"/>
          <w:bCs/>
        </w:rPr>
      </w:pPr>
      <w:r w:rsidRPr="002D20A9">
        <w:rPr>
          <w:rFonts w:ascii="Arial" w:hAnsi="Arial" w:cs="Arial"/>
          <w:bCs/>
        </w:rPr>
        <w:t>(v)</w:t>
      </w:r>
      <w:r w:rsidRPr="002D20A9">
        <w:rPr>
          <w:rFonts w:ascii="Arial" w:hAnsi="Arial" w:cs="Arial"/>
          <w:bCs/>
        </w:rPr>
        <w:tab/>
        <w:t xml:space="preserve">offers its products and services for </w:t>
      </w:r>
      <w:proofErr w:type="gramStart"/>
      <w:r w:rsidRPr="002D20A9">
        <w:rPr>
          <w:rFonts w:ascii="Arial" w:hAnsi="Arial" w:cs="Arial"/>
          <w:bCs/>
        </w:rPr>
        <w:t>general public</w:t>
      </w:r>
      <w:proofErr w:type="gramEnd"/>
      <w:r w:rsidRPr="002D20A9">
        <w:rPr>
          <w:rFonts w:ascii="Arial" w:hAnsi="Arial" w:cs="Arial"/>
          <w:bCs/>
        </w:rPr>
        <w:t xml:space="preserve"> benefit without restrictions and barriers, such as affordability.</w:t>
      </w:r>
    </w:p>
    <w:p w14:paraId="3FF4598D" w14:textId="77777777" w:rsidR="002D20A9" w:rsidRPr="002D20A9" w:rsidRDefault="002D20A9" w:rsidP="002D20A9">
      <w:pPr>
        <w:spacing w:after="0" w:line="240" w:lineRule="auto"/>
        <w:ind w:left="720"/>
        <w:rPr>
          <w:rFonts w:ascii="Arial" w:hAnsi="Arial" w:cs="Arial"/>
          <w:bCs/>
        </w:rPr>
      </w:pPr>
      <w:r w:rsidRPr="002D20A9">
        <w:rPr>
          <w:rFonts w:ascii="Arial" w:hAnsi="Arial" w:cs="Arial"/>
          <w:bCs/>
        </w:rPr>
        <w:t>(vi)</w:t>
      </w:r>
      <w:r w:rsidRPr="002D20A9">
        <w:rPr>
          <w:rFonts w:ascii="Arial" w:hAnsi="Arial" w:cs="Arial"/>
          <w:bCs/>
        </w:rPr>
        <w:tab/>
        <w:t>is open to undertaking an independent social impact audit.</w:t>
      </w:r>
    </w:p>
    <w:p w14:paraId="1C1C4CB1" w14:textId="77777777" w:rsidR="002D20A9" w:rsidRPr="002D20A9" w:rsidRDefault="002D20A9" w:rsidP="002D20A9">
      <w:pPr>
        <w:spacing w:after="0" w:line="240" w:lineRule="auto"/>
        <w:ind w:left="1440" w:hanging="720"/>
        <w:rPr>
          <w:rFonts w:ascii="Arial" w:hAnsi="Arial" w:cs="Arial"/>
          <w:bCs/>
        </w:rPr>
      </w:pPr>
      <w:r w:rsidRPr="002D20A9">
        <w:rPr>
          <w:rFonts w:ascii="Arial" w:hAnsi="Arial" w:cs="Arial"/>
          <w:bCs/>
        </w:rPr>
        <w:t>(vi)</w:t>
      </w:r>
      <w:r w:rsidRPr="002D20A9">
        <w:rPr>
          <w:rFonts w:ascii="Arial" w:hAnsi="Arial" w:cs="Arial"/>
          <w:bCs/>
        </w:rPr>
        <w:tab/>
        <w:t>has remuneration and benefits policy which it is willing to make publicly accessible, and which is reasonable and proportionate relative to the market practice for VCSEs.</w:t>
      </w:r>
    </w:p>
    <w:p w14:paraId="04B6ED4F" w14:textId="77777777" w:rsidR="002D20A9" w:rsidRPr="002D20A9" w:rsidRDefault="002D20A9" w:rsidP="002D20A9">
      <w:pPr>
        <w:spacing w:after="0" w:line="240" w:lineRule="auto"/>
        <w:ind w:left="1440" w:hanging="720"/>
        <w:rPr>
          <w:rFonts w:ascii="Arial" w:hAnsi="Arial" w:cs="Arial"/>
          <w:bCs/>
        </w:rPr>
      </w:pPr>
      <w:r w:rsidRPr="002D20A9">
        <w:rPr>
          <w:rFonts w:ascii="Arial" w:hAnsi="Arial" w:cs="Arial"/>
          <w:bCs/>
        </w:rPr>
        <w:t>(vii)</w:t>
      </w:r>
      <w:r w:rsidRPr="002D20A9">
        <w:rPr>
          <w:rFonts w:ascii="Arial" w:hAnsi="Arial" w:cs="Arial"/>
          <w:bCs/>
        </w:rPr>
        <w:tab/>
        <w:t>in the case of a sale of the organisation, the directors make best efforts to preserve the social mission under new ownership; and</w:t>
      </w:r>
    </w:p>
    <w:p w14:paraId="78BA9C5A" w14:textId="77777777" w:rsidR="002D20A9" w:rsidRPr="002D20A9" w:rsidRDefault="002D20A9" w:rsidP="002D20A9">
      <w:pPr>
        <w:spacing w:after="0" w:line="240" w:lineRule="auto"/>
        <w:ind w:left="720"/>
        <w:rPr>
          <w:rFonts w:ascii="Arial" w:hAnsi="Arial" w:cs="Arial"/>
        </w:rPr>
      </w:pPr>
      <w:r w:rsidRPr="002D20A9">
        <w:rPr>
          <w:rFonts w:ascii="Arial" w:hAnsi="Arial" w:cs="Arial"/>
          <w:bCs/>
        </w:rPr>
        <w:t>(viii)</w:t>
      </w:r>
      <w:r w:rsidRPr="002D20A9">
        <w:rPr>
          <w:rFonts w:ascii="Arial" w:hAnsi="Arial" w:cs="Arial"/>
          <w:bCs/>
        </w:rPr>
        <w:tab/>
        <w:t>can demonstrate that no private benefit will arise from the Grant.</w:t>
      </w:r>
    </w:p>
    <w:p w14:paraId="2A0D32CA" w14:textId="77777777" w:rsidR="002D20A9" w:rsidRDefault="002D20A9" w:rsidP="002D20A9">
      <w:pPr>
        <w:spacing w:after="0" w:line="240" w:lineRule="auto"/>
        <w:ind w:left="720"/>
        <w:rPr>
          <w:rFonts w:ascii="Arial" w:hAnsi="Arial" w:cs="Arial"/>
          <w:bCs/>
        </w:rPr>
      </w:pPr>
    </w:p>
    <w:p w14:paraId="4E9E22EB" w14:textId="7B744F50" w:rsidR="00F04FA0" w:rsidRPr="00F04FA0" w:rsidRDefault="00F04FA0" w:rsidP="00F04FA0">
      <w:pPr>
        <w:ind w:left="720" w:hanging="720"/>
        <w:rPr>
          <w:rFonts w:ascii="Arial" w:hAnsi="Arial" w:cs="Arial"/>
          <w:bCs/>
        </w:rPr>
      </w:pPr>
      <w:r>
        <w:rPr>
          <w:rFonts w:ascii="Arial" w:hAnsi="Arial" w:cs="Arial"/>
          <w:bCs/>
        </w:rPr>
        <w:t>2</w:t>
      </w:r>
      <w:r w:rsidR="007D2E9A">
        <w:rPr>
          <w:rFonts w:ascii="Arial" w:hAnsi="Arial" w:cs="Arial"/>
          <w:bCs/>
        </w:rPr>
        <w:t>6</w:t>
      </w:r>
      <w:r>
        <w:rPr>
          <w:rFonts w:ascii="Arial" w:hAnsi="Arial" w:cs="Arial"/>
          <w:bCs/>
        </w:rPr>
        <w:t>.2</w:t>
      </w:r>
      <w:r>
        <w:rPr>
          <w:rFonts w:ascii="Arial" w:hAnsi="Arial" w:cs="Arial"/>
          <w:bCs/>
        </w:rPr>
        <w:tab/>
      </w:r>
      <w:r w:rsidRPr="00F04FA0">
        <w:rPr>
          <w:rFonts w:ascii="Arial" w:hAnsi="Arial" w:cs="Arial"/>
          <w:bCs/>
        </w:rPr>
        <w:t xml:space="preserve">Activity must be delivered within the North of Tyne Combined Authority area </w:t>
      </w:r>
      <w:proofErr w:type="gramStart"/>
      <w:r w:rsidRPr="00F04FA0">
        <w:rPr>
          <w:rFonts w:ascii="Arial" w:hAnsi="Arial" w:cs="Arial"/>
          <w:bCs/>
        </w:rPr>
        <w:t>i.e.</w:t>
      </w:r>
      <w:proofErr w:type="gramEnd"/>
      <w:r w:rsidRPr="00F04FA0">
        <w:rPr>
          <w:rFonts w:ascii="Arial" w:hAnsi="Arial" w:cs="Arial"/>
          <w:bCs/>
        </w:rPr>
        <w:t xml:space="preserve"> the local authority areas of Newcastle, North Tyneside and Northumberland. </w:t>
      </w:r>
    </w:p>
    <w:p w14:paraId="34A8E677" w14:textId="77777777" w:rsidR="00F04FA0" w:rsidRPr="002D20A9" w:rsidRDefault="00F04FA0" w:rsidP="002D20A9">
      <w:pPr>
        <w:spacing w:after="0" w:line="240" w:lineRule="auto"/>
        <w:ind w:left="720"/>
        <w:rPr>
          <w:rFonts w:ascii="Arial" w:hAnsi="Arial" w:cs="Arial"/>
          <w:bCs/>
        </w:rPr>
      </w:pPr>
    </w:p>
    <w:sectPr w:rsidR="00F04FA0" w:rsidRPr="002D20A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8354" w14:textId="77777777" w:rsidR="004A418D" w:rsidRDefault="004A418D" w:rsidP="00472DEB">
      <w:pPr>
        <w:spacing w:after="0" w:line="240" w:lineRule="auto"/>
      </w:pPr>
      <w:r>
        <w:separator/>
      </w:r>
    </w:p>
  </w:endnote>
  <w:endnote w:type="continuationSeparator" w:id="0">
    <w:p w14:paraId="7A685AF1" w14:textId="77777777" w:rsidR="004A418D" w:rsidRDefault="004A418D" w:rsidP="00472DEB">
      <w:pPr>
        <w:spacing w:after="0" w:line="240" w:lineRule="auto"/>
      </w:pPr>
      <w:r>
        <w:continuationSeparator/>
      </w:r>
    </w:p>
  </w:endnote>
  <w:endnote w:type="continuationNotice" w:id="1">
    <w:p w14:paraId="12C41008" w14:textId="77777777" w:rsidR="004A418D" w:rsidRDefault="004A4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57167"/>
      <w:docPartObj>
        <w:docPartGallery w:val="Page Numbers (Bottom of Page)"/>
        <w:docPartUnique/>
      </w:docPartObj>
    </w:sdtPr>
    <w:sdtEndPr>
      <w:rPr>
        <w:noProof/>
      </w:rPr>
    </w:sdtEndPr>
    <w:sdtContent>
      <w:p w14:paraId="0964C3F5" w14:textId="127B6204" w:rsidR="0055536D" w:rsidRDefault="00555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15A19" w14:textId="77777777" w:rsidR="00472DEB" w:rsidRPr="00472DEB" w:rsidRDefault="00472DEB">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67EE" w14:textId="77777777" w:rsidR="004A418D" w:rsidRDefault="004A418D" w:rsidP="00472DEB">
      <w:pPr>
        <w:spacing w:after="0" w:line="240" w:lineRule="auto"/>
      </w:pPr>
      <w:r>
        <w:separator/>
      </w:r>
    </w:p>
  </w:footnote>
  <w:footnote w:type="continuationSeparator" w:id="0">
    <w:p w14:paraId="71187404" w14:textId="77777777" w:rsidR="004A418D" w:rsidRDefault="004A418D" w:rsidP="00472DEB">
      <w:pPr>
        <w:spacing w:after="0" w:line="240" w:lineRule="auto"/>
      </w:pPr>
      <w:r>
        <w:continuationSeparator/>
      </w:r>
    </w:p>
  </w:footnote>
  <w:footnote w:type="continuationNotice" w:id="1">
    <w:p w14:paraId="59D48581" w14:textId="77777777" w:rsidR="004A418D" w:rsidRDefault="004A4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A1F3" w14:textId="0ADD4474" w:rsidR="00472DEB" w:rsidRDefault="00472DE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IjTairK" int2:invalidationBookmarkName="" int2:hashCode="t0ogiEgW7gUW4q" int2:id="0uwVsWM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18"/>
    <w:multiLevelType w:val="hybridMultilevel"/>
    <w:tmpl w:val="AAEA4084"/>
    <w:lvl w:ilvl="0" w:tplc="C69C0C3C">
      <w:numFmt w:val="bullet"/>
      <w:lvlText w:val="•"/>
      <w:lvlJc w:val="left"/>
      <w:pPr>
        <w:ind w:left="1185" w:hanging="8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78E6"/>
    <w:multiLevelType w:val="multilevel"/>
    <w:tmpl w:val="E0CEF07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922B5E"/>
    <w:multiLevelType w:val="multilevel"/>
    <w:tmpl w:val="2E8AD5CC"/>
    <w:lvl w:ilvl="0">
      <w:start w:val="1"/>
      <w:numFmt w:val="decimal"/>
      <w:lvlText w:val="%1."/>
      <w:lvlJc w:val="left"/>
      <w:pPr>
        <w:ind w:left="284" w:hanging="284"/>
      </w:pPr>
    </w:lvl>
    <w:lvl w:ilvl="1">
      <w:start w:val="1"/>
      <w:numFmt w:val="decimal"/>
      <w:lvlText w:val="%1.%2."/>
      <w:lvlJc w:val="left"/>
      <w:pPr>
        <w:ind w:left="568" w:hanging="284"/>
      </w:pPr>
      <w:rPr>
        <w:b w:val="0"/>
        <w:bCs/>
        <w:color w:val="auto"/>
      </w:rPr>
    </w:lvl>
    <w:lvl w:ilvl="2">
      <w:start w:val="1"/>
      <w:numFmt w:val="decimal"/>
      <w:lvlText w:val="%1.%2.%3."/>
      <w:lvlJc w:val="left"/>
      <w:pPr>
        <w:ind w:left="852" w:hanging="284"/>
      </w:p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decimal"/>
      <w:lvlText w:val="%1.%2.%3.%4.%5.%6.%7.%8.%9."/>
      <w:lvlJc w:val="left"/>
      <w:pPr>
        <w:ind w:left="2556" w:hanging="284"/>
      </w:pPr>
    </w:lvl>
  </w:abstractNum>
  <w:abstractNum w:abstractNumId="3" w15:restartNumberingAfterBreak="0">
    <w:nsid w:val="48D37B9B"/>
    <w:multiLevelType w:val="hybridMultilevel"/>
    <w:tmpl w:val="7EA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471C0"/>
    <w:multiLevelType w:val="hybridMultilevel"/>
    <w:tmpl w:val="2E248542"/>
    <w:lvl w:ilvl="0" w:tplc="2ADA76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D17443"/>
    <w:multiLevelType w:val="hybridMultilevel"/>
    <w:tmpl w:val="EA60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872DC0"/>
    <w:multiLevelType w:val="multilevel"/>
    <w:tmpl w:val="2FC8993C"/>
    <w:lvl w:ilvl="0">
      <w:start w:val="1"/>
      <w:numFmt w:val="decimal"/>
      <w:pStyle w:val="Level1"/>
      <w:lvlText w:val="%1."/>
      <w:lvlJc w:val="left"/>
      <w:pPr>
        <w:ind w:left="0" w:firstLine="0"/>
      </w:pPr>
      <w:rPr>
        <w:b/>
        <w:i w:val="0"/>
        <w:caps w:val="0"/>
        <w:smallCaps w:val="0"/>
        <w:strike w:val="0"/>
        <w:dstrike w:val="0"/>
        <w:vanish w:val="0"/>
        <w:webHidden w:val="0"/>
        <w:color w:val="auto"/>
        <w:sz w:val="24"/>
        <w:szCs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E355297"/>
    <w:multiLevelType w:val="hybridMultilevel"/>
    <w:tmpl w:val="7ECE0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1D1D42"/>
    <w:multiLevelType w:val="hybridMultilevel"/>
    <w:tmpl w:val="443E7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2D5896"/>
    <w:multiLevelType w:val="multilevel"/>
    <w:tmpl w:val="668C7EBA"/>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7B4C8E"/>
    <w:multiLevelType w:val="hybridMultilevel"/>
    <w:tmpl w:val="B6F43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E869E9"/>
    <w:multiLevelType w:val="hybridMultilevel"/>
    <w:tmpl w:val="9A483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11"/>
  </w:num>
  <w:num w:numId="6">
    <w:abstractNumId w:val="4"/>
  </w:num>
  <w:num w:numId="7">
    <w:abstractNumId w:val="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EB"/>
    <w:rsid w:val="00006C29"/>
    <w:rsid w:val="00007A23"/>
    <w:rsid w:val="00011A07"/>
    <w:rsid w:val="000148BB"/>
    <w:rsid w:val="00043C14"/>
    <w:rsid w:val="000A0F1D"/>
    <w:rsid w:val="000A44E8"/>
    <w:rsid w:val="000C3C02"/>
    <w:rsid w:val="000E6F4D"/>
    <w:rsid w:val="000F688A"/>
    <w:rsid w:val="001004FF"/>
    <w:rsid w:val="001226B4"/>
    <w:rsid w:val="00126939"/>
    <w:rsid w:val="001321E0"/>
    <w:rsid w:val="00147DF0"/>
    <w:rsid w:val="00153655"/>
    <w:rsid w:val="00163E0A"/>
    <w:rsid w:val="001673EB"/>
    <w:rsid w:val="0017416E"/>
    <w:rsid w:val="00181080"/>
    <w:rsid w:val="00194085"/>
    <w:rsid w:val="001B21F1"/>
    <w:rsid w:val="001C3455"/>
    <w:rsid w:val="001D1D6E"/>
    <w:rsid w:val="001D4546"/>
    <w:rsid w:val="001D5660"/>
    <w:rsid w:val="001E354C"/>
    <w:rsid w:val="001F569C"/>
    <w:rsid w:val="00202BCD"/>
    <w:rsid w:val="00203C47"/>
    <w:rsid w:val="00221F3D"/>
    <w:rsid w:val="00263315"/>
    <w:rsid w:val="00266A34"/>
    <w:rsid w:val="002735D6"/>
    <w:rsid w:val="002902EE"/>
    <w:rsid w:val="00291E88"/>
    <w:rsid w:val="00295847"/>
    <w:rsid w:val="002C015F"/>
    <w:rsid w:val="002D20A9"/>
    <w:rsid w:val="002D5B95"/>
    <w:rsid w:val="002E492C"/>
    <w:rsid w:val="002E4C58"/>
    <w:rsid w:val="002F62DA"/>
    <w:rsid w:val="003169AA"/>
    <w:rsid w:val="0033135D"/>
    <w:rsid w:val="003333D2"/>
    <w:rsid w:val="00335FA1"/>
    <w:rsid w:val="003462B8"/>
    <w:rsid w:val="00355538"/>
    <w:rsid w:val="0036232B"/>
    <w:rsid w:val="00380E69"/>
    <w:rsid w:val="00391ECF"/>
    <w:rsid w:val="0039678C"/>
    <w:rsid w:val="003A0CA9"/>
    <w:rsid w:val="003B1893"/>
    <w:rsid w:val="003B210E"/>
    <w:rsid w:val="003B7FFB"/>
    <w:rsid w:val="003E1BBA"/>
    <w:rsid w:val="003E3808"/>
    <w:rsid w:val="003F6C12"/>
    <w:rsid w:val="003F700C"/>
    <w:rsid w:val="0040753F"/>
    <w:rsid w:val="00427171"/>
    <w:rsid w:val="00432943"/>
    <w:rsid w:val="0043381F"/>
    <w:rsid w:val="00445259"/>
    <w:rsid w:val="00471A37"/>
    <w:rsid w:val="00472DEB"/>
    <w:rsid w:val="004A418D"/>
    <w:rsid w:val="004A4392"/>
    <w:rsid w:val="004B0E6B"/>
    <w:rsid w:val="004B2E00"/>
    <w:rsid w:val="004B37E4"/>
    <w:rsid w:val="004C45E3"/>
    <w:rsid w:val="004C7325"/>
    <w:rsid w:val="004D0AC3"/>
    <w:rsid w:val="004D5E6B"/>
    <w:rsid w:val="004F33D6"/>
    <w:rsid w:val="00510DD4"/>
    <w:rsid w:val="00512F8B"/>
    <w:rsid w:val="005309E8"/>
    <w:rsid w:val="00534364"/>
    <w:rsid w:val="00536E21"/>
    <w:rsid w:val="005473F9"/>
    <w:rsid w:val="0055536D"/>
    <w:rsid w:val="005875A4"/>
    <w:rsid w:val="005B5454"/>
    <w:rsid w:val="005B54E5"/>
    <w:rsid w:val="005B5FA2"/>
    <w:rsid w:val="005B7E1A"/>
    <w:rsid w:val="005C0428"/>
    <w:rsid w:val="005C713A"/>
    <w:rsid w:val="00601945"/>
    <w:rsid w:val="00603F52"/>
    <w:rsid w:val="00614B4F"/>
    <w:rsid w:val="00620EB4"/>
    <w:rsid w:val="00643835"/>
    <w:rsid w:val="00660399"/>
    <w:rsid w:val="00665D7F"/>
    <w:rsid w:val="00676802"/>
    <w:rsid w:val="0068190E"/>
    <w:rsid w:val="0068516A"/>
    <w:rsid w:val="006860E2"/>
    <w:rsid w:val="006A4468"/>
    <w:rsid w:val="006A53F5"/>
    <w:rsid w:val="006A7425"/>
    <w:rsid w:val="006B25F0"/>
    <w:rsid w:val="006C133B"/>
    <w:rsid w:val="006C3FC5"/>
    <w:rsid w:val="006C44ED"/>
    <w:rsid w:val="006C6316"/>
    <w:rsid w:val="006D1A3A"/>
    <w:rsid w:val="006F681D"/>
    <w:rsid w:val="00713A76"/>
    <w:rsid w:val="00717017"/>
    <w:rsid w:val="007254D4"/>
    <w:rsid w:val="0074741D"/>
    <w:rsid w:val="00751F07"/>
    <w:rsid w:val="00754D4F"/>
    <w:rsid w:val="007639C8"/>
    <w:rsid w:val="00776115"/>
    <w:rsid w:val="00797A7F"/>
    <w:rsid w:val="007B59A5"/>
    <w:rsid w:val="007C4C0F"/>
    <w:rsid w:val="007D2E9A"/>
    <w:rsid w:val="007D54E9"/>
    <w:rsid w:val="007E0583"/>
    <w:rsid w:val="007E7BA7"/>
    <w:rsid w:val="007F20CD"/>
    <w:rsid w:val="007F25D6"/>
    <w:rsid w:val="00805DF5"/>
    <w:rsid w:val="008071F6"/>
    <w:rsid w:val="00812E2D"/>
    <w:rsid w:val="008244E9"/>
    <w:rsid w:val="00827DCF"/>
    <w:rsid w:val="008342F4"/>
    <w:rsid w:val="008426FF"/>
    <w:rsid w:val="00845596"/>
    <w:rsid w:val="00846A3D"/>
    <w:rsid w:val="00866B37"/>
    <w:rsid w:val="0087112A"/>
    <w:rsid w:val="008716C4"/>
    <w:rsid w:val="00876FB8"/>
    <w:rsid w:val="008F14A8"/>
    <w:rsid w:val="008F77D5"/>
    <w:rsid w:val="0092000C"/>
    <w:rsid w:val="00921344"/>
    <w:rsid w:val="00921A6C"/>
    <w:rsid w:val="00924E0C"/>
    <w:rsid w:val="0092621D"/>
    <w:rsid w:val="00942323"/>
    <w:rsid w:val="00957682"/>
    <w:rsid w:val="00961804"/>
    <w:rsid w:val="00973A49"/>
    <w:rsid w:val="00974DDF"/>
    <w:rsid w:val="00990C24"/>
    <w:rsid w:val="009A6E56"/>
    <w:rsid w:val="009C3512"/>
    <w:rsid w:val="009C7226"/>
    <w:rsid w:val="009E07AF"/>
    <w:rsid w:val="00A0162F"/>
    <w:rsid w:val="00A114DC"/>
    <w:rsid w:val="00A37555"/>
    <w:rsid w:val="00A46891"/>
    <w:rsid w:val="00A714AE"/>
    <w:rsid w:val="00A73DA9"/>
    <w:rsid w:val="00A92286"/>
    <w:rsid w:val="00AA5FAB"/>
    <w:rsid w:val="00AB351D"/>
    <w:rsid w:val="00AB655B"/>
    <w:rsid w:val="00AD07DC"/>
    <w:rsid w:val="00AE0255"/>
    <w:rsid w:val="00AE3FF4"/>
    <w:rsid w:val="00AE67B3"/>
    <w:rsid w:val="00B00EE3"/>
    <w:rsid w:val="00B01AB7"/>
    <w:rsid w:val="00B03D94"/>
    <w:rsid w:val="00B173A0"/>
    <w:rsid w:val="00B461BC"/>
    <w:rsid w:val="00B548C0"/>
    <w:rsid w:val="00B62512"/>
    <w:rsid w:val="00B96325"/>
    <w:rsid w:val="00B971A1"/>
    <w:rsid w:val="00BA2EDD"/>
    <w:rsid w:val="00BA305B"/>
    <w:rsid w:val="00BB730B"/>
    <w:rsid w:val="00BC20ED"/>
    <w:rsid w:val="00BC7606"/>
    <w:rsid w:val="00BE0ADD"/>
    <w:rsid w:val="00BE33FB"/>
    <w:rsid w:val="00C140B1"/>
    <w:rsid w:val="00C26A78"/>
    <w:rsid w:val="00C41800"/>
    <w:rsid w:val="00C42429"/>
    <w:rsid w:val="00C862F8"/>
    <w:rsid w:val="00C90C15"/>
    <w:rsid w:val="00C9391F"/>
    <w:rsid w:val="00C9449A"/>
    <w:rsid w:val="00C95903"/>
    <w:rsid w:val="00CA123E"/>
    <w:rsid w:val="00CA1F8C"/>
    <w:rsid w:val="00CA6D70"/>
    <w:rsid w:val="00CB1E8F"/>
    <w:rsid w:val="00CD08D6"/>
    <w:rsid w:val="00CD1FE5"/>
    <w:rsid w:val="00D0482D"/>
    <w:rsid w:val="00D16E29"/>
    <w:rsid w:val="00D220C2"/>
    <w:rsid w:val="00D25E5D"/>
    <w:rsid w:val="00D707F6"/>
    <w:rsid w:val="00D80A66"/>
    <w:rsid w:val="00D81769"/>
    <w:rsid w:val="00D9204E"/>
    <w:rsid w:val="00DA0ED6"/>
    <w:rsid w:val="00DA2007"/>
    <w:rsid w:val="00DA2466"/>
    <w:rsid w:val="00DA2BE3"/>
    <w:rsid w:val="00DB0540"/>
    <w:rsid w:val="00DC192D"/>
    <w:rsid w:val="00DE2BC5"/>
    <w:rsid w:val="00E0210F"/>
    <w:rsid w:val="00E103B6"/>
    <w:rsid w:val="00E46A41"/>
    <w:rsid w:val="00E62B48"/>
    <w:rsid w:val="00E76AFE"/>
    <w:rsid w:val="00E82C46"/>
    <w:rsid w:val="00E83C54"/>
    <w:rsid w:val="00E879AA"/>
    <w:rsid w:val="00EB46DE"/>
    <w:rsid w:val="00EC20F8"/>
    <w:rsid w:val="00ED405B"/>
    <w:rsid w:val="00ED8254"/>
    <w:rsid w:val="00F00CB8"/>
    <w:rsid w:val="00F0207D"/>
    <w:rsid w:val="00F04FA0"/>
    <w:rsid w:val="00F452AE"/>
    <w:rsid w:val="00F516E2"/>
    <w:rsid w:val="00F77BAA"/>
    <w:rsid w:val="00F9170A"/>
    <w:rsid w:val="00FA6C48"/>
    <w:rsid w:val="00FC1E76"/>
    <w:rsid w:val="00FC3933"/>
    <w:rsid w:val="00FD0F54"/>
    <w:rsid w:val="00FE5F8A"/>
    <w:rsid w:val="00FF578A"/>
    <w:rsid w:val="02F23683"/>
    <w:rsid w:val="07BD7BC4"/>
    <w:rsid w:val="07BF8F86"/>
    <w:rsid w:val="082FD68A"/>
    <w:rsid w:val="08CD3338"/>
    <w:rsid w:val="0A36DF7D"/>
    <w:rsid w:val="0D122B44"/>
    <w:rsid w:val="13C49966"/>
    <w:rsid w:val="14323FE2"/>
    <w:rsid w:val="16FC3A28"/>
    <w:rsid w:val="1B8522FA"/>
    <w:rsid w:val="1CE8E125"/>
    <w:rsid w:val="1D1A6796"/>
    <w:rsid w:val="210E4A51"/>
    <w:rsid w:val="22C77730"/>
    <w:rsid w:val="22D5BF66"/>
    <w:rsid w:val="24634791"/>
    <w:rsid w:val="282B63B2"/>
    <w:rsid w:val="29003962"/>
    <w:rsid w:val="29B0BC41"/>
    <w:rsid w:val="338A4BB5"/>
    <w:rsid w:val="33F0D653"/>
    <w:rsid w:val="395BF819"/>
    <w:rsid w:val="396CAFF7"/>
    <w:rsid w:val="3A0ED298"/>
    <w:rsid w:val="3B06339F"/>
    <w:rsid w:val="3FBBCA63"/>
    <w:rsid w:val="410EFEA8"/>
    <w:rsid w:val="44E8065D"/>
    <w:rsid w:val="47393667"/>
    <w:rsid w:val="490E7836"/>
    <w:rsid w:val="4BD8D3C7"/>
    <w:rsid w:val="4C708EAF"/>
    <w:rsid w:val="4E8BFD7D"/>
    <w:rsid w:val="4FA6D74E"/>
    <w:rsid w:val="51645F3A"/>
    <w:rsid w:val="51E42A47"/>
    <w:rsid w:val="51ED821C"/>
    <w:rsid w:val="594C991E"/>
    <w:rsid w:val="5B5DB757"/>
    <w:rsid w:val="5D4443D6"/>
    <w:rsid w:val="5F2E85D9"/>
    <w:rsid w:val="60CBE9D1"/>
    <w:rsid w:val="62473B8C"/>
    <w:rsid w:val="643B764C"/>
    <w:rsid w:val="64A83C30"/>
    <w:rsid w:val="64BDE562"/>
    <w:rsid w:val="66298E7D"/>
    <w:rsid w:val="6919301E"/>
    <w:rsid w:val="6D78B64E"/>
    <w:rsid w:val="6D91447C"/>
    <w:rsid w:val="6FCFACA3"/>
    <w:rsid w:val="7A84663F"/>
    <w:rsid w:val="7B251E9A"/>
    <w:rsid w:val="7C54248E"/>
    <w:rsid w:val="7E69A4C8"/>
    <w:rsid w:val="7F9C3A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6ECCE"/>
  <w15:chartTrackingRefBased/>
  <w15:docId w15:val="{F175CE00-45AA-4574-9645-413DF452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EB"/>
  </w:style>
  <w:style w:type="paragraph" w:styleId="Footer">
    <w:name w:val="footer"/>
    <w:basedOn w:val="Normal"/>
    <w:link w:val="FooterChar"/>
    <w:uiPriority w:val="99"/>
    <w:unhideWhenUsed/>
    <w:rsid w:val="0047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EB"/>
  </w:style>
  <w:style w:type="paragraph" w:styleId="ListParagraph">
    <w:name w:val="List Paragraph"/>
    <w:basedOn w:val="Normal"/>
    <w:uiPriority w:val="34"/>
    <w:qFormat/>
    <w:rsid w:val="00472DEB"/>
    <w:pPr>
      <w:ind w:left="720"/>
      <w:contextualSpacing/>
    </w:pPr>
  </w:style>
  <w:style w:type="table" w:customStyle="1" w:styleId="TableGrid1">
    <w:name w:val="Table Grid1"/>
    <w:basedOn w:val="TableNormal"/>
    <w:next w:val="TableGrid"/>
    <w:rsid w:val="005B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33D2"/>
    <w:rPr>
      <w:sz w:val="16"/>
      <w:szCs w:val="16"/>
    </w:rPr>
  </w:style>
  <w:style w:type="paragraph" w:styleId="CommentText">
    <w:name w:val="annotation text"/>
    <w:basedOn w:val="Normal"/>
    <w:link w:val="CommentTextChar"/>
    <w:uiPriority w:val="99"/>
    <w:unhideWhenUsed/>
    <w:rsid w:val="003333D2"/>
    <w:pPr>
      <w:spacing w:line="240" w:lineRule="auto"/>
    </w:pPr>
    <w:rPr>
      <w:sz w:val="20"/>
      <w:szCs w:val="20"/>
    </w:rPr>
  </w:style>
  <w:style w:type="character" w:customStyle="1" w:styleId="CommentTextChar">
    <w:name w:val="Comment Text Char"/>
    <w:basedOn w:val="DefaultParagraphFont"/>
    <w:link w:val="CommentText"/>
    <w:uiPriority w:val="99"/>
    <w:rsid w:val="003333D2"/>
    <w:rPr>
      <w:sz w:val="20"/>
      <w:szCs w:val="20"/>
    </w:rPr>
  </w:style>
  <w:style w:type="paragraph" w:styleId="CommentSubject">
    <w:name w:val="annotation subject"/>
    <w:basedOn w:val="CommentText"/>
    <w:next w:val="CommentText"/>
    <w:link w:val="CommentSubjectChar"/>
    <w:uiPriority w:val="99"/>
    <w:semiHidden/>
    <w:unhideWhenUsed/>
    <w:rsid w:val="003333D2"/>
    <w:rPr>
      <w:b/>
      <w:bCs/>
    </w:rPr>
  </w:style>
  <w:style w:type="character" w:customStyle="1" w:styleId="CommentSubjectChar">
    <w:name w:val="Comment Subject Char"/>
    <w:basedOn w:val="CommentTextChar"/>
    <w:link w:val="CommentSubject"/>
    <w:uiPriority w:val="99"/>
    <w:semiHidden/>
    <w:rsid w:val="003333D2"/>
    <w:rPr>
      <w:b/>
      <w:bCs/>
      <w:sz w:val="20"/>
      <w:szCs w:val="20"/>
    </w:rPr>
  </w:style>
  <w:style w:type="paragraph" w:styleId="Revision">
    <w:name w:val="Revision"/>
    <w:hidden/>
    <w:uiPriority w:val="99"/>
    <w:semiHidden/>
    <w:rsid w:val="00C140B1"/>
    <w:pPr>
      <w:spacing w:after="0" w:line="240" w:lineRule="auto"/>
    </w:pPr>
  </w:style>
  <w:style w:type="paragraph" w:styleId="NoSpacing">
    <w:name w:val="No Spacing"/>
    <w:uiPriority w:val="1"/>
    <w:qFormat/>
    <w:rsid w:val="00C95903"/>
    <w:pPr>
      <w:spacing w:after="0" w:line="240" w:lineRule="auto"/>
    </w:pPr>
  </w:style>
  <w:style w:type="paragraph" w:styleId="NormalWeb">
    <w:name w:val="Normal (Web)"/>
    <w:basedOn w:val="Normal"/>
    <w:uiPriority w:val="99"/>
    <w:semiHidden/>
    <w:unhideWhenUsed/>
    <w:rsid w:val="00AD0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16E"/>
    <w:rPr>
      <w:color w:val="0563C1" w:themeColor="hyperlink"/>
      <w:u w:val="single"/>
    </w:rPr>
  </w:style>
  <w:style w:type="character" w:styleId="UnresolvedMention">
    <w:name w:val="Unresolved Mention"/>
    <w:basedOn w:val="DefaultParagraphFont"/>
    <w:uiPriority w:val="99"/>
    <w:semiHidden/>
    <w:unhideWhenUsed/>
    <w:rsid w:val="0017416E"/>
    <w:rPr>
      <w:color w:val="605E5C"/>
      <w:shd w:val="clear" w:color="auto" w:fill="E1DFDD"/>
    </w:rPr>
  </w:style>
  <w:style w:type="character" w:customStyle="1" w:styleId="elementtoproof">
    <w:name w:val="elementtoproof"/>
    <w:basedOn w:val="DefaultParagraphFont"/>
    <w:rsid w:val="00B971A1"/>
  </w:style>
  <w:style w:type="paragraph" w:customStyle="1" w:styleId="Level1">
    <w:name w:val="Level 1"/>
    <w:basedOn w:val="Normal"/>
    <w:rsid w:val="00CA123E"/>
    <w:pPr>
      <w:numPr>
        <w:numId w:val="9"/>
      </w:numPr>
      <w:spacing w:after="0" w:line="240" w:lineRule="auto"/>
    </w:pPr>
    <w:rPr>
      <w:rFonts w:ascii="Arial" w:hAnsi="Arial" w:cs="Arial"/>
      <w:sz w:val="24"/>
      <w:szCs w:val="24"/>
      <w:lang w:eastAsia="en-GB"/>
    </w:rPr>
  </w:style>
  <w:style w:type="paragraph" w:customStyle="1" w:styleId="Level2">
    <w:name w:val="Level 2"/>
    <w:basedOn w:val="Normal"/>
    <w:rsid w:val="00CA123E"/>
    <w:pPr>
      <w:numPr>
        <w:ilvl w:val="1"/>
        <w:numId w:val="9"/>
      </w:numPr>
      <w:spacing w:after="240" w:line="240" w:lineRule="auto"/>
      <w:jc w:val="both"/>
    </w:pPr>
    <w:rPr>
      <w:rFonts w:ascii="Arial" w:hAnsi="Arial" w:cs="Arial"/>
      <w:color w:val="000000"/>
      <w:sz w:val="24"/>
      <w:szCs w:val="24"/>
      <w:lang w:eastAsia="en-GB"/>
    </w:rPr>
  </w:style>
  <w:style w:type="paragraph" w:customStyle="1" w:styleId="Level3">
    <w:name w:val="Level 3"/>
    <w:basedOn w:val="Normal"/>
    <w:rsid w:val="00CA123E"/>
    <w:pPr>
      <w:numPr>
        <w:ilvl w:val="2"/>
        <w:numId w:val="9"/>
      </w:numPr>
      <w:spacing w:after="240" w:line="240" w:lineRule="auto"/>
      <w:jc w:val="both"/>
    </w:pPr>
    <w:rPr>
      <w:rFonts w:ascii="Arial" w:hAnsi="Arial" w:cs="Arial"/>
      <w:color w:val="000000"/>
      <w:sz w:val="24"/>
      <w:szCs w:val="24"/>
      <w:lang w:eastAsia="en-GB"/>
    </w:rPr>
  </w:style>
  <w:style w:type="paragraph" w:customStyle="1" w:styleId="Level4">
    <w:name w:val="Level 4"/>
    <w:basedOn w:val="Normal"/>
    <w:rsid w:val="00CA123E"/>
    <w:pPr>
      <w:numPr>
        <w:ilvl w:val="3"/>
        <w:numId w:val="9"/>
      </w:numPr>
      <w:spacing w:after="240" w:line="240" w:lineRule="auto"/>
      <w:jc w:val="both"/>
    </w:pPr>
    <w:rPr>
      <w:rFonts w:ascii="Arial" w:hAnsi="Arial" w:cs="Arial"/>
      <w:color w:val="000000"/>
      <w:sz w:val="20"/>
      <w:szCs w:val="20"/>
      <w:lang w:eastAsia="en-GB"/>
    </w:rPr>
  </w:style>
  <w:style w:type="paragraph" w:customStyle="1" w:styleId="Level5">
    <w:name w:val="Level 5"/>
    <w:basedOn w:val="Normal"/>
    <w:rsid w:val="00CA123E"/>
    <w:pPr>
      <w:numPr>
        <w:ilvl w:val="4"/>
        <w:numId w:val="9"/>
      </w:numPr>
      <w:spacing w:after="240" w:line="240" w:lineRule="auto"/>
      <w:jc w:val="both"/>
    </w:pPr>
    <w:rPr>
      <w:rFonts w:ascii="Arial" w:hAnsi="Arial" w:cs="Arial"/>
      <w:color w:val="000000"/>
      <w:sz w:val="20"/>
      <w:szCs w:val="20"/>
      <w:lang w:eastAsia="en-GB"/>
    </w:rPr>
  </w:style>
  <w:style w:type="paragraph" w:customStyle="1" w:styleId="Level6">
    <w:name w:val="Level 6"/>
    <w:basedOn w:val="Normal"/>
    <w:rsid w:val="00CA123E"/>
    <w:pPr>
      <w:numPr>
        <w:ilvl w:val="5"/>
        <w:numId w:val="9"/>
      </w:numPr>
      <w:spacing w:after="240" w:line="240" w:lineRule="auto"/>
      <w:jc w:val="both"/>
    </w:pPr>
    <w:rPr>
      <w:rFonts w:ascii="Arial"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5785">
      <w:bodyDiv w:val="1"/>
      <w:marLeft w:val="0"/>
      <w:marRight w:val="0"/>
      <w:marTop w:val="0"/>
      <w:marBottom w:val="0"/>
      <w:divBdr>
        <w:top w:val="none" w:sz="0" w:space="0" w:color="auto"/>
        <w:left w:val="none" w:sz="0" w:space="0" w:color="auto"/>
        <w:bottom w:val="none" w:sz="0" w:space="0" w:color="auto"/>
        <w:right w:val="none" w:sz="0" w:space="0" w:color="auto"/>
      </w:divBdr>
    </w:div>
    <w:div w:id="662514799">
      <w:bodyDiv w:val="1"/>
      <w:marLeft w:val="0"/>
      <w:marRight w:val="0"/>
      <w:marTop w:val="0"/>
      <w:marBottom w:val="0"/>
      <w:divBdr>
        <w:top w:val="none" w:sz="0" w:space="0" w:color="auto"/>
        <w:left w:val="none" w:sz="0" w:space="0" w:color="auto"/>
        <w:bottom w:val="none" w:sz="0" w:space="0" w:color="auto"/>
        <w:right w:val="none" w:sz="0" w:space="0" w:color="auto"/>
      </w:divBdr>
    </w:div>
    <w:div w:id="674498113">
      <w:bodyDiv w:val="1"/>
      <w:marLeft w:val="0"/>
      <w:marRight w:val="0"/>
      <w:marTop w:val="0"/>
      <w:marBottom w:val="0"/>
      <w:divBdr>
        <w:top w:val="none" w:sz="0" w:space="0" w:color="auto"/>
        <w:left w:val="none" w:sz="0" w:space="0" w:color="auto"/>
        <w:bottom w:val="none" w:sz="0" w:space="0" w:color="auto"/>
        <w:right w:val="none" w:sz="0" w:space="0" w:color="auto"/>
      </w:divBdr>
    </w:div>
    <w:div w:id="900946112">
      <w:bodyDiv w:val="1"/>
      <w:marLeft w:val="0"/>
      <w:marRight w:val="0"/>
      <w:marTop w:val="0"/>
      <w:marBottom w:val="0"/>
      <w:divBdr>
        <w:top w:val="none" w:sz="0" w:space="0" w:color="auto"/>
        <w:left w:val="none" w:sz="0" w:space="0" w:color="auto"/>
        <w:bottom w:val="none" w:sz="0" w:space="0" w:color="auto"/>
        <w:right w:val="none" w:sz="0" w:space="0" w:color="auto"/>
      </w:divBdr>
    </w:div>
    <w:div w:id="1517187138">
      <w:bodyDiv w:val="1"/>
      <w:marLeft w:val="0"/>
      <w:marRight w:val="0"/>
      <w:marTop w:val="0"/>
      <w:marBottom w:val="0"/>
      <w:divBdr>
        <w:top w:val="none" w:sz="0" w:space="0" w:color="auto"/>
        <w:left w:val="none" w:sz="0" w:space="0" w:color="auto"/>
        <w:bottom w:val="none" w:sz="0" w:space="0" w:color="auto"/>
        <w:right w:val="none" w:sz="0" w:space="0" w:color="auto"/>
      </w:divBdr>
    </w:div>
    <w:div w:id="1666788161">
      <w:bodyDiv w:val="1"/>
      <w:marLeft w:val="0"/>
      <w:marRight w:val="0"/>
      <w:marTop w:val="0"/>
      <w:marBottom w:val="0"/>
      <w:divBdr>
        <w:top w:val="none" w:sz="0" w:space="0" w:color="auto"/>
        <w:left w:val="none" w:sz="0" w:space="0" w:color="auto"/>
        <w:bottom w:val="none" w:sz="0" w:space="0" w:color="auto"/>
        <w:right w:val="none" w:sz="0" w:space="0" w:color="auto"/>
      </w:divBdr>
    </w:div>
    <w:div w:id="17603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itizensadvice.org.uk/work/right-to-work-in-the-uk/check-how-to-prove-your-right-to-work-in-the-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right-to-work-checks-employers-guide" TargetMode="External"/><Relationship Id="rId2" Type="http://schemas.openxmlformats.org/officeDocument/2006/relationships/customXml" Target="../customXml/item2.xml"/><Relationship Id="rId16" Type="http://schemas.openxmlformats.org/officeDocument/2006/relationships/hyperlink" Target="https://www.gov.uk/legal-right-work-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peopleskills.ukspf@northoftyne-ca.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uk-shared-prosperity-fund-procurement-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opleskills.ukspf@northoftyne-ca.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629934-8f11-43d4-9284-a90f0692aadb" xsi:nil="true"/>
    <lcf76f155ced4ddcb4097134ff3c332f xmlns="987c1c2e-0242-46eb-9b69-16b1d7ad91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ADF30-1365-43A8-B57C-D1C50E5CFE26}">
  <ds:schemaRefs>
    <ds:schemaRef ds:uri="http://schemas.microsoft.com/office/2006/documentManagement/types"/>
    <ds:schemaRef ds:uri="http://schemas.openxmlformats.org/package/2006/metadata/core-properties"/>
    <ds:schemaRef ds:uri="987c1c2e-0242-46eb-9b69-16b1d7ad91d0"/>
    <ds:schemaRef ds:uri="http://purl.org/dc/elements/1.1/"/>
    <ds:schemaRef ds:uri="http://schemas.microsoft.com/office/infopath/2007/PartnerControls"/>
    <ds:schemaRef ds:uri="http://schemas.microsoft.com/office/2006/metadata/properties"/>
    <ds:schemaRef ds:uri="http://purl.org/dc/terms/"/>
    <ds:schemaRef ds:uri="a6629934-8f11-43d4-9284-a90f0692aadb"/>
    <ds:schemaRef ds:uri="http://www.w3.org/XML/1998/namespace"/>
    <ds:schemaRef ds:uri="http://purl.org/dc/dcmitype/"/>
  </ds:schemaRefs>
</ds:datastoreItem>
</file>

<file path=customXml/itemProps2.xml><?xml version="1.0" encoding="utf-8"?>
<ds:datastoreItem xmlns:ds="http://schemas.openxmlformats.org/officeDocument/2006/customXml" ds:itemID="{811181C1-D3BB-478F-B1D9-1827FEF20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90DC-B9E4-451F-B4A2-5CE25B9131C9}">
  <ds:schemaRefs>
    <ds:schemaRef ds:uri="http://schemas.openxmlformats.org/officeDocument/2006/bibliography"/>
  </ds:schemaRefs>
</ds:datastoreItem>
</file>

<file path=customXml/itemProps4.xml><?xml version="1.0" encoding="utf-8"?>
<ds:datastoreItem xmlns:ds="http://schemas.openxmlformats.org/officeDocument/2006/customXml" ds:itemID="{4FD204DE-D637-472F-A665-D6C735E83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40326</CharactersWithSpaces>
  <SharedDoc>false</SharedDoc>
  <HLinks>
    <vt:vector size="42" baseType="variant">
      <vt:variant>
        <vt:i4>7405600</vt:i4>
      </vt:variant>
      <vt:variant>
        <vt:i4>18</vt:i4>
      </vt:variant>
      <vt:variant>
        <vt:i4>0</vt:i4>
      </vt:variant>
      <vt:variant>
        <vt:i4>5</vt:i4>
      </vt:variant>
      <vt:variant>
        <vt:lpwstr>https://gbr01.safelinks.protection.outlook.com/?url=https%3A%2F%2Fwww.gov.uk%2Fgovernment%2Fpublications%2Fnet-zero-strategy&amp;data=05%7C01%7CDamon.Pope%40levellingup.gov.uk%7Cf447de72538a4c9cdb8608da4e0109b8%7Cbf3468109c7d43dea87224a2ef3995a8%7C0%7C0%7C637908063602973716%7CUnknown%7CTWFpbGZsb3d8eyJWIjoiMC4wLjAwMDAiLCJQIjoiV2luMzIiLCJBTiI6Ik1haWwiLCJXVCI6Mn0%3D%7C3000%7C%7C%7C&amp;sdata=opFWKedD1bgV2C6zBWMBmfoR%2BDpykEYpbl97j7kPvjU%3D&amp;reserved=0</vt:lpwstr>
      </vt:variant>
      <vt:variant>
        <vt:lpwstr/>
      </vt:variant>
      <vt:variant>
        <vt:i4>7078012</vt:i4>
      </vt:variant>
      <vt:variant>
        <vt:i4>15</vt:i4>
      </vt:variant>
      <vt:variant>
        <vt:i4>0</vt:i4>
      </vt:variant>
      <vt:variant>
        <vt:i4>5</vt:i4>
      </vt:variant>
      <vt:variant>
        <vt:lpwstr>https://www.gov.uk/guidance/uk-shared-prosperity-fund-procurement-8</vt:lpwstr>
      </vt:variant>
      <vt:variant>
        <vt:lpwstr/>
      </vt:variant>
      <vt:variant>
        <vt:i4>8323195</vt:i4>
      </vt:variant>
      <vt:variant>
        <vt:i4>12</vt:i4>
      </vt:variant>
      <vt:variant>
        <vt:i4>0</vt:i4>
      </vt:variant>
      <vt:variant>
        <vt:i4>5</vt:i4>
      </vt:variant>
      <vt:variant>
        <vt:lpwstr>https://www.citizensadvice.org.uk/work/right-to-work-in-the-uk/check-how-to-prove-your-right-to-work-in-the-uk/</vt:lpwstr>
      </vt:variant>
      <vt:variant>
        <vt:lpwstr/>
      </vt:variant>
      <vt:variant>
        <vt:i4>7667773</vt:i4>
      </vt:variant>
      <vt:variant>
        <vt:i4>9</vt:i4>
      </vt:variant>
      <vt:variant>
        <vt:i4>0</vt:i4>
      </vt:variant>
      <vt:variant>
        <vt:i4>5</vt:i4>
      </vt:variant>
      <vt:variant>
        <vt:lpwstr>https://www.gov.uk/government/publications/right-to-work-checks-employers-guide</vt:lpwstr>
      </vt:variant>
      <vt:variant>
        <vt:lpwstr/>
      </vt:variant>
      <vt:variant>
        <vt:i4>2556031</vt:i4>
      </vt:variant>
      <vt:variant>
        <vt:i4>6</vt:i4>
      </vt:variant>
      <vt:variant>
        <vt:i4>0</vt:i4>
      </vt:variant>
      <vt:variant>
        <vt:i4>5</vt:i4>
      </vt:variant>
      <vt:variant>
        <vt:lpwstr>https://www.gov.uk/legal-right-work-uk</vt:lpwstr>
      </vt:variant>
      <vt:variant>
        <vt:lpwstr/>
      </vt:variant>
      <vt:variant>
        <vt:i4>5505068</vt:i4>
      </vt:variant>
      <vt:variant>
        <vt:i4>3</vt:i4>
      </vt:variant>
      <vt:variant>
        <vt:i4>0</vt:i4>
      </vt:variant>
      <vt:variant>
        <vt:i4>5</vt:i4>
      </vt:variant>
      <vt:variant>
        <vt:lpwstr>mailto:peopleskills.ukspf@northoftyne-ca.gov.uk</vt:lpwstr>
      </vt:variant>
      <vt:variant>
        <vt:lpwstr/>
      </vt:variant>
      <vt:variant>
        <vt:i4>5505068</vt:i4>
      </vt:variant>
      <vt:variant>
        <vt:i4>0</vt:i4>
      </vt:variant>
      <vt:variant>
        <vt:i4>0</vt:i4>
      </vt:variant>
      <vt:variant>
        <vt:i4>5</vt:i4>
      </vt:variant>
      <vt:variant>
        <vt:lpwstr>mailto:peopleskills.ukspf@northoftyne-ca.gov.uk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Neasham, David (North Of Tyne)</dc:creator>
  <cp:keywords/>
  <dc:description/>
  <cp:lastModifiedBy>Gaul, Ruth (North Of Tyne)</cp:lastModifiedBy>
  <cp:revision>68</cp:revision>
  <dcterms:created xsi:type="dcterms:W3CDTF">2022-12-29T14:07:00Z</dcterms:created>
  <dcterms:modified xsi:type="dcterms:W3CDTF">2023-01-09T12:57:00Z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