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9CB9" w14:textId="77777777" w:rsidR="002341D6" w:rsidRPr="002341D6" w:rsidRDefault="002341D6" w:rsidP="002341D6">
      <w:pPr>
        <w:rPr>
          <w:b/>
          <w:szCs w:val="24"/>
        </w:rPr>
      </w:pPr>
      <w:r w:rsidRPr="002341D6">
        <w:rPr>
          <w:szCs w:val="24"/>
        </w:rPr>
        <w:t xml:space="preserve">The North of Tyne Combined Authority </w:t>
      </w:r>
      <w:r w:rsidRPr="002341D6">
        <w:rPr>
          <w:bCs/>
          <w:szCs w:val="24"/>
        </w:rPr>
        <w:t>(NTCA)</w:t>
      </w:r>
      <w:r w:rsidRPr="002341D6">
        <w:rPr>
          <w:szCs w:val="24"/>
        </w:rPr>
        <w:t xml:space="preserve"> is a partnership of three local authorities: </w:t>
      </w:r>
      <w:hyperlink r:id="rId5" w:history="1">
        <w:r w:rsidRPr="002341D6">
          <w:rPr>
            <w:rStyle w:val="Hyperlink"/>
            <w:szCs w:val="24"/>
          </w:rPr>
          <w:t>Newcastle</w:t>
        </w:r>
      </w:hyperlink>
      <w:r w:rsidRPr="002341D6">
        <w:rPr>
          <w:szCs w:val="24"/>
        </w:rPr>
        <w:t>, </w:t>
      </w:r>
      <w:hyperlink r:id="rId6" w:history="1">
        <w:r w:rsidRPr="002341D6">
          <w:rPr>
            <w:rStyle w:val="Hyperlink"/>
            <w:szCs w:val="24"/>
          </w:rPr>
          <w:t>North Tyneside</w:t>
        </w:r>
      </w:hyperlink>
      <w:r w:rsidRPr="002341D6">
        <w:rPr>
          <w:szCs w:val="24"/>
        </w:rPr>
        <w:t>, and </w:t>
      </w:r>
      <w:hyperlink r:id="rId7" w:history="1">
        <w:r w:rsidRPr="002341D6">
          <w:rPr>
            <w:rStyle w:val="Hyperlink"/>
            <w:szCs w:val="24"/>
          </w:rPr>
          <w:t>Northumberland</w:t>
        </w:r>
      </w:hyperlink>
      <w:r w:rsidRPr="002341D6">
        <w:rPr>
          <w:szCs w:val="24"/>
        </w:rPr>
        <w:t> and has a directly-elected Metro Mayor.</w:t>
      </w:r>
    </w:p>
    <w:p w14:paraId="43923096" w14:textId="77777777" w:rsidR="002341D6" w:rsidRPr="002341D6" w:rsidRDefault="002341D6" w:rsidP="002341D6">
      <w:pPr>
        <w:rPr>
          <w:b/>
          <w:szCs w:val="24"/>
        </w:rPr>
      </w:pPr>
    </w:p>
    <w:p w14:paraId="5A5EB9FD" w14:textId="77777777" w:rsidR="002341D6" w:rsidRPr="002341D6" w:rsidRDefault="002341D6" w:rsidP="002341D6">
      <w:pPr>
        <w:rPr>
          <w:b/>
          <w:szCs w:val="24"/>
        </w:rPr>
      </w:pPr>
      <w:r w:rsidRPr="002341D6">
        <w:rPr>
          <w:szCs w:val="24"/>
        </w:rPr>
        <w:t>Our </w:t>
      </w:r>
      <w:hyperlink r:id="rId8" w:tgtFrame="_blank" w:history="1">
        <w:r w:rsidRPr="002341D6">
          <w:rPr>
            <w:rStyle w:val="Hyperlink"/>
            <w:szCs w:val="24"/>
          </w:rPr>
          <w:t>vision</w:t>
        </w:r>
      </w:hyperlink>
      <w:r w:rsidRPr="002341D6">
        <w:rPr>
          <w:szCs w:val="24"/>
        </w:rPr>
        <w:t> is of a dynamic and more inclusive economy, one that brings together people and opportunities to create vibrant communities and a high quality of life, narrowing inequalities and ensuring that all residents have a stake in our region's future.</w:t>
      </w:r>
    </w:p>
    <w:p w14:paraId="7F121465" w14:textId="77777777" w:rsidR="002341D6" w:rsidRPr="002341D6" w:rsidRDefault="002341D6" w:rsidP="002341D6">
      <w:pPr>
        <w:rPr>
          <w:b/>
          <w:szCs w:val="24"/>
        </w:rPr>
      </w:pPr>
    </w:p>
    <w:p w14:paraId="73A55FB3" w14:textId="77777777" w:rsidR="002341D6" w:rsidRPr="002341D6" w:rsidRDefault="002341D6" w:rsidP="002341D6">
      <w:pPr>
        <w:rPr>
          <w:b/>
          <w:szCs w:val="24"/>
        </w:rPr>
      </w:pPr>
      <w:r w:rsidRPr="002341D6">
        <w:rPr>
          <w:szCs w:val="24"/>
        </w:rPr>
        <w:t xml:space="preserve">To support the NTCA’s vision, our region requires a skills infrastructure that is fully aware of, and responsive to, the sectors that have labour and skills shortages. It also needs to take into consideration planned economic growth, both now and in the future. </w:t>
      </w:r>
    </w:p>
    <w:p w14:paraId="2A553D5B" w14:textId="77777777" w:rsidR="002341D6" w:rsidRPr="002341D6" w:rsidRDefault="002341D6" w:rsidP="002341D6">
      <w:pPr>
        <w:rPr>
          <w:b/>
          <w:szCs w:val="24"/>
        </w:rPr>
      </w:pPr>
    </w:p>
    <w:p w14:paraId="231F921E" w14:textId="77777777" w:rsidR="002341D6" w:rsidRPr="002341D6" w:rsidRDefault="002341D6" w:rsidP="002341D6">
      <w:pPr>
        <w:rPr>
          <w:szCs w:val="24"/>
        </w:rPr>
      </w:pPr>
      <w:r w:rsidRPr="002341D6">
        <w:rPr>
          <w:szCs w:val="24"/>
        </w:rPr>
        <w:t>That is why we are determined—through devolution of the Adult Education Budget (AEB) and the other skills funding available to us—to tailor adult education and skills provision in the region so that residents and local businesses can secure the skills they need to succeed.</w:t>
      </w:r>
    </w:p>
    <w:p w14:paraId="6F7AF10E" w14:textId="797A92CE" w:rsidR="002341D6" w:rsidRPr="002341D6" w:rsidRDefault="002341D6" w:rsidP="000440F2">
      <w:pPr>
        <w:shd w:val="clear" w:color="auto" w:fill="FFFFFF"/>
        <w:spacing w:before="100" w:beforeAutospacing="1" w:after="100" w:afterAutospacing="1"/>
        <w:rPr>
          <w:rFonts w:cs="Arial"/>
          <w:b/>
          <w:bCs/>
          <w:szCs w:val="24"/>
          <w:lang w:eastAsia="en-GB"/>
        </w:rPr>
      </w:pPr>
      <w:r w:rsidRPr="002341D6">
        <w:rPr>
          <w:rFonts w:cs="Arial"/>
          <w:b/>
          <w:bCs/>
          <w:szCs w:val="24"/>
          <w:lang w:eastAsia="en-GB"/>
        </w:rPr>
        <w:t>Post 16 Flexible Procurement Framework</w:t>
      </w:r>
    </w:p>
    <w:p w14:paraId="0654C483" w14:textId="77777777" w:rsidR="002341D6" w:rsidRDefault="002341D6" w:rsidP="002341D6">
      <w:pPr>
        <w:shd w:val="clear" w:color="auto" w:fill="FFFFFF"/>
        <w:spacing w:before="100" w:beforeAutospacing="1" w:after="100" w:afterAutospacing="1"/>
        <w:rPr>
          <w:rFonts w:cs="Arial"/>
          <w:szCs w:val="24"/>
          <w:lang w:eastAsia="en-GB"/>
        </w:rPr>
      </w:pPr>
      <w:r w:rsidRPr="00264765">
        <w:rPr>
          <w:rFonts w:cs="Arial"/>
          <w:szCs w:val="24"/>
          <w:lang w:eastAsia="en-GB"/>
        </w:rPr>
        <w:t xml:space="preserve">The Adult Education Budget (AEB) for the North of Tyne Combined Authority </w:t>
      </w:r>
      <w:r>
        <w:rPr>
          <w:rFonts w:cs="Arial"/>
          <w:szCs w:val="24"/>
          <w:lang w:eastAsia="en-GB"/>
        </w:rPr>
        <w:t xml:space="preserve">(NTCA) </w:t>
      </w:r>
      <w:r w:rsidRPr="00264765">
        <w:rPr>
          <w:rFonts w:cs="Arial"/>
          <w:szCs w:val="24"/>
          <w:lang w:eastAsia="en-GB"/>
        </w:rPr>
        <w:t xml:space="preserve">was devolved to </w:t>
      </w:r>
      <w:r>
        <w:rPr>
          <w:rFonts w:cs="Arial"/>
          <w:szCs w:val="24"/>
          <w:lang w:eastAsia="en-GB"/>
        </w:rPr>
        <w:t xml:space="preserve">NTCA </w:t>
      </w:r>
      <w:r w:rsidRPr="00264765">
        <w:rPr>
          <w:rFonts w:cs="Arial"/>
          <w:szCs w:val="24"/>
          <w:lang w:eastAsia="en-GB"/>
        </w:rPr>
        <w:t>for delivery from 1st August 20</w:t>
      </w:r>
      <w:r>
        <w:rPr>
          <w:rFonts w:cs="Arial"/>
          <w:szCs w:val="24"/>
          <w:lang w:eastAsia="en-GB"/>
        </w:rPr>
        <w:t>20</w:t>
      </w:r>
      <w:r w:rsidRPr="00264765">
        <w:rPr>
          <w:rFonts w:cs="Arial"/>
          <w:szCs w:val="24"/>
          <w:lang w:eastAsia="en-GB"/>
        </w:rPr>
        <w:t xml:space="preserve">. </w:t>
      </w:r>
      <w:r>
        <w:rPr>
          <w:rFonts w:cs="Arial"/>
          <w:szCs w:val="24"/>
          <w:lang w:eastAsia="en-GB"/>
        </w:rPr>
        <w:t xml:space="preserve"> A</w:t>
      </w:r>
      <w:r w:rsidRPr="00264765">
        <w:rPr>
          <w:rFonts w:cs="Arial"/>
          <w:szCs w:val="24"/>
          <w:lang w:eastAsia="en-GB"/>
        </w:rPr>
        <w:t>dditional skills funding has been delegated from the Department of Education (DfE) to the</w:t>
      </w:r>
      <w:r>
        <w:rPr>
          <w:rFonts w:cs="Arial"/>
          <w:szCs w:val="24"/>
          <w:lang w:eastAsia="en-GB"/>
        </w:rPr>
        <w:t xml:space="preserve"> NTCA.</w:t>
      </w:r>
      <w:r w:rsidRPr="00264765">
        <w:rPr>
          <w:rFonts w:cs="Arial"/>
          <w:szCs w:val="24"/>
          <w:lang w:eastAsia="en-GB"/>
        </w:rPr>
        <w:t xml:space="preserve"> This funding comprises of 'Free Courses </w:t>
      </w:r>
      <w:r>
        <w:rPr>
          <w:rFonts w:cs="Arial"/>
          <w:szCs w:val="24"/>
          <w:lang w:eastAsia="en-GB"/>
        </w:rPr>
        <w:t>f</w:t>
      </w:r>
      <w:r w:rsidRPr="00264765">
        <w:rPr>
          <w:rFonts w:cs="Arial"/>
          <w:szCs w:val="24"/>
          <w:lang w:eastAsia="en-GB"/>
        </w:rPr>
        <w:t xml:space="preserve">or Jobs' and 'Technical Bootcamp' funding. </w:t>
      </w:r>
    </w:p>
    <w:p w14:paraId="5D46738F" w14:textId="2BB4822E" w:rsidR="002341D6" w:rsidRDefault="002341D6" w:rsidP="002341D6">
      <w:pPr>
        <w:shd w:val="clear" w:color="auto" w:fill="FFFFFF"/>
        <w:spacing w:before="100" w:beforeAutospacing="1" w:after="100" w:afterAutospacing="1"/>
        <w:rPr>
          <w:rFonts w:cs="Arial"/>
          <w:szCs w:val="24"/>
          <w:lang w:eastAsia="en-GB"/>
        </w:rPr>
      </w:pPr>
      <w:r>
        <w:rPr>
          <w:rFonts w:cs="Arial"/>
          <w:szCs w:val="24"/>
          <w:lang w:eastAsia="en-GB"/>
        </w:rPr>
        <w:t xml:space="preserve">NTCA </w:t>
      </w:r>
      <w:r w:rsidRPr="00264765">
        <w:rPr>
          <w:rFonts w:cs="Arial"/>
          <w:szCs w:val="24"/>
          <w:lang w:eastAsia="en-GB"/>
        </w:rPr>
        <w:t>also receiv</w:t>
      </w:r>
      <w:r>
        <w:rPr>
          <w:rFonts w:cs="Arial"/>
          <w:szCs w:val="24"/>
          <w:lang w:eastAsia="en-GB"/>
        </w:rPr>
        <w:t>e</w:t>
      </w:r>
      <w:r w:rsidRPr="00264765">
        <w:rPr>
          <w:rFonts w:cs="Arial"/>
          <w:szCs w:val="24"/>
          <w:lang w:eastAsia="en-GB"/>
        </w:rPr>
        <w:t xml:space="preserve"> funding to deliver the Government's 'Multiply' programme - an adult numeracy maths focussed programme funded through the UK Shared Prosperity Fund (UKSPF) and in two years' time we will be commissioning the 'People and Skills' element of UKSPF</w:t>
      </w:r>
      <w:r>
        <w:rPr>
          <w:rFonts w:cs="Arial"/>
          <w:szCs w:val="24"/>
          <w:lang w:eastAsia="en-GB"/>
        </w:rPr>
        <w:t xml:space="preserve">.  NTCA’s Investment Fund also support Skills Programmes and learning activities to support our wider projects and investments. </w:t>
      </w:r>
    </w:p>
    <w:p w14:paraId="72CC300E" w14:textId="6B1121EE" w:rsidR="002341D6" w:rsidRDefault="002341D6" w:rsidP="002341D6">
      <w:pPr>
        <w:shd w:val="clear" w:color="auto" w:fill="FFFFFF"/>
        <w:spacing w:before="100" w:beforeAutospacing="1" w:after="100" w:afterAutospacing="1"/>
        <w:rPr>
          <w:rFonts w:cs="Arial"/>
          <w:szCs w:val="24"/>
          <w:lang w:eastAsia="en-GB"/>
        </w:rPr>
      </w:pPr>
      <w:r>
        <w:rPr>
          <w:rFonts w:cs="Arial"/>
          <w:szCs w:val="24"/>
          <w:lang w:eastAsia="en-GB"/>
        </w:rPr>
        <w:t xml:space="preserve">NTCA’s funding for Skills </w:t>
      </w:r>
      <w:r w:rsidRPr="00264765">
        <w:rPr>
          <w:rFonts w:cs="Arial"/>
          <w:szCs w:val="24"/>
          <w:lang w:eastAsia="en-GB"/>
        </w:rPr>
        <w:t>provid</w:t>
      </w:r>
      <w:r>
        <w:rPr>
          <w:rFonts w:cs="Arial"/>
          <w:szCs w:val="24"/>
          <w:lang w:eastAsia="en-GB"/>
        </w:rPr>
        <w:t>es</w:t>
      </w:r>
      <w:r w:rsidRPr="00264765">
        <w:rPr>
          <w:rFonts w:cs="Arial"/>
          <w:szCs w:val="24"/>
          <w:lang w:eastAsia="en-GB"/>
        </w:rPr>
        <w:t xml:space="preserve"> the </w:t>
      </w:r>
      <w:r>
        <w:rPr>
          <w:rFonts w:cs="Arial"/>
          <w:szCs w:val="24"/>
          <w:lang w:eastAsia="en-GB"/>
        </w:rPr>
        <w:t xml:space="preserve">opportunity </w:t>
      </w:r>
      <w:r w:rsidRPr="00264765">
        <w:rPr>
          <w:rFonts w:cs="Arial"/>
          <w:szCs w:val="24"/>
          <w:lang w:eastAsia="en-GB"/>
        </w:rPr>
        <w:t xml:space="preserve">to join up the </w:t>
      </w:r>
      <w:r>
        <w:rPr>
          <w:rFonts w:cs="Arial"/>
          <w:szCs w:val="24"/>
          <w:lang w:eastAsia="en-GB"/>
        </w:rPr>
        <w:t xml:space="preserve">regions </w:t>
      </w:r>
      <w:r w:rsidRPr="00264765">
        <w:rPr>
          <w:rFonts w:cs="Arial"/>
          <w:szCs w:val="24"/>
          <w:lang w:eastAsia="en-GB"/>
        </w:rPr>
        <w:t xml:space="preserve">skills and training offer, reduce duplication and make sure we are reaching those communities most disadvantaged. </w:t>
      </w:r>
      <w:r>
        <w:rPr>
          <w:rFonts w:cs="Arial"/>
          <w:szCs w:val="24"/>
          <w:lang w:eastAsia="en-GB"/>
        </w:rPr>
        <w:t xml:space="preserve">In order to achieve this, we are launching a Post 16 Flexible Procurement Framework and inviting a wide range of organisations and providers of skills including FE Colleges, independent training organisations, VCSE organisations and other stakeholders including employer providers to tender for a place on the Framework. </w:t>
      </w:r>
    </w:p>
    <w:p w14:paraId="3F3978AC" w14:textId="77777777" w:rsidR="000440F2" w:rsidRDefault="002341D6" w:rsidP="002341D6">
      <w:pPr>
        <w:shd w:val="clear" w:color="auto" w:fill="FFFFFF"/>
        <w:spacing w:before="100" w:beforeAutospacing="1" w:after="100" w:afterAutospacing="1"/>
        <w:rPr>
          <w:rFonts w:cs="Arial"/>
          <w:szCs w:val="24"/>
          <w:lang w:eastAsia="en-GB"/>
        </w:rPr>
      </w:pPr>
      <w:r w:rsidRPr="00264765">
        <w:rPr>
          <w:rFonts w:cs="Arial"/>
          <w:szCs w:val="24"/>
          <w:lang w:eastAsia="en-GB"/>
        </w:rPr>
        <w:t xml:space="preserve">The </w:t>
      </w:r>
      <w:r>
        <w:rPr>
          <w:rFonts w:cs="Arial"/>
          <w:szCs w:val="24"/>
          <w:lang w:eastAsia="en-GB"/>
        </w:rPr>
        <w:t>Flexible Procurement Framework</w:t>
      </w:r>
      <w:r w:rsidRPr="00264765">
        <w:rPr>
          <w:rFonts w:cs="Arial"/>
          <w:szCs w:val="24"/>
          <w:lang w:eastAsia="en-GB"/>
        </w:rPr>
        <w:t xml:space="preserve"> will be utilised to procure providers for devolved funding </w:t>
      </w:r>
      <w:r>
        <w:rPr>
          <w:rFonts w:cs="Arial"/>
          <w:szCs w:val="24"/>
          <w:lang w:eastAsia="en-GB"/>
        </w:rPr>
        <w:t xml:space="preserve">and </w:t>
      </w:r>
      <w:r w:rsidRPr="00264765">
        <w:rPr>
          <w:rFonts w:cs="Arial"/>
          <w:szCs w:val="24"/>
          <w:lang w:eastAsia="en-GB"/>
        </w:rPr>
        <w:t>other funding streams</w:t>
      </w:r>
      <w:r>
        <w:rPr>
          <w:rFonts w:cs="Arial"/>
          <w:szCs w:val="24"/>
          <w:lang w:eastAsia="en-GB"/>
        </w:rPr>
        <w:t xml:space="preserve"> that NTCA has access to for Skills. We aim to secure </w:t>
      </w:r>
      <w:r w:rsidRPr="00264765">
        <w:rPr>
          <w:rFonts w:cs="Arial"/>
          <w:szCs w:val="24"/>
          <w:lang w:eastAsia="en-GB"/>
        </w:rPr>
        <w:t xml:space="preserve">packages of provision </w:t>
      </w:r>
      <w:r w:rsidR="000440F2">
        <w:rPr>
          <w:rFonts w:cs="Arial"/>
          <w:szCs w:val="24"/>
          <w:lang w:eastAsia="en-GB"/>
        </w:rPr>
        <w:t xml:space="preserve">across 7 Lots </w:t>
      </w:r>
      <w:r w:rsidRPr="00264765">
        <w:rPr>
          <w:rFonts w:cs="Arial"/>
          <w:szCs w:val="24"/>
          <w:lang w:eastAsia="en-GB"/>
        </w:rPr>
        <w:t>that will include</w:t>
      </w:r>
      <w:r w:rsidR="000440F2">
        <w:rPr>
          <w:rFonts w:cs="Arial"/>
          <w:szCs w:val="24"/>
          <w:lang w:eastAsia="en-GB"/>
        </w:rPr>
        <w:t>:</w:t>
      </w:r>
    </w:p>
    <w:p w14:paraId="7DF9D711" w14:textId="6D17385B" w:rsidR="000440F2" w:rsidRDefault="000440F2" w:rsidP="000440F2">
      <w:pPr>
        <w:shd w:val="clear" w:color="auto" w:fill="FFFFFF"/>
        <w:rPr>
          <w:rFonts w:cs="Arial"/>
          <w:szCs w:val="24"/>
          <w:lang w:eastAsia="en-GB"/>
        </w:rPr>
      </w:pPr>
      <w:r>
        <w:rPr>
          <w:rFonts w:cs="Arial"/>
          <w:szCs w:val="24"/>
          <w:lang w:eastAsia="en-GB"/>
        </w:rPr>
        <w:t>Lot 1: Devolved Adult Skills Fund (Adult Education Budget)</w:t>
      </w:r>
    </w:p>
    <w:p w14:paraId="2F687A8A" w14:textId="0B3B2E66" w:rsidR="000440F2" w:rsidRDefault="000440F2" w:rsidP="000440F2">
      <w:pPr>
        <w:shd w:val="clear" w:color="auto" w:fill="FFFFFF"/>
        <w:rPr>
          <w:rFonts w:cs="Arial"/>
          <w:szCs w:val="24"/>
          <w:lang w:eastAsia="en-GB"/>
        </w:rPr>
      </w:pPr>
      <w:r>
        <w:rPr>
          <w:rFonts w:cs="Arial"/>
          <w:szCs w:val="24"/>
          <w:lang w:eastAsia="en-GB"/>
        </w:rPr>
        <w:t>Lot 2: Level 3 Free Courses for Jobs</w:t>
      </w:r>
    </w:p>
    <w:p w14:paraId="49DF5B24" w14:textId="1C06F49E" w:rsidR="000440F2" w:rsidRDefault="000440F2" w:rsidP="000440F2">
      <w:pPr>
        <w:shd w:val="clear" w:color="auto" w:fill="FFFFFF"/>
        <w:rPr>
          <w:rFonts w:cs="Arial"/>
          <w:szCs w:val="24"/>
          <w:lang w:eastAsia="en-GB"/>
        </w:rPr>
      </w:pPr>
      <w:r>
        <w:rPr>
          <w:rFonts w:cs="Arial"/>
          <w:szCs w:val="24"/>
          <w:lang w:eastAsia="en-GB"/>
        </w:rPr>
        <w:t>Lot 3: Skills Bootcamps</w:t>
      </w:r>
    </w:p>
    <w:p w14:paraId="21AD6E69" w14:textId="27C29230" w:rsidR="000440F2" w:rsidRDefault="000440F2" w:rsidP="000440F2">
      <w:pPr>
        <w:shd w:val="clear" w:color="auto" w:fill="FFFFFF"/>
        <w:rPr>
          <w:rFonts w:cs="Arial"/>
          <w:szCs w:val="24"/>
          <w:lang w:eastAsia="en-GB"/>
        </w:rPr>
      </w:pPr>
      <w:r>
        <w:rPr>
          <w:rFonts w:cs="Arial"/>
          <w:szCs w:val="24"/>
          <w:lang w:eastAsia="en-GB"/>
        </w:rPr>
        <w:t>Lot 4: UKSPF People &amp; Skills and Multiply</w:t>
      </w:r>
    </w:p>
    <w:p w14:paraId="0D06BF11" w14:textId="69B2074A" w:rsidR="000440F2" w:rsidRDefault="000440F2" w:rsidP="000440F2">
      <w:pPr>
        <w:shd w:val="clear" w:color="auto" w:fill="FFFFFF"/>
        <w:rPr>
          <w:rFonts w:cs="Arial"/>
          <w:szCs w:val="24"/>
          <w:lang w:eastAsia="en-GB"/>
        </w:rPr>
      </w:pPr>
      <w:r>
        <w:rPr>
          <w:rFonts w:cs="Arial"/>
          <w:szCs w:val="24"/>
          <w:lang w:eastAsia="en-GB"/>
        </w:rPr>
        <w:t>Lot 5: Skills for Growth</w:t>
      </w:r>
    </w:p>
    <w:p w14:paraId="5EABE952" w14:textId="4BD7B1C7" w:rsidR="000440F2" w:rsidRDefault="000440F2" w:rsidP="000440F2">
      <w:pPr>
        <w:shd w:val="clear" w:color="auto" w:fill="FFFFFF"/>
        <w:rPr>
          <w:rFonts w:cs="Arial"/>
          <w:szCs w:val="24"/>
          <w:lang w:eastAsia="en-GB"/>
        </w:rPr>
      </w:pPr>
      <w:r>
        <w:rPr>
          <w:rFonts w:cs="Arial"/>
          <w:szCs w:val="24"/>
          <w:lang w:eastAsia="en-GB"/>
        </w:rPr>
        <w:t>Lot 6: Place and Innovation</w:t>
      </w:r>
    </w:p>
    <w:p w14:paraId="7D1A985A" w14:textId="16EF464D" w:rsidR="000440F2" w:rsidRDefault="000440F2" w:rsidP="000440F2">
      <w:pPr>
        <w:shd w:val="clear" w:color="auto" w:fill="FFFFFF"/>
        <w:rPr>
          <w:rFonts w:cs="Arial"/>
          <w:szCs w:val="24"/>
          <w:lang w:eastAsia="en-GB"/>
        </w:rPr>
      </w:pPr>
      <w:r>
        <w:rPr>
          <w:rFonts w:cs="Arial"/>
          <w:szCs w:val="24"/>
          <w:lang w:eastAsia="en-GB"/>
        </w:rPr>
        <w:t>Lot 7: Skills Support for the Workforce</w:t>
      </w:r>
    </w:p>
    <w:p w14:paraId="5F3B2026" w14:textId="5F611084" w:rsidR="000440F2" w:rsidRPr="00620E99" w:rsidRDefault="000440F2" w:rsidP="000440F2">
      <w:pPr>
        <w:shd w:val="clear" w:color="auto" w:fill="FFFFFF"/>
        <w:spacing w:before="100" w:beforeAutospacing="1" w:after="100" w:afterAutospacing="1"/>
        <w:rPr>
          <w:szCs w:val="24"/>
        </w:rPr>
      </w:pPr>
      <w:r w:rsidRPr="00620E99">
        <w:rPr>
          <w:b/>
          <w:bCs/>
          <w:szCs w:val="24"/>
        </w:rPr>
        <w:t>The estimated total value of th</w:t>
      </w:r>
      <w:r>
        <w:rPr>
          <w:b/>
          <w:bCs/>
          <w:szCs w:val="24"/>
        </w:rPr>
        <w:t xml:space="preserve">e Flexible Procurement Framework </w:t>
      </w:r>
      <w:r w:rsidRPr="00620E99">
        <w:rPr>
          <w:b/>
          <w:bCs/>
          <w:szCs w:val="24"/>
        </w:rPr>
        <w:t xml:space="preserve">(across Lots 1 to 7 inclusive) is £ £132m. </w:t>
      </w:r>
      <w:r w:rsidRPr="00620E99">
        <w:rPr>
          <w:szCs w:val="24"/>
        </w:rPr>
        <w:t xml:space="preserve">This sum is calculated by £33m for the </w:t>
      </w:r>
      <w:r>
        <w:rPr>
          <w:szCs w:val="24"/>
        </w:rPr>
        <w:t>Term</w:t>
      </w:r>
      <w:r w:rsidRPr="00620E99">
        <w:rPr>
          <w:szCs w:val="24"/>
        </w:rPr>
        <w:t>, £33m for a potential 1</w:t>
      </w:r>
      <w:r w:rsidRPr="00620E99">
        <w:rPr>
          <w:szCs w:val="24"/>
          <w:vertAlign w:val="superscript"/>
        </w:rPr>
        <w:t>st</w:t>
      </w:r>
      <w:r w:rsidRPr="00620E99">
        <w:rPr>
          <w:szCs w:val="24"/>
        </w:rPr>
        <w:t xml:space="preserve"> 12-month extension, £33m for a potential 2</w:t>
      </w:r>
      <w:r w:rsidRPr="00620E99">
        <w:rPr>
          <w:szCs w:val="24"/>
          <w:vertAlign w:val="superscript"/>
        </w:rPr>
        <w:t>nd</w:t>
      </w:r>
      <w:r w:rsidRPr="00620E99">
        <w:rPr>
          <w:szCs w:val="24"/>
        </w:rPr>
        <w:t xml:space="preserve"> 12-month extension and £33m for potential 3</w:t>
      </w:r>
      <w:r w:rsidRPr="00620E99">
        <w:rPr>
          <w:szCs w:val="24"/>
          <w:vertAlign w:val="superscript"/>
        </w:rPr>
        <w:t>rd</w:t>
      </w:r>
      <w:r w:rsidRPr="00620E99">
        <w:rPr>
          <w:szCs w:val="24"/>
        </w:rPr>
        <w:t xml:space="preserve"> 12-month extension</w:t>
      </w:r>
      <w:r>
        <w:rPr>
          <w:szCs w:val="24"/>
        </w:rPr>
        <w:t xml:space="preserve">. </w:t>
      </w:r>
      <w:r w:rsidRPr="00620E99">
        <w:rPr>
          <w:szCs w:val="24"/>
        </w:rPr>
        <w:t xml:space="preserve"> </w:t>
      </w:r>
    </w:p>
    <w:p w14:paraId="4F071EF3" w14:textId="4C6C8DD6" w:rsidR="000440F2" w:rsidRDefault="000440F2" w:rsidP="002341D6">
      <w:pPr>
        <w:shd w:val="clear" w:color="auto" w:fill="FFFFFF"/>
        <w:spacing w:before="100" w:beforeAutospacing="1" w:after="100" w:afterAutospacing="1"/>
        <w:rPr>
          <w:rFonts w:cs="Arial"/>
          <w:szCs w:val="24"/>
          <w:lang w:eastAsia="en-GB"/>
        </w:rPr>
      </w:pPr>
      <w:r w:rsidRPr="00620E99">
        <w:t xml:space="preserve">The £132m figure reflects the total value of this flexible procurement agreement (across Lots 1 </w:t>
      </w:r>
      <w:r w:rsidRPr="00620E99">
        <w:lastRenderedPageBreak/>
        <w:t xml:space="preserve">to 7) that we </w:t>
      </w:r>
      <w:r w:rsidRPr="00620E99">
        <w:rPr>
          <w:i/>
          <w:iCs/>
        </w:rPr>
        <w:t>may</w:t>
      </w:r>
      <w:r w:rsidRPr="00620E99">
        <w:t xml:space="preserve"> deploy because of this procurement competition including</w:t>
      </w:r>
      <w:r w:rsidRPr="00620E99">
        <w:rPr>
          <w:b/>
          <w:bCs/>
        </w:rPr>
        <w:t xml:space="preserve"> </w:t>
      </w:r>
      <w:r w:rsidRPr="00620E99">
        <w:t>any possible contract extensions. The value of the flexible procurement agreement has been calculated to reflect the anticipated requirement for the Services as specified at this time. The overall value is in no way guaranteed and may vary in accordance with affordability, the Government’s overall spending priorities and requirements, and any other relevant factors.</w:t>
      </w:r>
    </w:p>
    <w:sectPr w:rsidR="000440F2" w:rsidSect="000440F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4764E"/>
    <w:multiLevelType w:val="multilevel"/>
    <w:tmpl w:val="4CFA9BCE"/>
    <w:lvl w:ilvl="0">
      <w:start w:val="1"/>
      <w:numFmt w:val="decimal"/>
      <w:lvlText w:val="1.%1"/>
      <w:lvlJc w:val="left"/>
      <w:pPr>
        <w:tabs>
          <w:tab w:val="num" w:pos="720"/>
        </w:tabs>
        <w:ind w:left="720" w:hanging="720"/>
      </w:pPr>
      <w:rPr>
        <w:rFonts w:ascii="Arial" w:hAnsi="Arial" w:hint="default"/>
        <w:b w:val="0"/>
        <w:i w:val="0"/>
        <w:sz w:val="24"/>
      </w:rPr>
    </w:lvl>
    <w:lvl w:ilvl="1">
      <w:start w:val="1"/>
      <w:numFmt w:val="decimal"/>
      <w:lvlText w:val="1.1.%2"/>
      <w:lvlJc w:val="left"/>
      <w:pPr>
        <w:tabs>
          <w:tab w:val="num" w:pos="261"/>
        </w:tabs>
        <w:ind w:left="261" w:hanging="9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400"/>
        </w:tabs>
        <w:ind w:left="540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 w15:restartNumberingAfterBreak="0">
    <w:nsid w:val="7ED62E05"/>
    <w:multiLevelType w:val="multilevel"/>
    <w:tmpl w:val="966899E4"/>
    <w:lvl w:ilvl="0">
      <w:start w:val="1"/>
      <w:numFmt w:val="decimal"/>
      <w:pStyle w:val="Heading1"/>
      <w:lvlText w:val="%1"/>
      <w:lvlJc w:val="left"/>
      <w:pPr>
        <w:ind w:left="432" w:hanging="432"/>
      </w:pPr>
      <w:rPr>
        <w:b w:val="0"/>
        <w:bCs/>
      </w:rPr>
    </w:lvl>
    <w:lvl w:ilvl="1">
      <w:start w:val="1"/>
      <w:numFmt w:val="decimal"/>
      <w:pStyle w:val="Heading2"/>
      <w:lvlText w:val="%1.%2"/>
      <w:lvlJc w:val="left"/>
      <w:pPr>
        <w:ind w:left="576" w:hanging="576"/>
      </w:pPr>
      <w:rPr>
        <w:rFonts w:ascii="Arial" w:hAnsi="Arial" w:cs="Arial" w:hint="default"/>
        <w:b w:val="0"/>
        <w:bCs/>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D6"/>
    <w:rsid w:val="000440F2"/>
    <w:rsid w:val="000C5747"/>
    <w:rsid w:val="00234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C27B"/>
  <w15:chartTrackingRefBased/>
  <w15:docId w15:val="{95878D66-3996-4CB0-8D2F-B7B79481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1D6"/>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next w:val="Normal"/>
    <w:link w:val="Heading1Char"/>
    <w:uiPriority w:val="9"/>
    <w:qFormat/>
    <w:rsid w:val="000440F2"/>
    <w:pPr>
      <w:keepNext/>
      <w:keepLines/>
      <w:numPr>
        <w:numId w:val="2"/>
      </w:numPr>
      <w:spacing w:after="0" w:line="240" w:lineRule="auto"/>
      <w:outlineLvl w:val="0"/>
    </w:pPr>
    <w:rPr>
      <w:rFonts w:ascii="Arial" w:eastAsia="Arial" w:hAnsi="Arial" w:cs="Arial"/>
      <w:b/>
      <w:sz w:val="24"/>
      <w:lang w:eastAsia="en-GB"/>
    </w:rPr>
  </w:style>
  <w:style w:type="paragraph" w:styleId="Heading2">
    <w:name w:val="heading 2"/>
    <w:basedOn w:val="Normal"/>
    <w:next w:val="Normal"/>
    <w:link w:val="Heading2Char"/>
    <w:uiPriority w:val="9"/>
    <w:unhideWhenUsed/>
    <w:qFormat/>
    <w:rsid w:val="000440F2"/>
    <w:pPr>
      <w:widowControl/>
      <w:numPr>
        <w:ilvl w:val="1"/>
        <w:numId w:val="2"/>
      </w:numPr>
      <w:overflowPunct/>
      <w:autoSpaceDE/>
      <w:autoSpaceDN/>
      <w:adjustRightInd/>
      <w:textAlignment w:val="auto"/>
      <w:outlineLvl w:val="1"/>
    </w:pPr>
    <w:rPr>
      <w:rFonts w:eastAsia="Arial" w:cs="Arial"/>
      <w:color w:val="080F21"/>
      <w:szCs w:val="22"/>
      <w:lang w:eastAsia="en-GB"/>
    </w:rPr>
  </w:style>
  <w:style w:type="paragraph" w:styleId="Heading3">
    <w:name w:val="heading 3"/>
    <w:basedOn w:val="Normal"/>
    <w:next w:val="Normal"/>
    <w:link w:val="Heading3Char"/>
    <w:uiPriority w:val="9"/>
    <w:unhideWhenUsed/>
    <w:qFormat/>
    <w:rsid w:val="000440F2"/>
    <w:pPr>
      <w:keepNext/>
      <w:keepLines/>
      <w:widowControl/>
      <w:numPr>
        <w:ilvl w:val="2"/>
        <w:numId w:val="2"/>
      </w:numPr>
      <w:overflowPunct/>
      <w:autoSpaceDE/>
      <w:autoSpaceDN/>
      <w:adjustRightInd/>
      <w:textAlignment w:val="auto"/>
      <w:outlineLvl w:val="2"/>
    </w:pPr>
    <w:rPr>
      <w:rFonts w:eastAsiaTheme="majorEastAsia" w:cstheme="majorBidi"/>
      <w:szCs w:val="24"/>
      <w:lang w:eastAsia="en-GB"/>
    </w:rPr>
  </w:style>
  <w:style w:type="paragraph" w:styleId="Heading4">
    <w:name w:val="heading 4"/>
    <w:basedOn w:val="Normal"/>
    <w:next w:val="Normal"/>
    <w:link w:val="Heading4Char"/>
    <w:uiPriority w:val="9"/>
    <w:unhideWhenUsed/>
    <w:qFormat/>
    <w:rsid w:val="000440F2"/>
    <w:pPr>
      <w:keepNext/>
      <w:keepLines/>
      <w:widowControl/>
      <w:numPr>
        <w:ilvl w:val="3"/>
        <w:numId w:val="2"/>
      </w:numPr>
      <w:overflowPunct/>
      <w:autoSpaceDE/>
      <w:autoSpaceDN/>
      <w:adjustRightInd/>
      <w:spacing w:before="40"/>
      <w:textAlignment w:val="auto"/>
      <w:outlineLvl w:val="3"/>
    </w:pPr>
    <w:rPr>
      <w:rFonts w:asciiTheme="majorHAnsi" w:eastAsiaTheme="majorEastAsia" w:hAnsiTheme="majorHAnsi" w:cstheme="majorBidi"/>
      <w:i/>
      <w:iCs/>
      <w:color w:val="2F5496" w:themeColor="accent1" w:themeShade="BF"/>
      <w:szCs w:val="22"/>
      <w:lang w:eastAsia="en-GB"/>
    </w:rPr>
  </w:style>
  <w:style w:type="paragraph" w:styleId="Heading5">
    <w:name w:val="heading 5"/>
    <w:basedOn w:val="Normal"/>
    <w:next w:val="Normal"/>
    <w:link w:val="Heading5Char"/>
    <w:uiPriority w:val="9"/>
    <w:semiHidden/>
    <w:unhideWhenUsed/>
    <w:qFormat/>
    <w:rsid w:val="000440F2"/>
    <w:pPr>
      <w:keepNext/>
      <w:keepLines/>
      <w:widowControl/>
      <w:numPr>
        <w:ilvl w:val="4"/>
        <w:numId w:val="2"/>
      </w:numPr>
      <w:overflowPunct/>
      <w:autoSpaceDE/>
      <w:autoSpaceDN/>
      <w:adjustRightInd/>
      <w:spacing w:before="40"/>
      <w:textAlignment w:val="auto"/>
      <w:outlineLvl w:val="4"/>
    </w:pPr>
    <w:rPr>
      <w:rFonts w:asciiTheme="majorHAnsi" w:eastAsiaTheme="majorEastAsia" w:hAnsiTheme="majorHAnsi" w:cstheme="majorBidi"/>
      <w:color w:val="2F5496" w:themeColor="accent1" w:themeShade="BF"/>
      <w:szCs w:val="22"/>
      <w:lang w:eastAsia="en-GB"/>
    </w:rPr>
  </w:style>
  <w:style w:type="paragraph" w:styleId="Heading6">
    <w:name w:val="heading 6"/>
    <w:basedOn w:val="Normal"/>
    <w:next w:val="Normal"/>
    <w:link w:val="Heading6Char"/>
    <w:uiPriority w:val="9"/>
    <w:semiHidden/>
    <w:unhideWhenUsed/>
    <w:qFormat/>
    <w:rsid w:val="000440F2"/>
    <w:pPr>
      <w:keepNext/>
      <w:keepLines/>
      <w:widowControl/>
      <w:numPr>
        <w:ilvl w:val="5"/>
        <w:numId w:val="2"/>
      </w:numPr>
      <w:overflowPunct/>
      <w:autoSpaceDE/>
      <w:autoSpaceDN/>
      <w:adjustRightInd/>
      <w:spacing w:before="40"/>
      <w:textAlignment w:val="auto"/>
      <w:outlineLvl w:val="5"/>
    </w:pPr>
    <w:rPr>
      <w:rFonts w:asciiTheme="majorHAnsi" w:eastAsiaTheme="majorEastAsia" w:hAnsiTheme="majorHAnsi" w:cstheme="majorBidi"/>
      <w:color w:val="1F3763" w:themeColor="accent1" w:themeShade="7F"/>
      <w:szCs w:val="22"/>
      <w:lang w:eastAsia="en-GB"/>
    </w:rPr>
  </w:style>
  <w:style w:type="paragraph" w:styleId="Heading7">
    <w:name w:val="heading 7"/>
    <w:basedOn w:val="Normal"/>
    <w:next w:val="Normal"/>
    <w:link w:val="Heading7Char"/>
    <w:uiPriority w:val="9"/>
    <w:semiHidden/>
    <w:unhideWhenUsed/>
    <w:qFormat/>
    <w:rsid w:val="000440F2"/>
    <w:pPr>
      <w:keepNext/>
      <w:keepLines/>
      <w:widowControl/>
      <w:numPr>
        <w:ilvl w:val="6"/>
        <w:numId w:val="2"/>
      </w:numPr>
      <w:overflowPunct/>
      <w:autoSpaceDE/>
      <w:autoSpaceDN/>
      <w:adjustRightInd/>
      <w:spacing w:before="40"/>
      <w:textAlignment w:val="auto"/>
      <w:outlineLvl w:val="6"/>
    </w:pPr>
    <w:rPr>
      <w:rFonts w:asciiTheme="majorHAnsi" w:eastAsiaTheme="majorEastAsia" w:hAnsiTheme="majorHAnsi" w:cstheme="majorBidi"/>
      <w:i/>
      <w:iCs/>
      <w:color w:val="1F3763" w:themeColor="accent1" w:themeShade="7F"/>
      <w:szCs w:val="22"/>
      <w:lang w:eastAsia="en-GB"/>
    </w:rPr>
  </w:style>
  <w:style w:type="paragraph" w:styleId="Heading8">
    <w:name w:val="heading 8"/>
    <w:basedOn w:val="Normal"/>
    <w:next w:val="Normal"/>
    <w:link w:val="Heading8Char"/>
    <w:uiPriority w:val="9"/>
    <w:semiHidden/>
    <w:unhideWhenUsed/>
    <w:qFormat/>
    <w:rsid w:val="000440F2"/>
    <w:pPr>
      <w:keepNext/>
      <w:keepLines/>
      <w:widowControl/>
      <w:numPr>
        <w:ilvl w:val="7"/>
        <w:numId w:val="2"/>
      </w:numPr>
      <w:overflowPunct/>
      <w:autoSpaceDE/>
      <w:autoSpaceDN/>
      <w:adjustRightInd/>
      <w:spacing w:before="40"/>
      <w:textAlignment w:val="auto"/>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0440F2"/>
    <w:pPr>
      <w:keepNext/>
      <w:keepLines/>
      <w:widowControl/>
      <w:numPr>
        <w:ilvl w:val="8"/>
        <w:numId w:val="2"/>
      </w:numPr>
      <w:overflowPunct/>
      <w:autoSpaceDE/>
      <w:autoSpaceDN/>
      <w:adjustRightInd/>
      <w:spacing w:before="40"/>
      <w:textAlignment w:val="auto"/>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umbered para"/>
    <w:basedOn w:val="Normal"/>
    <w:link w:val="BodyTextChar"/>
    <w:uiPriority w:val="1"/>
    <w:qFormat/>
    <w:rsid w:val="002341D6"/>
  </w:style>
  <w:style w:type="character" w:customStyle="1" w:styleId="BodyTextChar">
    <w:name w:val="Body Text Char"/>
    <w:aliases w:val="Numbered para Char"/>
    <w:basedOn w:val="DefaultParagraphFont"/>
    <w:link w:val="BodyText"/>
    <w:uiPriority w:val="1"/>
    <w:rsid w:val="002341D6"/>
    <w:rPr>
      <w:rFonts w:ascii="Arial" w:eastAsia="Times New Roman" w:hAnsi="Arial" w:cs="Times New Roman"/>
      <w:sz w:val="24"/>
      <w:szCs w:val="20"/>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2341D6"/>
    <w:pPr>
      <w:ind w:left="720"/>
      <w:contextualSpacing/>
    </w:pPr>
  </w:style>
  <w:style w:type="character" w:styleId="Hyperlink">
    <w:name w:val="Hyperlink"/>
    <w:basedOn w:val="DefaultParagraphFont"/>
    <w:uiPriority w:val="99"/>
    <w:unhideWhenUsed/>
    <w:rsid w:val="002341D6"/>
    <w:rPr>
      <w:color w:val="0563C1" w:themeColor="hyperlink"/>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link w:val="ListParagraph"/>
    <w:uiPriority w:val="34"/>
    <w:qFormat/>
    <w:locked/>
    <w:rsid w:val="002341D6"/>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0440F2"/>
    <w:rPr>
      <w:rFonts w:ascii="Arial" w:eastAsia="Arial" w:hAnsi="Arial" w:cs="Arial"/>
      <w:b/>
      <w:sz w:val="24"/>
      <w:lang w:eastAsia="en-GB"/>
    </w:rPr>
  </w:style>
  <w:style w:type="character" w:customStyle="1" w:styleId="Heading2Char">
    <w:name w:val="Heading 2 Char"/>
    <w:basedOn w:val="DefaultParagraphFont"/>
    <w:link w:val="Heading2"/>
    <w:uiPriority w:val="9"/>
    <w:rsid w:val="000440F2"/>
    <w:rPr>
      <w:rFonts w:ascii="Arial" w:eastAsia="Arial" w:hAnsi="Arial" w:cs="Arial"/>
      <w:color w:val="080F21"/>
      <w:sz w:val="24"/>
      <w:lang w:eastAsia="en-GB"/>
    </w:rPr>
  </w:style>
  <w:style w:type="character" w:customStyle="1" w:styleId="Heading3Char">
    <w:name w:val="Heading 3 Char"/>
    <w:basedOn w:val="DefaultParagraphFont"/>
    <w:link w:val="Heading3"/>
    <w:uiPriority w:val="9"/>
    <w:rsid w:val="000440F2"/>
    <w:rPr>
      <w:rFonts w:ascii="Arial" w:eastAsiaTheme="majorEastAsia" w:hAnsi="Arial" w:cstheme="majorBidi"/>
      <w:sz w:val="24"/>
      <w:szCs w:val="24"/>
      <w:lang w:eastAsia="en-GB"/>
    </w:rPr>
  </w:style>
  <w:style w:type="character" w:customStyle="1" w:styleId="Heading4Char">
    <w:name w:val="Heading 4 Char"/>
    <w:basedOn w:val="DefaultParagraphFont"/>
    <w:link w:val="Heading4"/>
    <w:uiPriority w:val="9"/>
    <w:rsid w:val="000440F2"/>
    <w:rPr>
      <w:rFonts w:asciiTheme="majorHAnsi" w:eastAsiaTheme="majorEastAsia" w:hAnsiTheme="majorHAnsi" w:cstheme="majorBidi"/>
      <w:i/>
      <w:iCs/>
      <w:color w:val="2F5496" w:themeColor="accent1" w:themeShade="BF"/>
      <w:sz w:val="24"/>
      <w:lang w:eastAsia="en-GB"/>
    </w:rPr>
  </w:style>
  <w:style w:type="character" w:customStyle="1" w:styleId="Heading5Char">
    <w:name w:val="Heading 5 Char"/>
    <w:basedOn w:val="DefaultParagraphFont"/>
    <w:link w:val="Heading5"/>
    <w:uiPriority w:val="9"/>
    <w:semiHidden/>
    <w:rsid w:val="000440F2"/>
    <w:rPr>
      <w:rFonts w:asciiTheme="majorHAnsi" w:eastAsiaTheme="majorEastAsia" w:hAnsiTheme="majorHAnsi" w:cstheme="majorBidi"/>
      <w:color w:val="2F5496" w:themeColor="accent1" w:themeShade="BF"/>
      <w:sz w:val="24"/>
      <w:lang w:eastAsia="en-GB"/>
    </w:rPr>
  </w:style>
  <w:style w:type="character" w:customStyle="1" w:styleId="Heading6Char">
    <w:name w:val="Heading 6 Char"/>
    <w:basedOn w:val="DefaultParagraphFont"/>
    <w:link w:val="Heading6"/>
    <w:uiPriority w:val="9"/>
    <w:semiHidden/>
    <w:rsid w:val="000440F2"/>
    <w:rPr>
      <w:rFonts w:asciiTheme="majorHAnsi" w:eastAsiaTheme="majorEastAsia" w:hAnsiTheme="majorHAnsi" w:cstheme="majorBidi"/>
      <w:color w:val="1F3763" w:themeColor="accent1" w:themeShade="7F"/>
      <w:sz w:val="24"/>
      <w:lang w:eastAsia="en-GB"/>
    </w:rPr>
  </w:style>
  <w:style w:type="character" w:customStyle="1" w:styleId="Heading7Char">
    <w:name w:val="Heading 7 Char"/>
    <w:basedOn w:val="DefaultParagraphFont"/>
    <w:link w:val="Heading7"/>
    <w:uiPriority w:val="9"/>
    <w:semiHidden/>
    <w:rsid w:val="000440F2"/>
    <w:rPr>
      <w:rFonts w:asciiTheme="majorHAnsi" w:eastAsiaTheme="majorEastAsia" w:hAnsiTheme="majorHAnsi" w:cstheme="majorBidi"/>
      <w:i/>
      <w:iCs/>
      <w:color w:val="1F3763" w:themeColor="accent1" w:themeShade="7F"/>
      <w:sz w:val="24"/>
      <w:lang w:eastAsia="en-GB"/>
    </w:rPr>
  </w:style>
  <w:style w:type="character" w:customStyle="1" w:styleId="Heading8Char">
    <w:name w:val="Heading 8 Char"/>
    <w:basedOn w:val="DefaultParagraphFont"/>
    <w:link w:val="Heading8"/>
    <w:uiPriority w:val="9"/>
    <w:semiHidden/>
    <w:rsid w:val="000440F2"/>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0440F2"/>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oftyne-ca.gov.uk/wp-content/uploads/2020/09/NorthofTyne_EconomicVision_webfinal.pdf" TargetMode="External"/><Relationship Id="rId3" Type="http://schemas.openxmlformats.org/officeDocument/2006/relationships/settings" Target="settings.xml"/><Relationship Id="rId7" Type="http://schemas.openxmlformats.org/officeDocument/2006/relationships/hyperlink" Target="https://www.northumberland.gov.uk/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northtyneside.gov.uk/" TargetMode="External"/><Relationship Id="rId5" Type="http://schemas.openxmlformats.org/officeDocument/2006/relationships/hyperlink" Target="https://www.newcastl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Michelle (North Of Tyne)</dc:creator>
  <cp:keywords/>
  <dc:description/>
  <cp:lastModifiedBy>Stone, Michelle (North Of Tyne)</cp:lastModifiedBy>
  <cp:revision>2</cp:revision>
  <dcterms:created xsi:type="dcterms:W3CDTF">2022-11-10T10:47:00Z</dcterms:created>
  <dcterms:modified xsi:type="dcterms:W3CDTF">2022-11-10T10:47:00Z</dcterms:modified>
</cp:coreProperties>
</file>