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1905" w14:textId="2E8F6665" w:rsidR="007738D6" w:rsidRDefault="007738D6">
      <w:r>
        <w:rPr>
          <w:noProof/>
        </w:rPr>
        <w:drawing>
          <wp:anchor distT="0" distB="0" distL="114300" distR="114300" simplePos="0" relativeHeight="251659264" behindDoc="1" locked="0" layoutInCell="1" allowOverlap="1" wp14:anchorId="115763B1" wp14:editId="4E57FDA4">
            <wp:simplePos x="0" y="0"/>
            <wp:positionH relativeFrom="margin">
              <wp:align>right</wp:align>
            </wp:positionH>
            <wp:positionV relativeFrom="paragraph">
              <wp:posOffset>0</wp:posOffset>
            </wp:positionV>
            <wp:extent cx="1381125" cy="1583055"/>
            <wp:effectExtent l="0" t="0" r="0" b="0"/>
            <wp:wrapTight wrapText="bothSides">
              <wp:wrapPolygon edited="0">
                <wp:start x="0" y="0"/>
                <wp:lineTo x="0" y="16895"/>
                <wp:lineTo x="17876" y="16895"/>
                <wp:lineTo x="18174" y="13256"/>
                <wp:lineTo x="18174" y="10397"/>
                <wp:lineTo x="16386" y="9617"/>
                <wp:lineTo x="8640" y="8318"/>
                <wp:lineTo x="12811" y="6758"/>
                <wp:lineTo x="13705" y="5458"/>
                <wp:lineTo x="12811" y="2339"/>
                <wp:lineTo x="11321"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81125" cy="1583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19A9A21" wp14:editId="0E56F050">
            <wp:simplePos x="0" y="0"/>
            <wp:positionH relativeFrom="margin">
              <wp:posOffset>-323850</wp:posOffset>
            </wp:positionH>
            <wp:positionV relativeFrom="paragraph">
              <wp:posOffset>0</wp:posOffset>
            </wp:positionV>
            <wp:extent cx="4105275" cy="1430655"/>
            <wp:effectExtent l="0" t="0" r="9525" b="0"/>
            <wp:wrapTight wrapText="bothSides">
              <wp:wrapPolygon edited="0">
                <wp:start x="0" y="0"/>
                <wp:lineTo x="0" y="21284"/>
                <wp:lineTo x="21550" y="21284"/>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527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57B3A" w14:textId="408F8524" w:rsidR="007738D6" w:rsidRDefault="007738D6"/>
    <w:p w14:paraId="4E0B9CD3" w14:textId="345228BD" w:rsidR="007738D6" w:rsidRDefault="007738D6"/>
    <w:p w14:paraId="5488831B" w14:textId="34CE5CC7" w:rsidR="007738D6" w:rsidRDefault="007738D6"/>
    <w:p w14:paraId="560A6B0A" w14:textId="4AC2CF16" w:rsidR="007738D6" w:rsidRDefault="007738D6"/>
    <w:p w14:paraId="7B5A8BEA" w14:textId="20AA6B53" w:rsidR="007738D6" w:rsidRDefault="007738D6"/>
    <w:p w14:paraId="44E41476" w14:textId="01B454D6" w:rsidR="007738D6" w:rsidRDefault="007738D6"/>
    <w:p w14:paraId="7E273DAD" w14:textId="04C5BB29" w:rsidR="007738D6" w:rsidRDefault="007738D6">
      <w:pPr>
        <w:rPr>
          <w:rFonts w:ascii="Arial" w:hAnsi="Arial" w:cs="Arial"/>
          <w:sz w:val="28"/>
          <w:szCs w:val="28"/>
        </w:rPr>
      </w:pPr>
      <w:r w:rsidRPr="007738D6">
        <w:rPr>
          <w:rFonts w:ascii="Arial" w:hAnsi="Arial" w:cs="Arial"/>
          <w:sz w:val="28"/>
          <w:szCs w:val="28"/>
        </w:rPr>
        <w:t>Multiply Grant Application – Frequently Asked Questions</w:t>
      </w:r>
      <w:r>
        <w:rPr>
          <w:rFonts w:ascii="Arial" w:hAnsi="Arial" w:cs="Arial"/>
          <w:sz w:val="28"/>
          <w:szCs w:val="28"/>
        </w:rPr>
        <w:t xml:space="preserve"> </w:t>
      </w:r>
    </w:p>
    <w:p w14:paraId="7F0F13B1" w14:textId="7A9A8CF8" w:rsidR="007738D6" w:rsidRDefault="007738D6">
      <w:pPr>
        <w:rPr>
          <w:rFonts w:ascii="Arial" w:hAnsi="Arial" w:cs="Arial"/>
          <w:sz w:val="28"/>
          <w:szCs w:val="28"/>
        </w:rPr>
      </w:pPr>
    </w:p>
    <w:p w14:paraId="7D6F2611" w14:textId="232CE21E" w:rsidR="00D8756A" w:rsidRDefault="00D8756A" w:rsidP="00D8756A">
      <w:pPr>
        <w:rPr>
          <w:rFonts w:eastAsia="Times New Roman"/>
        </w:rPr>
      </w:pPr>
      <w:r w:rsidRPr="00D8756A">
        <w:rPr>
          <w:rFonts w:ascii="Arial" w:eastAsia="Times New Roman" w:hAnsi="Arial" w:cs="Arial"/>
          <w:b/>
          <w:bCs/>
        </w:rPr>
        <w:t>Q1:</w:t>
      </w:r>
      <w:r>
        <w:rPr>
          <w:rFonts w:eastAsia="Times New Roman"/>
        </w:rPr>
        <w:t xml:space="preserve"> </w:t>
      </w:r>
      <w:r w:rsidRPr="00D8756A">
        <w:rPr>
          <w:rFonts w:eastAsia="Times New Roman"/>
        </w:rPr>
        <w:t xml:space="preserve">In Question 3: Target Participants – in asks how we intend to engage </w:t>
      </w:r>
      <w:r w:rsidRPr="00D8756A">
        <w:rPr>
          <w:rFonts w:eastAsia="Times New Roman"/>
          <w:i/>
          <w:iCs/>
        </w:rPr>
        <w:t>‘the target group as outlined in section 4 of the specification’</w:t>
      </w:r>
      <w:r w:rsidRPr="00D8756A">
        <w:rPr>
          <w:rFonts w:eastAsia="Times New Roman"/>
        </w:rPr>
        <w:t xml:space="preserve">; </w:t>
      </w:r>
      <w:proofErr w:type="gramStart"/>
      <w:r w:rsidRPr="00D8756A">
        <w:rPr>
          <w:rFonts w:eastAsia="Times New Roman"/>
        </w:rPr>
        <w:t>however</w:t>
      </w:r>
      <w:proofErr w:type="gramEnd"/>
      <w:r w:rsidRPr="00D8756A">
        <w:rPr>
          <w:rFonts w:eastAsia="Times New Roman"/>
        </w:rPr>
        <w:t xml:space="preserve"> section 4 within the specification does not relate to target groups. If you’re able to provide information relating to the target </w:t>
      </w:r>
      <w:proofErr w:type="gramStart"/>
      <w:r w:rsidRPr="00D8756A">
        <w:rPr>
          <w:rFonts w:eastAsia="Times New Roman"/>
        </w:rPr>
        <w:t>groups</w:t>
      </w:r>
      <w:proofErr w:type="gramEnd"/>
      <w:r w:rsidRPr="00D8756A">
        <w:rPr>
          <w:rFonts w:eastAsia="Times New Roman"/>
        </w:rPr>
        <w:t xml:space="preserve"> it would be much appreciated?</w:t>
      </w:r>
    </w:p>
    <w:p w14:paraId="6BE33184" w14:textId="77777777" w:rsidR="00D8756A" w:rsidRPr="00D8756A" w:rsidRDefault="00D8756A" w:rsidP="00D8756A">
      <w:pPr>
        <w:rPr>
          <w:rFonts w:ascii="Arial" w:hAnsi="Arial" w:cs="Arial"/>
          <w:color w:val="4472C4" w:themeColor="accent1"/>
        </w:rPr>
      </w:pPr>
      <w:r w:rsidRPr="00D8756A">
        <w:rPr>
          <w:rFonts w:ascii="Arial" w:hAnsi="Arial" w:cs="Arial"/>
          <w:color w:val="4472C4" w:themeColor="accent1"/>
        </w:rPr>
        <w:t>Apologies this should have said ‘section 5’ of the specification which reads as follows:</w:t>
      </w:r>
    </w:p>
    <w:p w14:paraId="05EF7949" w14:textId="77777777" w:rsidR="00D8756A" w:rsidRPr="00D8756A" w:rsidRDefault="00D8756A" w:rsidP="00D8756A">
      <w:pPr>
        <w:pStyle w:val="Default"/>
        <w:rPr>
          <w:rFonts w:ascii="Calibri" w:hAnsi="Calibri"/>
          <w:color w:val="4472C4" w:themeColor="accent1"/>
          <w:sz w:val="22"/>
          <w:szCs w:val="22"/>
        </w:rPr>
      </w:pPr>
    </w:p>
    <w:p w14:paraId="4F0CA163" w14:textId="77777777" w:rsidR="00D8756A" w:rsidRPr="00D8756A" w:rsidRDefault="00D8756A" w:rsidP="00D8756A">
      <w:pPr>
        <w:pStyle w:val="Heading1"/>
        <w:rPr>
          <w:rFonts w:eastAsia="Times New Roman"/>
          <w:color w:val="4472C4" w:themeColor="accent1"/>
        </w:rPr>
      </w:pPr>
      <w:bookmarkStart w:id="0" w:name="_Toc114668425"/>
      <w:r w:rsidRPr="00D8756A">
        <w:rPr>
          <w:rFonts w:eastAsia="Times New Roman"/>
          <w:color w:val="4472C4" w:themeColor="accent1"/>
        </w:rPr>
        <w:t>Target Participants</w:t>
      </w:r>
      <w:bookmarkEnd w:id="0"/>
      <w:r w:rsidRPr="00D8756A">
        <w:rPr>
          <w:rFonts w:eastAsia="Times New Roman"/>
          <w:color w:val="4472C4" w:themeColor="accent1"/>
        </w:rPr>
        <w:t xml:space="preserve"> </w:t>
      </w:r>
    </w:p>
    <w:p w14:paraId="329831D3" w14:textId="77777777" w:rsidR="00D8756A" w:rsidRPr="00D8756A" w:rsidRDefault="00D8756A" w:rsidP="00D8756A">
      <w:pPr>
        <w:pStyle w:val="Default"/>
        <w:rPr>
          <w:rFonts w:ascii="Arial" w:hAnsi="Arial" w:cs="Arial"/>
          <w:color w:val="4472C4" w:themeColor="accent1"/>
          <w:sz w:val="22"/>
          <w:szCs w:val="22"/>
        </w:rPr>
      </w:pPr>
    </w:p>
    <w:p w14:paraId="13BC43D9" w14:textId="77777777" w:rsidR="00D8756A" w:rsidRPr="00D8756A" w:rsidRDefault="00D8756A" w:rsidP="00D8756A">
      <w:pPr>
        <w:pStyle w:val="Heading2"/>
        <w:rPr>
          <w:rFonts w:eastAsia="Times New Roman"/>
          <w:color w:val="4472C4" w:themeColor="accent1"/>
        </w:rPr>
      </w:pPr>
      <w:r w:rsidRPr="00D8756A">
        <w:rPr>
          <w:rFonts w:eastAsia="Times New Roman"/>
          <w:color w:val="4472C4" w:themeColor="accent1"/>
        </w:rPr>
        <w:t xml:space="preserve">We wish to focus our investment on the individuals who would benefit most from the provision. We also want to ensure that clear progression pathways are available for those who take part in the programme. </w:t>
      </w:r>
    </w:p>
    <w:p w14:paraId="3883874B" w14:textId="77777777" w:rsidR="00D8756A" w:rsidRPr="00D8756A" w:rsidRDefault="00D8756A" w:rsidP="00D8756A">
      <w:pPr>
        <w:pStyle w:val="Default"/>
        <w:rPr>
          <w:rFonts w:ascii="Arial" w:hAnsi="Arial" w:cs="Arial"/>
          <w:color w:val="4472C4" w:themeColor="accent1"/>
          <w:sz w:val="22"/>
          <w:szCs w:val="22"/>
        </w:rPr>
      </w:pPr>
    </w:p>
    <w:p w14:paraId="28EA0936" w14:textId="77777777" w:rsidR="00D8756A" w:rsidRPr="00D8756A" w:rsidRDefault="00D8756A" w:rsidP="00D8756A">
      <w:pPr>
        <w:pStyle w:val="Heading2"/>
        <w:rPr>
          <w:rFonts w:eastAsia="Times New Roman"/>
          <w:color w:val="4472C4" w:themeColor="accent1"/>
        </w:rPr>
      </w:pPr>
      <w:r w:rsidRPr="00D8756A">
        <w:rPr>
          <w:rFonts w:eastAsia="Times New Roman"/>
          <w:color w:val="4472C4" w:themeColor="accent1"/>
        </w:rPr>
        <w:t xml:space="preserve">As such,  the first year of our regional Multiply delivery is </w:t>
      </w:r>
      <w:r w:rsidRPr="00D8756A">
        <w:rPr>
          <w:rFonts w:eastAsia="Times New Roman"/>
          <w:color w:val="4472C4" w:themeColor="accent1"/>
          <w:sz w:val="23"/>
          <w:szCs w:val="23"/>
        </w:rPr>
        <w:t xml:space="preserve">targeted at adults aged 19+ who don’t already have a full Level 2 qualification in maths and supports both the employed and the unemployed. </w:t>
      </w:r>
    </w:p>
    <w:p w14:paraId="0BEB4B1B" w14:textId="26436102" w:rsidR="00D8756A" w:rsidRDefault="00D8756A" w:rsidP="00D8756A">
      <w:pPr>
        <w:rPr>
          <w:rFonts w:eastAsia="Times New Roman"/>
        </w:rPr>
      </w:pPr>
    </w:p>
    <w:p w14:paraId="0A1047FE" w14:textId="3D341EB0" w:rsidR="00D8756A" w:rsidRPr="00D8756A" w:rsidRDefault="00D8756A" w:rsidP="00D8756A">
      <w:pPr>
        <w:rPr>
          <w:rFonts w:eastAsia="Times New Roman"/>
        </w:rPr>
      </w:pPr>
      <w:r w:rsidRPr="00D8756A">
        <w:rPr>
          <w:rFonts w:ascii="Arial" w:eastAsia="Times New Roman" w:hAnsi="Arial" w:cs="Arial"/>
          <w:b/>
          <w:bCs/>
        </w:rPr>
        <w:t>Q2:</w:t>
      </w:r>
      <w:r>
        <w:rPr>
          <w:rFonts w:eastAsia="Times New Roman"/>
        </w:rPr>
        <w:t xml:space="preserve"> </w:t>
      </w:r>
      <w:r w:rsidRPr="00D8756A">
        <w:rPr>
          <w:rFonts w:eastAsia="Times New Roman"/>
        </w:rPr>
        <w:t xml:space="preserve">Similarly in Question 5: Social Vale – it asks you to ‘shape your response around the social values themes as highlighted in section 10,’; </w:t>
      </w:r>
      <w:proofErr w:type="gramStart"/>
      <w:r w:rsidRPr="00D8756A">
        <w:rPr>
          <w:rFonts w:eastAsia="Times New Roman"/>
        </w:rPr>
        <w:t>however</w:t>
      </w:r>
      <w:proofErr w:type="gramEnd"/>
      <w:r w:rsidRPr="00D8756A">
        <w:rPr>
          <w:rFonts w:eastAsia="Times New Roman"/>
        </w:rPr>
        <w:t xml:space="preserve"> section 10 within the specification does not relate to Social Value. If you’re able to provide information relating to the Social Value </w:t>
      </w:r>
      <w:proofErr w:type="gramStart"/>
      <w:r w:rsidRPr="00D8756A">
        <w:rPr>
          <w:rFonts w:eastAsia="Times New Roman"/>
        </w:rPr>
        <w:t>Themes</w:t>
      </w:r>
      <w:proofErr w:type="gramEnd"/>
      <w:r w:rsidRPr="00D8756A">
        <w:rPr>
          <w:rFonts w:eastAsia="Times New Roman"/>
        </w:rPr>
        <w:t xml:space="preserve"> it would be much appreciated? </w:t>
      </w:r>
    </w:p>
    <w:p w14:paraId="6BDB951B" w14:textId="7515CA41" w:rsidR="00D8756A" w:rsidRDefault="00D8756A" w:rsidP="00D8756A">
      <w:pPr>
        <w:rPr>
          <w:rFonts w:ascii="Arial" w:hAnsi="Arial" w:cs="Arial"/>
          <w:color w:val="4472C4"/>
        </w:rPr>
      </w:pPr>
      <w:r w:rsidRPr="00D8756A">
        <w:rPr>
          <w:rFonts w:ascii="Arial" w:hAnsi="Arial" w:cs="Arial"/>
          <w:b/>
          <w:bCs/>
          <w:color w:val="4472C4"/>
        </w:rPr>
        <w:t>A:</w:t>
      </w:r>
      <w:r>
        <w:rPr>
          <w:rFonts w:ascii="Arial" w:hAnsi="Arial" w:cs="Arial"/>
          <w:color w:val="4472C4"/>
        </w:rPr>
        <w:t xml:space="preserve"> </w:t>
      </w:r>
      <w:r>
        <w:rPr>
          <w:rFonts w:ascii="Arial" w:hAnsi="Arial" w:cs="Arial"/>
          <w:color w:val="4472C4"/>
        </w:rPr>
        <w:t xml:space="preserve">This relates to section 10 of the </w:t>
      </w:r>
      <w:r>
        <w:rPr>
          <w:rFonts w:ascii="Arial" w:hAnsi="Arial" w:cs="Arial"/>
          <w:color w:val="4472C4"/>
        </w:rPr>
        <w:t>Grant Application Document</w:t>
      </w:r>
      <w:r>
        <w:rPr>
          <w:rFonts w:ascii="Arial" w:hAnsi="Arial" w:cs="Arial"/>
          <w:color w:val="4472C4"/>
        </w:rPr>
        <w:t xml:space="preserve"> </w:t>
      </w:r>
      <w:r>
        <w:rPr>
          <w:rFonts w:ascii="Arial" w:hAnsi="Arial" w:cs="Arial"/>
          <w:color w:val="4472C4"/>
        </w:rPr>
        <w:t>which details the social value themes.</w:t>
      </w:r>
    </w:p>
    <w:p w14:paraId="348F2BE4" w14:textId="09844BAA" w:rsidR="007738D6" w:rsidRDefault="007738D6" w:rsidP="007738D6">
      <w:r w:rsidRPr="00D8756A">
        <w:rPr>
          <w:rFonts w:ascii="Arial" w:hAnsi="Arial" w:cs="Arial"/>
          <w:b/>
          <w:bCs/>
        </w:rPr>
        <w:t>Q</w:t>
      </w:r>
      <w:r w:rsidR="00D8756A">
        <w:rPr>
          <w:rFonts w:ascii="Arial" w:hAnsi="Arial" w:cs="Arial"/>
          <w:b/>
          <w:bCs/>
        </w:rPr>
        <w:t>3</w:t>
      </w:r>
      <w:r w:rsidRPr="00D8756A">
        <w:rPr>
          <w:rFonts w:ascii="Arial" w:hAnsi="Arial" w:cs="Arial"/>
          <w:b/>
          <w:bCs/>
        </w:rPr>
        <w:t>:</w:t>
      </w:r>
      <w:r>
        <w:rPr>
          <w:rFonts w:ascii="Arial" w:hAnsi="Arial" w:cs="Arial"/>
          <w:sz w:val="28"/>
          <w:szCs w:val="28"/>
        </w:rPr>
        <w:t xml:space="preserve"> </w:t>
      </w:r>
      <w:r>
        <w:t>Are you able to confirm that this means that the cost of our provision can be over £831, and that when NTCA work out the overall costs of the success provider submissions that it won’t exceed an average cost per learner of £831? As when considering the parent learning lot allocation and the target number of learners the cost per learner would be £1105.</w:t>
      </w:r>
    </w:p>
    <w:p w14:paraId="161EF032" w14:textId="06F8B118" w:rsidR="007738D6" w:rsidRPr="00D8756A" w:rsidRDefault="007738D6">
      <w:pPr>
        <w:rPr>
          <w:rFonts w:ascii="Arial" w:hAnsi="Arial" w:cs="Arial"/>
          <w:color w:val="4472C4" w:themeColor="accent1"/>
        </w:rPr>
      </w:pPr>
      <w:r w:rsidRPr="00D8756A">
        <w:rPr>
          <w:rFonts w:ascii="Arial" w:hAnsi="Arial" w:cs="Arial"/>
          <w:b/>
          <w:bCs/>
          <w:color w:val="4472C4" w:themeColor="accent1"/>
        </w:rPr>
        <w:t>A:</w:t>
      </w:r>
      <w:r w:rsidRPr="00D8756A">
        <w:rPr>
          <w:rFonts w:ascii="Arial" w:hAnsi="Arial" w:cs="Arial"/>
          <w:color w:val="4472C4" w:themeColor="accent1"/>
          <w:sz w:val="28"/>
          <w:szCs w:val="28"/>
        </w:rPr>
        <w:t xml:space="preserve"> </w:t>
      </w:r>
      <w:r w:rsidRPr="00D8756A">
        <w:rPr>
          <w:rFonts w:ascii="Arial" w:hAnsi="Arial" w:cs="Arial"/>
          <w:color w:val="4472C4" w:themeColor="accent1"/>
        </w:rPr>
        <w:t xml:space="preserve">NTCA will consider the overall average cost per learner in the </w:t>
      </w:r>
      <w:r w:rsidR="00D8756A" w:rsidRPr="00D8756A">
        <w:rPr>
          <w:rFonts w:ascii="Arial" w:hAnsi="Arial" w:cs="Arial"/>
          <w:color w:val="4472C4" w:themeColor="accent1"/>
        </w:rPr>
        <w:t>application,</w:t>
      </w:r>
      <w:r w:rsidRPr="00D8756A">
        <w:rPr>
          <w:rFonts w:ascii="Arial" w:hAnsi="Arial" w:cs="Arial"/>
          <w:color w:val="4472C4" w:themeColor="accent1"/>
        </w:rPr>
        <w:t xml:space="preserve"> and this must not exceed the £831</w:t>
      </w:r>
    </w:p>
    <w:p w14:paraId="4A15FBCA" w14:textId="3B41F295" w:rsidR="007738D6" w:rsidRDefault="007738D6" w:rsidP="007738D6">
      <w:r w:rsidRPr="00D8756A">
        <w:rPr>
          <w:rFonts w:ascii="Arial" w:hAnsi="Arial" w:cs="Arial"/>
          <w:b/>
          <w:bCs/>
        </w:rPr>
        <w:t>Q</w:t>
      </w:r>
      <w:r w:rsidR="00D8756A">
        <w:rPr>
          <w:rFonts w:ascii="Arial" w:hAnsi="Arial" w:cs="Arial"/>
          <w:b/>
          <w:bCs/>
        </w:rPr>
        <w:t>4</w:t>
      </w:r>
      <w:r w:rsidRPr="00D8756A">
        <w:rPr>
          <w:rFonts w:ascii="Arial" w:hAnsi="Arial" w:cs="Arial"/>
          <w:b/>
          <w:bCs/>
        </w:rPr>
        <w:t>:</w:t>
      </w:r>
      <w:r>
        <w:rPr>
          <w:rFonts w:ascii="Arial" w:hAnsi="Arial" w:cs="Arial"/>
        </w:rPr>
        <w:t xml:space="preserve"> </w:t>
      </w:r>
      <w:r>
        <w:t>C</w:t>
      </w:r>
      <w:r>
        <w:t>larify what the funding and target number of participants for the Numeracy Skills for the Workplace might be, as there is information for the other three streams, but not this one.</w:t>
      </w:r>
    </w:p>
    <w:p w14:paraId="71E0EF08" w14:textId="10318A77" w:rsidR="007738D6" w:rsidRDefault="00D8756A" w:rsidP="007738D6">
      <w:pPr>
        <w:rPr>
          <w:rFonts w:ascii="Arial" w:hAnsi="Arial" w:cs="Arial"/>
          <w:color w:val="4472C4" w:themeColor="accent1"/>
        </w:rPr>
      </w:pPr>
      <w:r w:rsidRPr="00D8756A">
        <w:rPr>
          <w:rFonts w:ascii="Arial" w:hAnsi="Arial" w:cs="Arial"/>
          <w:b/>
          <w:bCs/>
          <w:color w:val="4472C4" w:themeColor="accent1"/>
        </w:rPr>
        <w:t>A:</w:t>
      </w:r>
      <w:r w:rsidRPr="00D8756A">
        <w:rPr>
          <w:rFonts w:ascii="Arial" w:hAnsi="Arial" w:cs="Arial"/>
          <w:color w:val="4472C4" w:themeColor="accent1"/>
        </w:rPr>
        <w:t xml:space="preserve"> </w:t>
      </w:r>
      <w:r w:rsidR="007738D6" w:rsidRPr="00D8756A">
        <w:rPr>
          <w:rFonts w:ascii="Arial" w:hAnsi="Arial" w:cs="Arial"/>
          <w:color w:val="4472C4" w:themeColor="accent1"/>
        </w:rPr>
        <w:t>All three delivery themes can be underpinned by innovative numeracy programmes in the workplace</w:t>
      </w:r>
      <w:r w:rsidR="007738D6" w:rsidRPr="00D8756A">
        <w:rPr>
          <w:rFonts w:ascii="Arial" w:hAnsi="Arial" w:cs="Arial"/>
          <w:color w:val="4472C4" w:themeColor="accent1"/>
        </w:rPr>
        <w:t xml:space="preserve">. </w:t>
      </w:r>
      <w:r w:rsidR="007738D6" w:rsidRPr="00D8756A">
        <w:rPr>
          <w:rFonts w:ascii="Arial" w:hAnsi="Arial" w:cs="Arial"/>
          <w:color w:val="4472C4" w:themeColor="accent1"/>
        </w:rPr>
        <w:t>The target numbers</w:t>
      </w:r>
      <w:r w:rsidR="007738D6" w:rsidRPr="00D8756A">
        <w:rPr>
          <w:rFonts w:ascii="Arial" w:hAnsi="Arial" w:cs="Arial"/>
          <w:color w:val="4472C4" w:themeColor="accent1"/>
        </w:rPr>
        <w:t xml:space="preserve"> for themes</w:t>
      </w:r>
      <w:r w:rsidR="007738D6" w:rsidRPr="00D8756A">
        <w:rPr>
          <w:rFonts w:ascii="Arial" w:hAnsi="Arial" w:cs="Arial"/>
          <w:color w:val="4472C4" w:themeColor="accent1"/>
        </w:rPr>
        <w:t xml:space="preserve"> are across the whole programme, we would expect individual applicants </w:t>
      </w:r>
      <w:r w:rsidR="007738D6" w:rsidRPr="00D8756A">
        <w:rPr>
          <w:rFonts w:ascii="Arial" w:hAnsi="Arial" w:cs="Arial"/>
          <w:color w:val="4472C4" w:themeColor="accent1"/>
        </w:rPr>
        <w:t>to de</w:t>
      </w:r>
      <w:r w:rsidR="007738D6" w:rsidRPr="00D8756A">
        <w:rPr>
          <w:rFonts w:ascii="Arial" w:hAnsi="Arial" w:cs="Arial"/>
          <w:color w:val="4472C4" w:themeColor="accent1"/>
        </w:rPr>
        <w:t xml:space="preserve">termine their own target numbers against each theme as long as the unit cost does not exceed the average figure per head of £831. </w:t>
      </w:r>
    </w:p>
    <w:p w14:paraId="5799B8A4" w14:textId="3F4D5B5F" w:rsidR="00D8756A" w:rsidRDefault="00D8756A" w:rsidP="007738D6">
      <w:pPr>
        <w:rPr>
          <w:rFonts w:ascii="Arial" w:hAnsi="Arial" w:cs="Arial"/>
          <w:color w:val="4472C4" w:themeColor="accent1"/>
        </w:rPr>
      </w:pPr>
    </w:p>
    <w:p w14:paraId="15B725A7" w14:textId="77777777" w:rsidR="00D8756A" w:rsidRPr="00D8756A" w:rsidRDefault="00D8756A" w:rsidP="007738D6">
      <w:pPr>
        <w:rPr>
          <w:rFonts w:ascii="Arial" w:hAnsi="Arial" w:cs="Arial"/>
          <w:color w:val="4472C4" w:themeColor="accent1"/>
        </w:rPr>
      </w:pPr>
    </w:p>
    <w:p w14:paraId="392157FB" w14:textId="737FFD9E" w:rsidR="007738D6" w:rsidRDefault="00D8756A" w:rsidP="007738D6">
      <w:r w:rsidRPr="00D8756A">
        <w:rPr>
          <w:rFonts w:ascii="Arial" w:hAnsi="Arial" w:cs="Arial"/>
          <w:b/>
          <w:bCs/>
        </w:rPr>
        <w:lastRenderedPageBreak/>
        <w:t>Q</w:t>
      </w:r>
      <w:r>
        <w:rPr>
          <w:rFonts w:ascii="Arial" w:hAnsi="Arial" w:cs="Arial"/>
          <w:b/>
          <w:bCs/>
        </w:rPr>
        <w:t>5</w:t>
      </w:r>
      <w:r w:rsidR="007738D6" w:rsidRPr="00D8756A">
        <w:rPr>
          <w:rFonts w:ascii="Arial" w:hAnsi="Arial" w:cs="Arial"/>
          <w:b/>
          <w:bCs/>
        </w:rPr>
        <w:t>:</w:t>
      </w:r>
      <w:r w:rsidR="007738D6">
        <w:t xml:space="preserve"> On page 8 of the Specification document, Section 13.3, it lists the 3 intervention types, however on page 13 of the same document, the Multiply Programme information lists 4 intervention types. Does that mean there is an option to engage in the additional activity ‘Innovative numeracy programmes delivered together with employers’ or just the 3 listed on page 8?</w:t>
      </w:r>
    </w:p>
    <w:p w14:paraId="4F38FDA4" w14:textId="6292492F" w:rsidR="007738D6" w:rsidRDefault="007738D6" w:rsidP="007738D6">
      <w:pPr>
        <w:rPr>
          <w:rFonts w:ascii="Arial" w:hAnsi="Arial" w:cs="Arial"/>
          <w:color w:val="4472C4"/>
        </w:rPr>
      </w:pPr>
      <w:r w:rsidRPr="00D8756A">
        <w:rPr>
          <w:rFonts w:ascii="Arial" w:hAnsi="Arial" w:cs="Arial"/>
          <w:b/>
          <w:bCs/>
          <w:color w:val="4472C4"/>
        </w:rPr>
        <w:t>A:</w:t>
      </w:r>
      <w:r>
        <w:rPr>
          <w:rFonts w:ascii="Arial" w:hAnsi="Arial" w:cs="Arial"/>
          <w:color w:val="4472C4"/>
        </w:rPr>
        <w:t xml:space="preserve"> </w:t>
      </w:r>
      <w:r>
        <w:rPr>
          <w:rFonts w:ascii="Arial" w:hAnsi="Arial" w:cs="Arial"/>
          <w:color w:val="4472C4"/>
        </w:rPr>
        <w:t>We are looking for activity that supports the themes on page 8 – these interventions could be delivered with employers.</w:t>
      </w:r>
    </w:p>
    <w:p w14:paraId="4DB4BA4C" w14:textId="7273FA19" w:rsidR="007738D6" w:rsidRDefault="00D8756A" w:rsidP="007738D6">
      <w:r w:rsidRPr="00D8756A">
        <w:rPr>
          <w:rFonts w:ascii="Arial" w:hAnsi="Arial" w:cs="Arial"/>
          <w:b/>
          <w:bCs/>
        </w:rPr>
        <w:t>Q</w:t>
      </w:r>
      <w:r>
        <w:rPr>
          <w:rFonts w:ascii="Arial" w:hAnsi="Arial" w:cs="Arial"/>
          <w:b/>
          <w:bCs/>
        </w:rPr>
        <w:t>6</w:t>
      </w:r>
      <w:r w:rsidR="007738D6" w:rsidRPr="00D8756A">
        <w:rPr>
          <w:rFonts w:ascii="Arial" w:hAnsi="Arial" w:cs="Arial"/>
          <w:b/>
          <w:bCs/>
        </w:rPr>
        <w:t>:</w:t>
      </w:r>
      <w:r w:rsidR="007738D6">
        <w:t xml:space="preserve"> </w:t>
      </w:r>
      <w:r w:rsidR="007738D6">
        <w:t xml:space="preserve">In the specification document section 11, it identifies delivery from April 22 to March 23, coupled with Appendix C Delivery Profile which asks for numbers from October 22 – Mar 23 and then beyond April 23. Please can you clarify </w:t>
      </w:r>
    </w:p>
    <w:p w14:paraId="295BDD16" w14:textId="77777777" w:rsidR="007738D6" w:rsidRDefault="007738D6" w:rsidP="007738D6">
      <w:pPr>
        <w:pStyle w:val="ListParagraph"/>
        <w:numPr>
          <w:ilvl w:val="0"/>
          <w:numId w:val="1"/>
        </w:numPr>
        <w:rPr>
          <w:rFonts w:eastAsia="Times New Roman"/>
        </w:rPr>
      </w:pPr>
      <w:r>
        <w:rPr>
          <w:rFonts w:eastAsia="Times New Roman"/>
        </w:rPr>
        <w:t xml:space="preserve">when you expect the successful submissions are likely to be notified (given deadline is the </w:t>
      </w:r>
      <w:proofErr w:type="gramStart"/>
      <w:r>
        <w:rPr>
          <w:rFonts w:eastAsia="Times New Roman"/>
        </w:rPr>
        <w:t>17</w:t>
      </w:r>
      <w:r>
        <w:rPr>
          <w:rFonts w:eastAsia="Times New Roman"/>
          <w:vertAlign w:val="superscript"/>
        </w:rPr>
        <w:t>th</w:t>
      </w:r>
      <w:proofErr w:type="gramEnd"/>
      <w:r>
        <w:rPr>
          <w:rFonts w:eastAsia="Times New Roman"/>
        </w:rPr>
        <w:t xml:space="preserve"> October, is it likely delivery could also commence in October or would it be more realistic to plan profiles from November?</w:t>
      </w:r>
    </w:p>
    <w:p w14:paraId="443D68E9" w14:textId="77777777" w:rsidR="007738D6" w:rsidRDefault="007738D6" w:rsidP="007738D6">
      <w:pPr>
        <w:pStyle w:val="ListParagraph"/>
        <w:numPr>
          <w:ilvl w:val="0"/>
          <w:numId w:val="1"/>
        </w:numPr>
        <w:rPr>
          <w:rFonts w:eastAsia="Times New Roman"/>
        </w:rPr>
      </w:pPr>
      <w:r>
        <w:rPr>
          <w:rFonts w:eastAsia="Times New Roman"/>
        </w:rPr>
        <w:t>On the delivery profile – delivery timeline tab, post April 23 - \Could you confirm if this is April 23 – July 23 or to 31</w:t>
      </w:r>
      <w:r>
        <w:rPr>
          <w:rFonts w:eastAsia="Times New Roman"/>
          <w:vertAlign w:val="superscript"/>
        </w:rPr>
        <w:t>st</w:t>
      </w:r>
      <w:r>
        <w:rPr>
          <w:rFonts w:eastAsia="Times New Roman"/>
        </w:rPr>
        <w:t xml:space="preserve"> March 2025?</w:t>
      </w:r>
    </w:p>
    <w:p w14:paraId="7D8B6C98" w14:textId="77777777" w:rsidR="00D8756A" w:rsidRDefault="00D8756A" w:rsidP="007738D6">
      <w:pPr>
        <w:rPr>
          <w:rFonts w:ascii="Arial" w:hAnsi="Arial" w:cs="Arial"/>
          <w:b/>
          <w:bCs/>
          <w:color w:val="4472C4" w:themeColor="accent1"/>
        </w:rPr>
      </w:pPr>
    </w:p>
    <w:p w14:paraId="171425C1" w14:textId="0DAE94B4" w:rsidR="007738D6" w:rsidRPr="00D8756A" w:rsidRDefault="007738D6" w:rsidP="007738D6">
      <w:pPr>
        <w:rPr>
          <w:rFonts w:ascii="Arial" w:hAnsi="Arial" w:cs="Arial"/>
          <w:color w:val="4472C4" w:themeColor="accent1"/>
        </w:rPr>
      </w:pPr>
      <w:r w:rsidRPr="00D8756A">
        <w:rPr>
          <w:rFonts w:ascii="Arial" w:hAnsi="Arial" w:cs="Arial"/>
          <w:b/>
          <w:bCs/>
          <w:color w:val="4472C4" w:themeColor="accent1"/>
        </w:rPr>
        <w:t>A:</w:t>
      </w:r>
      <w:r w:rsidRPr="00D8756A">
        <w:rPr>
          <w:rFonts w:ascii="Arial" w:hAnsi="Arial" w:cs="Arial"/>
          <w:color w:val="4472C4" w:themeColor="accent1"/>
        </w:rPr>
        <w:t xml:space="preserve"> </w:t>
      </w:r>
      <w:r w:rsidRPr="00D8756A">
        <w:rPr>
          <w:rFonts w:ascii="Arial" w:hAnsi="Arial" w:cs="Arial"/>
          <w:color w:val="4472C4" w:themeColor="accent1"/>
        </w:rPr>
        <w:t>It would be realistic to plan from 1</w:t>
      </w:r>
      <w:r w:rsidRPr="00D8756A">
        <w:rPr>
          <w:rFonts w:ascii="Arial" w:hAnsi="Arial" w:cs="Arial"/>
          <w:color w:val="4472C4" w:themeColor="accent1"/>
          <w:vertAlign w:val="superscript"/>
        </w:rPr>
        <w:t>st</w:t>
      </w:r>
      <w:r w:rsidRPr="00D8756A">
        <w:rPr>
          <w:rFonts w:ascii="Arial" w:hAnsi="Arial" w:cs="Arial"/>
          <w:color w:val="4472C4" w:themeColor="accent1"/>
        </w:rPr>
        <w:t xml:space="preserve"> November – all delivery must be complete by 31</w:t>
      </w:r>
      <w:r w:rsidRPr="00D8756A">
        <w:rPr>
          <w:rFonts w:ascii="Arial" w:hAnsi="Arial" w:cs="Arial"/>
          <w:color w:val="4472C4" w:themeColor="accent1"/>
          <w:vertAlign w:val="superscript"/>
        </w:rPr>
        <w:t>st</w:t>
      </w:r>
      <w:r w:rsidRPr="00D8756A">
        <w:rPr>
          <w:rFonts w:ascii="Arial" w:hAnsi="Arial" w:cs="Arial"/>
          <w:color w:val="4472C4" w:themeColor="accent1"/>
        </w:rPr>
        <w:t xml:space="preserve"> March 23 for Year One. </w:t>
      </w:r>
    </w:p>
    <w:p w14:paraId="3F62781A" w14:textId="276CC44B" w:rsidR="00B70EC9" w:rsidRPr="00B70EC9" w:rsidRDefault="00B70EC9" w:rsidP="00D8756A">
      <w:r w:rsidRPr="00B70EC9">
        <w:rPr>
          <w:rFonts w:ascii="Arial" w:hAnsi="Arial" w:cs="Arial"/>
          <w:b/>
          <w:bCs/>
        </w:rPr>
        <w:t>Q7:</w:t>
      </w:r>
      <w:r w:rsidRPr="00B70EC9">
        <w:t xml:space="preserve"> </w:t>
      </w:r>
      <w:r w:rsidR="00D8756A" w:rsidRPr="00B70EC9">
        <w:t xml:space="preserve">The main question I have is that because we are looking at covering two of the themes, would you expect to see two separate applications or both themes in one application?  </w:t>
      </w:r>
    </w:p>
    <w:p w14:paraId="4AB51D83" w14:textId="70F19310" w:rsidR="00D8756A" w:rsidRPr="00B70EC9" w:rsidRDefault="00B70EC9" w:rsidP="00D8756A">
      <w:pPr>
        <w:rPr>
          <w:rFonts w:ascii="Arial" w:hAnsi="Arial" w:cs="Arial"/>
          <w:color w:val="4472C4" w:themeColor="accent1"/>
        </w:rPr>
      </w:pPr>
      <w:r w:rsidRPr="00B70EC9">
        <w:rPr>
          <w:rFonts w:ascii="Arial" w:hAnsi="Arial" w:cs="Arial"/>
          <w:b/>
          <w:bCs/>
          <w:color w:val="4472C4" w:themeColor="accent1"/>
        </w:rPr>
        <w:t>A:</w:t>
      </w:r>
      <w:r w:rsidRPr="00B70EC9">
        <w:rPr>
          <w:rFonts w:ascii="Arial" w:hAnsi="Arial" w:cs="Arial"/>
          <w:color w:val="4472C4" w:themeColor="accent1"/>
        </w:rPr>
        <w:t xml:space="preserve"> </w:t>
      </w:r>
      <w:r w:rsidR="00D8756A" w:rsidRPr="00B70EC9">
        <w:rPr>
          <w:rFonts w:ascii="Arial" w:hAnsi="Arial" w:cs="Arial"/>
          <w:color w:val="4472C4" w:themeColor="accent1"/>
        </w:rPr>
        <w:t>Only one application is necessary if a proposal is covering more than one of the themes.</w:t>
      </w:r>
    </w:p>
    <w:p w14:paraId="1D4C305D" w14:textId="5D96FB28" w:rsidR="00B70EC9" w:rsidRPr="00B70EC9" w:rsidRDefault="00D8756A" w:rsidP="00D8756A">
      <w:r w:rsidRPr="00B70EC9">
        <w:rPr>
          <w:b/>
          <w:bCs/>
          <w:color w:val="1F497D"/>
        </w:rPr>
        <w:t> </w:t>
      </w:r>
      <w:r w:rsidR="00B70EC9" w:rsidRPr="00B70EC9">
        <w:rPr>
          <w:rFonts w:ascii="Arial" w:hAnsi="Arial" w:cs="Arial"/>
          <w:b/>
          <w:bCs/>
        </w:rPr>
        <w:t>Q8</w:t>
      </w:r>
      <w:r w:rsidR="00B70EC9">
        <w:rPr>
          <w:rFonts w:ascii="Calibri" w:hAnsi="Calibri" w:cs="Calibri"/>
        </w:rPr>
        <w:t xml:space="preserve">: Do </w:t>
      </w:r>
      <w:r w:rsidRPr="00B70EC9">
        <w:t xml:space="preserve">you expect the target numbers of participants to increase proportionately in years two and three or will the target figures remain the same?  </w:t>
      </w:r>
    </w:p>
    <w:p w14:paraId="4BE24973" w14:textId="703E771F" w:rsidR="00D8756A" w:rsidRPr="00B70EC9" w:rsidRDefault="00B70EC9" w:rsidP="00D8756A">
      <w:pPr>
        <w:rPr>
          <w:rFonts w:ascii="Calibri" w:hAnsi="Calibri" w:cs="Calibri"/>
          <w:color w:val="4472C4" w:themeColor="accent1"/>
        </w:rPr>
      </w:pPr>
      <w:r w:rsidRPr="00B70EC9">
        <w:rPr>
          <w:rFonts w:ascii="Arial" w:hAnsi="Arial" w:cs="Arial"/>
          <w:b/>
          <w:bCs/>
          <w:color w:val="4472C4" w:themeColor="accent1"/>
        </w:rPr>
        <w:t>A:</w:t>
      </w:r>
      <w:r w:rsidRPr="00B70EC9">
        <w:rPr>
          <w:rFonts w:ascii="Arial" w:hAnsi="Arial" w:cs="Arial"/>
          <w:color w:val="4472C4" w:themeColor="accent1"/>
        </w:rPr>
        <w:t xml:space="preserve"> </w:t>
      </w:r>
      <w:r w:rsidR="00D8756A" w:rsidRPr="00B70EC9">
        <w:rPr>
          <w:rFonts w:ascii="Arial" w:hAnsi="Arial" w:cs="Arial"/>
          <w:color w:val="4472C4" w:themeColor="accent1"/>
        </w:rPr>
        <w:t xml:space="preserve">Years Two and Three funding is subject to NTCA’s allocation from DfE – target numbers would increase proportionately to the allocation of funding. </w:t>
      </w:r>
    </w:p>
    <w:p w14:paraId="2DDEAE77" w14:textId="58987D7C" w:rsidR="007738D6" w:rsidRPr="00D8756A" w:rsidRDefault="007738D6" w:rsidP="007738D6">
      <w:r w:rsidRPr="00D8756A">
        <w:rPr>
          <w:rFonts w:ascii="Arial" w:hAnsi="Arial" w:cs="Arial"/>
          <w:b/>
          <w:bCs/>
        </w:rPr>
        <w:t>Q</w:t>
      </w:r>
      <w:r w:rsidR="00D8756A">
        <w:rPr>
          <w:rFonts w:ascii="Arial" w:hAnsi="Arial" w:cs="Arial"/>
          <w:b/>
          <w:bCs/>
        </w:rPr>
        <w:t>5</w:t>
      </w:r>
      <w:r w:rsidRPr="00D8756A">
        <w:rPr>
          <w:rFonts w:ascii="Arial" w:hAnsi="Arial" w:cs="Arial"/>
          <w:b/>
          <w:bCs/>
        </w:rPr>
        <w:t>:</w:t>
      </w:r>
      <w:r w:rsidRPr="00D8756A">
        <w:rPr>
          <w:rFonts w:ascii="Arial" w:hAnsi="Arial" w:cs="Arial"/>
        </w:rPr>
        <w:t xml:space="preserve"> </w:t>
      </w:r>
      <w:r w:rsidRPr="00D8756A">
        <w:t>Could you clarify this point please</w:t>
      </w:r>
    </w:p>
    <w:p w14:paraId="3E876034" w14:textId="4EFD8375" w:rsidR="007738D6" w:rsidRPr="00D8756A" w:rsidRDefault="007738D6" w:rsidP="007738D6">
      <w:pPr>
        <w:pStyle w:val="ListParagraph"/>
        <w:numPr>
          <w:ilvl w:val="0"/>
          <w:numId w:val="1"/>
        </w:numPr>
        <w:rPr>
          <w:rFonts w:eastAsia="Times New Roman"/>
        </w:rPr>
      </w:pPr>
      <w:r w:rsidRPr="00D8756A">
        <w:rPr>
          <w:rFonts w:eastAsia="Times New Roman"/>
        </w:rPr>
        <w:t>On the delivery profile – delivery timeline tab, post April 23 - \Could you confirm if this is April 23 – July 23 or to 31</w:t>
      </w:r>
      <w:r w:rsidRPr="00D8756A">
        <w:rPr>
          <w:rFonts w:eastAsia="Times New Roman"/>
          <w:vertAlign w:val="superscript"/>
        </w:rPr>
        <w:t>st</w:t>
      </w:r>
      <w:r w:rsidRPr="00D8756A">
        <w:rPr>
          <w:rFonts w:eastAsia="Times New Roman"/>
        </w:rPr>
        <w:t xml:space="preserve"> March 2025?</w:t>
      </w:r>
    </w:p>
    <w:p w14:paraId="6EA901BB" w14:textId="77777777" w:rsidR="00D8756A" w:rsidRPr="007738D6" w:rsidRDefault="00D8756A" w:rsidP="00D8756A">
      <w:pPr>
        <w:pStyle w:val="ListParagraph"/>
        <w:rPr>
          <w:rFonts w:eastAsia="Times New Roman"/>
        </w:rPr>
      </w:pPr>
    </w:p>
    <w:p w14:paraId="3970E7BB" w14:textId="20D2B885" w:rsidR="00D8756A" w:rsidRPr="00D8756A" w:rsidRDefault="007738D6" w:rsidP="00D8756A">
      <w:pPr>
        <w:rPr>
          <w:rFonts w:ascii="Arial" w:hAnsi="Arial" w:cs="Arial"/>
          <w:color w:val="4472C4" w:themeColor="accent1"/>
        </w:rPr>
      </w:pPr>
      <w:r w:rsidRPr="00D8756A">
        <w:rPr>
          <w:rFonts w:ascii="Arial" w:hAnsi="Arial" w:cs="Arial"/>
          <w:color w:val="4472C4" w:themeColor="accent1"/>
        </w:rPr>
        <w:t xml:space="preserve">A: </w:t>
      </w:r>
      <w:r w:rsidR="00D8756A" w:rsidRPr="00D8756A">
        <w:rPr>
          <w:rFonts w:ascii="Arial" w:hAnsi="Arial" w:cs="Arial"/>
          <w:color w:val="4472C4" w:themeColor="accent1"/>
        </w:rPr>
        <w:t>T</w:t>
      </w:r>
      <w:r w:rsidR="00D8756A" w:rsidRPr="00D8756A">
        <w:rPr>
          <w:rFonts w:ascii="Arial" w:hAnsi="Arial" w:cs="Arial"/>
          <w:color w:val="4472C4" w:themeColor="accent1"/>
        </w:rPr>
        <w:t>his is April 2023 to July 2023. However, for the funding we have allocated for Year One all delivery has to be complete by 31</w:t>
      </w:r>
      <w:r w:rsidR="00D8756A" w:rsidRPr="00D8756A">
        <w:rPr>
          <w:rFonts w:ascii="Arial" w:hAnsi="Arial" w:cs="Arial"/>
          <w:color w:val="4472C4" w:themeColor="accent1"/>
          <w:vertAlign w:val="superscript"/>
        </w:rPr>
        <w:t>st</w:t>
      </w:r>
      <w:r w:rsidR="00D8756A" w:rsidRPr="00D8756A">
        <w:rPr>
          <w:rFonts w:ascii="Arial" w:hAnsi="Arial" w:cs="Arial"/>
          <w:color w:val="4472C4" w:themeColor="accent1"/>
        </w:rPr>
        <w:t xml:space="preserve"> March 2023.  Year 2 and Year 3 funding is subject to our allocation from DfE.</w:t>
      </w:r>
    </w:p>
    <w:p w14:paraId="3B76BFAF" w14:textId="77777777" w:rsidR="00D8756A" w:rsidRDefault="00D8756A" w:rsidP="00D8756A">
      <w:pPr>
        <w:rPr>
          <w:rFonts w:ascii="Arial" w:hAnsi="Arial" w:cs="Arial"/>
        </w:rPr>
      </w:pPr>
    </w:p>
    <w:p w14:paraId="3F81641F" w14:textId="55A472BE" w:rsidR="007738D6" w:rsidRDefault="007738D6" w:rsidP="007738D6">
      <w:pPr>
        <w:rPr>
          <w:rFonts w:ascii="Arial" w:hAnsi="Arial" w:cs="Arial"/>
          <w:color w:val="4472C4"/>
        </w:rPr>
      </w:pPr>
    </w:p>
    <w:p w14:paraId="1A3C0E91" w14:textId="0D079B3C" w:rsidR="007738D6" w:rsidRDefault="007738D6" w:rsidP="007738D6">
      <w:pPr>
        <w:rPr>
          <w:rFonts w:ascii="Arial" w:hAnsi="Arial" w:cs="Arial"/>
          <w:color w:val="4472C4"/>
        </w:rPr>
      </w:pPr>
    </w:p>
    <w:p w14:paraId="77DAF601" w14:textId="77777777" w:rsidR="007738D6" w:rsidRDefault="007738D6" w:rsidP="007738D6">
      <w:pPr>
        <w:rPr>
          <w:rFonts w:ascii="Arial" w:hAnsi="Arial" w:cs="Arial"/>
          <w:color w:val="4472C4"/>
        </w:rPr>
      </w:pPr>
    </w:p>
    <w:p w14:paraId="4C1B2B8D" w14:textId="77777777" w:rsidR="007738D6" w:rsidRDefault="007738D6" w:rsidP="007738D6">
      <w:pPr>
        <w:rPr>
          <w:rFonts w:ascii="Arial" w:hAnsi="Arial" w:cs="Arial"/>
        </w:rPr>
      </w:pPr>
    </w:p>
    <w:p w14:paraId="3632B0A1" w14:textId="5D3F05F5" w:rsidR="007738D6" w:rsidRDefault="007738D6">
      <w:pPr>
        <w:rPr>
          <w:rFonts w:ascii="Arial" w:hAnsi="Arial" w:cs="Arial"/>
          <w:sz w:val="28"/>
          <w:szCs w:val="28"/>
        </w:rPr>
      </w:pPr>
    </w:p>
    <w:p w14:paraId="67314020" w14:textId="77777777" w:rsidR="007738D6" w:rsidRPr="007738D6" w:rsidRDefault="007738D6">
      <w:pPr>
        <w:rPr>
          <w:rFonts w:ascii="Arial" w:hAnsi="Arial" w:cs="Arial"/>
          <w:sz w:val="28"/>
          <w:szCs w:val="28"/>
        </w:rPr>
      </w:pPr>
    </w:p>
    <w:sectPr w:rsidR="007738D6" w:rsidRPr="007738D6" w:rsidSect="007738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1602"/>
    <w:multiLevelType w:val="hybridMultilevel"/>
    <w:tmpl w:val="6F00E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C6568C"/>
    <w:multiLevelType w:val="hybridMultilevel"/>
    <w:tmpl w:val="114CC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D62E05"/>
    <w:multiLevelType w:val="multilevel"/>
    <w:tmpl w:val="8F6453D6"/>
    <w:lvl w:ilvl="0">
      <w:start w:val="1"/>
      <w:numFmt w:val="decimal"/>
      <w:pStyle w:val="Heading1"/>
      <w:lvlText w:val="%1"/>
      <w:lvlJc w:val="left"/>
      <w:pPr>
        <w:ind w:left="432" w:hanging="432"/>
      </w:pPr>
      <w:rPr>
        <w:b/>
        <w:bCs w:val="0"/>
      </w:rPr>
    </w:lvl>
    <w:lvl w:ilvl="1">
      <w:start w:val="1"/>
      <w:numFmt w:val="decimal"/>
      <w:pStyle w:val="Heading2"/>
      <w:lvlText w:val="%1.%2"/>
      <w:lvlJc w:val="left"/>
      <w:pPr>
        <w:ind w:left="576" w:hanging="576"/>
      </w:pPr>
      <w:rPr>
        <w:rFonts w:ascii="Arial" w:hAnsi="Arial" w:cs="Arial" w:hint="default"/>
        <w:b w:val="0"/>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D6"/>
    <w:rsid w:val="007738D6"/>
    <w:rsid w:val="00B70EC9"/>
    <w:rsid w:val="00D8756A"/>
    <w:rsid w:val="00DF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B59E"/>
  <w15:chartTrackingRefBased/>
  <w15:docId w15:val="{D67A5AA0-E0CB-42AC-8275-CB519F8E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756A"/>
    <w:pPr>
      <w:keepNext/>
      <w:numPr>
        <w:numId w:val="3"/>
      </w:numPr>
      <w:spacing w:after="0" w:line="240" w:lineRule="auto"/>
      <w:outlineLvl w:val="0"/>
    </w:pPr>
    <w:rPr>
      <w:rFonts w:ascii="Arial" w:hAnsi="Arial" w:cs="Arial"/>
      <w:b/>
      <w:bCs/>
      <w:kern w:val="36"/>
      <w:lang w:eastAsia="en-GB"/>
    </w:rPr>
  </w:style>
  <w:style w:type="paragraph" w:styleId="Heading2">
    <w:name w:val="heading 2"/>
    <w:basedOn w:val="Normal"/>
    <w:link w:val="Heading2Char"/>
    <w:uiPriority w:val="9"/>
    <w:semiHidden/>
    <w:unhideWhenUsed/>
    <w:qFormat/>
    <w:rsid w:val="00D8756A"/>
    <w:pPr>
      <w:numPr>
        <w:ilvl w:val="1"/>
        <w:numId w:val="3"/>
      </w:numPr>
      <w:spacing w:after="0" w:line="240" w:lineRule="auto"/>
      <w:outlineLvl w:val="1"/>
    </w:pPr>
    <w:rPr>
      <w:rFonts w:ascii="Arial" w:hAnsi="Arial" w:cs="Arial"/>
      <w:color w:val="080F21"/>
      <w:lang w:eastAsia="en-GB"/>
    </w:rPr>
  </w:style>
  <w:style w:type="paragraph" w:styleId="Heading3">
    <w:name w:val="heading 3"/>
    <w:basedOn w:val="Normal"/>
    <w:link w:val="Heading3Char"/>
    <w:uiPriority w:val="9"/>
    <w:semiHidden/>
    <w:unhideWhenUsed/>
    <w:qFormat/>
    <w:rsid w:val="00D8756A"/>
    <w:pPr>
      <w:keepNext/>
      <w:numPr>
        <w:ilvl w:val="2"/>
        <w:numId w:val="3"/>
      </w:numPr>
      <w:spacing w:after="0" w:line="240" w:lineRule="auto"/>
      <w:outlineLvl w:val="2"/>
    </w:pPr>
    <w:rPr>
      <w:rFonts w:ascii="Arial" w:hAnsi="Arial" w:cs="Arial"/>
      <w:lang w:eastAsia="en-GB"/>
    </w:rPr>
  </w:style>
  <w:style w:type="paragraph" w:styleId="Heading4">
    <w:name w:val="heading 4"/>
    <w:basedOn w:val="Normal"/>
    <w:link w:val="Heading4Char"/>
    <w:uiPriority w:val="9"/>
    <w:semiHidden/>
    <w:unhideWhenUsed/>
    <w:qFormat/>
    <w:rsid w:val="00D8756A"/>
    <w:pPr>
      <w:keepNext/>
      <w:numPr>
        <w:ilvl w:val="3"/>
        <w:numId w:val="3"/>
      </w:numPr>
      <w:spacing w:before="40" w:after="0" w:line="240" w:lineRule="auto"/>
      <w:outlineLvl w:val="3"/>
    </w:pPr>
    <w:rPr>
      <w:rFonts w:ascii="Calibri Light" w:hAnsi="Calibri Light" w:cs="Calibri Light"/>
      <w:i/>
      <w:iCs/>
      <w:color w:val="2F5496"/>
      <w:sz w:val="24"/>
      <w:szCs w:val="24"/>
      <w:lang w:eastAsia="en-GB"/>
    </w:rPr>
  </w:style>
  <w:style w:type="paragraph" w:styleId="Heading5">
    <w:name w:val="heading 5"/>
    <w:basedOn w:val="Normal"/>
    <w:link w:val="Heading5Char"/>
    <w:uiPriority w:val="9"/>
    <w:semiHidden/>
    <w:unhideWhenUsed/>
    <w:qFormat/>
    <w:rsid w:val="00D8756A"/>
    <w:pPr>
      <w:keepNext/>
      <w:numPr>
        <w:ilvl w:val="4"/>
        <w:numId w:val="3"/>
      </w:numPr>
      <w:spacing w:before="40" w:after="0" w:line="240" w:lineRule="auto"/>
      <w:outlineLvl w:val="4"/>
    </w:pPr>
    <w:rPr>
      <w:rFonts w:ascii="Calibri Light" w:hAnsi="Calibri Light" w:cs="Calibri Light"/>
      <w:color w:val="2F5496"/>
      <w:sz w:val="24"/>
      <w:szCs w:val="24"/>
      <w:lang w:eastAsia="en-GB"/>
    </w:rPr>
  </w:style>
  <w:style w:type="paragraph" w:styleId="Heading6">
    <w:name w:val="heading 6"/>
    <w:basedOn w:val="Normal"/>
    <w:link w:val="Heading6Char"/>
    <w:uiPriority w:val="9"/>
    <w:semiHidden/>
    <w:unhideWhenUsed/>
    <w:qFormat/>
    <w:rsid w:val="00D8756A"/>
    <w:pPr>
      <w:keepNext/>
      <w:numPr>
        <w:ilvl w:val="5"/>
        <w:numId w:val="3"/>
      </w:numPr>
      <w:spacing w:before="40" w:after="0" w:line="240" w:lineRule="auto"/>
      <w:outlineLvl w:val="5"/>
    </w:pPr>
    <w:rPr>
      <w:rFonts w:ascii="Calibri Light" w:hAnsi="Calibri Light" w:cs="Calibri Light"/>
      <w:color w:val="1F3763"/>
      <w:sz w:val="24"/>
      <w:szCs w:val="24"/>
      <w:lang w:eastAsia="en-GB"/>
    </w:rPr>
  </w:style>
  <w:style w:type="paragraph" w:styleId="Heading7">
    <w:name w:val="heading 7"/>
    <w:basedOn w:val="Normal"/>
    <w:link w:val="Heading7Char"/>
    <w:uiPriority w:val="9"/>
    <w:semiHidden/>
    <w:unhideWhenUsed/>
    <w:qFormat/>
    <w:rsid w:val="00D8756A"/>
    <w:pPr>
      <w:keepNext/>
      <w:numPr>
        <w:ilvl w:val="6"/>
        <w:numId w:val="3"/>
      </w:numPr>
      <w:spacing w:before="40" w:after="0" w:line="240" w:lineRule="auto"/>
      <w:outlineLvl w:val="6"/>
    </w:pPr>
    <w:rPr>
      <w:rFonts w:ascii="Calibri Light" w:hAnsi="Calibri Light" w:cs="Calibri Light"/>
      <w:i/>
      <w:iCs/>
      <w:color w:val="1F3763"/>
      <w:sz w:val="24"/>
      <w:szCs w:val="24"/>
      <w:lang w:eastAsia="en-GB"/>
    </w:rPr>
  </w:style>
  <w:style w:type="paragraph" w:styleId="Heading8">
    <w:name w:val="heading 8"/>
    <w:basedOn w:val="Normal"/>
    <w:link w:val="Heading8Char"/>
    <w:uiPriority w:val="9"/>
    <w:semiHidden/>
    <w:unhideWhenUsed/>
    <w:qFormat/>
    <w:rsid w:val="00D8756A"/>
    <w:pPr>
      <w:keepNext/>
      <w:numPr>
        <w:ilvl w:val="7"/>
        <w:numId w:val="3"/>
      </w:numPr>
      <w:spacing w:before="40" w:after="0" w:line="240" w:lineRule="auto"/>
      <w:outlineLvl w:val="7"/>
    </w:pPr>
    <w:rPr>
      <w:rFonts w:ascii="Calibri Light" w:hAnsi="Calibri Light" w:cs="Calibri Light"/>
      <w:color w:val="272727"/>
      <w:sz w:val="21"/>
      <w:szCs w:val="21"/>
      <w:lang w:eastAsia="en-GB"/>
    </w:rPr>
  </w:style>
  <w:style w:type="paragraph" w:styleId="Heading9">
    <w:name w:val="heading 9"/>
    <w:basedOn w:val="Normal"/>
    <w:link w:val="Heading9Char"/>
    <w:uiPriority w:val="9"/>
    <w:semiHidden/>
    <w:unhideWhenUsed/>
    <w:qFormat/>
    <w:rsid w:val="00D8756A"/>
    <w:pPr>
      <w:keepNext/>
      <w:numPr>
        <w:ilvl w:val="8"/>
        <w:numId w:val="3"/>
      </w:numPr>
      <w:spacing w:before="40" w:after="0" w:line="240" w:lineRule="auto"/>
      <w:outlineLvl w:val="8"/>
    </w:pPr>
    <w:rPr>
      <w:rFonts w:ascii="Calibri Light" w:hAnsi="Calibri Light" w:cs="Calibri Light"/>
      <w:i/>
      <w:iCs/>
      <w:color w:val="272727"/>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D6"/>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D8756A"/>
    <w:rPr>
      <w:rFonts w:ascii="Arial" w:hAnsi="Arial" w:cs="Arial"/>
      <w:b/>
      <w:bCs/>
      <w:kern w:val="36"/>
      <w:lang w:eastAsia="en-GB"/>
    </w:rPr>
  </w:style>
  <w:style w:type="character" w:customStyle="1" w:styleId="Heading2Char">
    <w:name w:val="Heading 2 Char"/>
    <w:basedOn w:val="DefaultParagraphFont"/>
    <w:link w:val="Heading2"/>
    <w:uiPriority w:val="9"/>
    <w:semiHidden/>
    <w:rsid w:val="00D8756A"/>
    <w:rPr>
      <w:rFonts w:ascii="Arial" w:hAnsi="Arial" w:cs="Arial"/>
      <w:color w:val="080F21"/>
      <w:lang w:eastAsia="en-GB"/>
    </w:rPr>
  </w:style>
  <w:style w:type="character" w:customStyle="1" w:styleId="Heading3Char">
    <w:name w:val="Heading 3 Char"/>
    <w:basedOn w:val="DefaultParagraphFont"/>
    <w:link w:val="Heading3"/>
    <w:uiPriority w:val="9"/>
    <w:semiHidden/>
    <w:rsid w:val="00D8756A"/>
    <w:rPr>
      <w:rFonts w:ascii="Arial" w:hAnsi="Arial" w:cs="Arial"/>
      <w:lang w:eastAsia="en-GB"/>
    </w:rPr>
  </w:style>
  <w:style w:type="character" w:customStyle="1" w:styleId="Heading4Char">
    <w:name w:val="Heading 4 Char"/>
    <w:basedOn w:val="DefaultParagraphFont"/>
    <w:link w:val="Heading4"/>
    <w:uiPriority w:val="9"/>
    <w:semiHidden/>
    <w:rsid w:val="00D8756A"/>
    <w:rPr>
      <w:rFonts w:ascii="Calibri Light" w:hAnsi="Calibri Light" w:cs="Calibri Light"/>
      <w:i/>
      <w:iCs/>
      <w:color w:val="2F5496"/>
      <w:sz w:val="24"/>
      <w:szCs w:val="24"/>
      <w:lang w:eastAsia="en-GB"/>
    </w:rPr>
  </w:style>
  <w:style w:type="character" w:customStyle="1" w:styleId="Heading5Char">
    <w:name w:val="Heading 5 Char"/>
    <w:basedOn w:val="DefaultParagraphFont"/>
    <w:link w:val="Heading5"/>
    <w:uiPriority w:val="9"/>
    <w:semiHidden/>
    <w:rsid w:val="00D8756A"/>
    <w:rPr>
      <w:rFonts w:ascii="Calibri Light" w:hAnsi="Calibri Light" w:cs="Calibri Light"/>
      <w:color w:val="2F5496"/>
      <w:sz w:val="24"/>
      <w:szCs w:val="24"/>
      <w:lang w:eastAsia="en-GB"/>
    </w:rPr>
  </w:style>
  <w:style w:type="character" w:customStyle="1" w:styleId="Heading6Char">
    <w:name w:val="Heading 6 Char"/>
    <w:basedOn w:val="DefaultParagraphFont"/>
    <w:link w:val="Heading6"/>
    <w:uiPriority w:val="9"/>
    <w:semiHidden/>
    <w:rsid w:val="00D8756A"/>
    <w:rPr>
      <w:rFonts w:ascii="Calibri Light" w:hAnsi="Calibri Light" w:cs="Calibri Light"/>
      <w:color w:val="1F3763"/>
      <w:sz w:val="24"/>
      <w:szCs w:val="24"/>
      <w:lang w:eastAsia="en-GB"/>
    </w:rPr>
  </w:style>
  <w:style w:type="character" w:customStyle="1" w:styleId="Heading7Char">
    <w:name w:val="Heading 7 Char"/>
    <w:basedOn w:val="DefaultParagraphFont"/>
    <w:link w:val="Heading7"/>
    <w:uiPriority w:val="9"/>
    <w:semiHidden/>
    <w:rsid w:val="00D8756A"/>
    <w:rPr>
      <w:rFonts w:ascii="Calibri Light" w:hAnsi="Calibri Light" w:cs="Calibri Light"/>
      <w:i/>
      <w:iCs/>
      <w:color w:val="1F3763"/>
      <w:sz w:val="24"/>
      <w:szCs w:val="24"/>
      <w:lang w:eastAsia="en-GB"/>
    </w:rPr>
  </w:style>
  <w:style w:type="character" w:customStyle="1" w:styleId="Heading8Char">
    <w:name w:val="Heading 8 Char"/>
    <w:basedOn w:val="DefaultParagraphFont"/>
    <w:link w:val="Heading8"/>
    <w:uiPriority w:val="9"/>
    <w:semiHidden/>
    <w:rsid w:val="00D8756A"/>
    <w:rPr>
      <w:rFonts w:ascii="Calibri Light" w:hAnsi="Calibri Light" w:cs="Calibri Light"/>
      <w:color w:val="272727"/>
      <w:sz w:val="21"/>
      <w:szCs w:val="21"/>
      <w:lang w:eastAsia="en-GB"/>
    </w:rPr>
  </w:style>
  <w:style w:type="character" w:customStyle="1" w:styleId="Heading9Char">
    <w:name w:val="Heading 9 Char"/>
    <w:basedOn w:val="DefaultParagraphFont"/>
    <w:link w:val="Heading9"/>
    <w:uiPriority w:val="9"/>
    <w:semiHidden/>
    <w:rsid w:val="00D8756A"/>
    <w:rPr>
      <w:rFonts w:ascii="Calibri Light" w:hAnsi="Calibri Light" w:cs="Calibri Light"/>
      <w:i/>
      <w:iCs/>
      <w:color w:val="272727"/>
      <w:sz w:val="21"/>
      <w:szCs w:val="21"/>
      <w:lang w:eastAsia="en-GB"/>
    </w:rPr>
  </w:style>
  <w:style w:type="paragraph" w:customStyle="1" w:styleId="Default">
    <w:name w:val="Default"/>
    <w:basedOn w:val="Normal"/>
    <w:rsid w:val="00D8756A"/>
    <w:pPr>
      <w:autoSpaceDE w:val="0"/>
      <w:autoSpaceDN w:val="0"/>
      <w:spacing w:after="0" w:line="240" w:lineRule="auto"/>
    </w:pPr>
    <w:rPr>
      <w:rFonts w:ascii="Trebuchet MS" w:hAnsi="Trebuchet M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2524">
      <w:bodyDiv w:val="1"/>
      <w:marLeft w:val="0"/>
      <w:marRight w:val="0"/>
      <w:marTop w:val="0"/>
      <w:marBottom w:val="0"/>
      <w:divBdr>
        <w:top w:val="none" w:sz="0" w:space="0" w:color="auto"/>
        <w:left w:val="none" w:sz="0" w:space="0" w:color="auto"/>
        <w:bottom w:val="none" w:sz="0" w:space="0" w:color="auto"/>
        <w:right w:val="none" w:sz="0" w:space="0" w:color="auto"/>
      </w:divBdr>
    </w:div>
    <w:div w:id="593125811">
      <w:bodyDiv w:val="1"/>
      <w:marLeft w:val="0"/>
      <w:marRight w:val="0"/>
      <w:marTop w:val="0"/>
      <w:marBottom w:val="0"/>
      <w:divBdr>
        <w:top w:val="none" w:sz="0" w:space="0" w:color="auto"/>
        <w:left w:val="none" w:sz="0" w:space="0" w:color="auto"/>
        <w:bottom w:val="none" w:sz="0" w:space="0" w:color="auto"/>
        <w:right w:val="none" w:sz="0" w:space="0" w:color="auto"/>
      </w:divBdr>
    </w:div>
    <w:div w:id="623581046">
      <w:bodyDiv w:val="1"/>
      <w:marLeft w:val="0"/>
      <w:marRight w:val="0"/>
      <w:marTop w:val="0"/>
      <w:marBottom w:val="0"/>
      <w:divBdr>
        <w:top w:val="none" w:sz="0" w:space="0" w:color="auto"/>
        <w:left w:val="none" w:sz="0" w:space="0" w:color="auto"/>
        <w:bottom w:val="none" w:sz="0" w:space="0" w:color="auto"/>
        <w:right w:val="none" w:sz="0" w:space="0" w:color="auto"/>
      </w:divBdr>
    </w:div>
    <w:div w:id="679552328">
      <w:bodyDiv w:val="1"/>
      <w:marLeft w:val="0"/>
      <w:marRight w:val="0"/>
      <w:marTop w:val="0"/>
      <w:marBottom w:val="0"/>
      <w:divBdr>
        <w:top w:val="none" w:sz="0" w:space="0" w:color="auto"/>
        <w:left w:val="none" w:sz="0" w:space="0" w:color="auto"/>
        <w:bottom w:val="none" w:sz="0" w:space="0" w:color="auto"/>
        <w:right w:val="none" w:sz="0" w:space="0" w:color="auto"/>
      </w:divBdr>
    </w:div>
    <w:div w:id="750810017">
      <w:bodyDiv w:val="1"/>
      <w:marLeft w:val="0"/>
      <w:marRight w:val="0"/>
      <w:marTop w:val="0"/>
      <w:marBottom w:val="0"/>
      <w:divBdr>
        <w:top w:val="none" w:sz="0" w:space="0" w:color="auto"/>
        <w:left w:val="none" w:sz="0" w:space="0" w:color="auto"/>
        <w:bottom w:val="none" w:sz="0" w:space="0" w:color="auto"/>
        <w:right w:val="none" w:sz="0" w:space="0" w:color="auto"/>
      </w:divBdr>
    </w:div>
    <w:div w:id="865367972">
      <w:bodyDiv w:val="1"/>
      <w:marLeft w:val="0"/>
      <w:marRight w:val="0"/>
      <w:marTop w:val="0"/>
      <w:marBottom w:val="0"/>
      <w:divBdr>
        <w:top w:val="none" w:sz="0" w:space="0" w:color="auto"/>
        <w:left w:val="none" w:sz="0" w:space="0" w:color="auto"/>
        <w:bottom w:val="none" w:sz="0" w:space="0" w:color="auto"/>
        <w:right w:val="none" w:sz="0" w:space="0" w:color="auto"/>
      </w:divBdr>
    </w:div>
    <w:div w:id="1356882572">
      <w:bodyDiv w:val="1"/>
      <w:marLeft w:val="0"/>
      <w:marRight w:val="0"/>
      <w:marTop w:val="0"/>
      <w:marBottom w:val="0"/>
      <w:divBdr>
        <w:top w:val="none" w:sz="0" w:space="0" w:color="auto"/>
        <w:left w:val="none" w:sz="0" w:space="0" w:color="auto"/>
        <w:bottom w:val="none" w:sz="0" w:space="0" w:color="auto"/>
        <w:right w:val="none" w:sz="0" w:space="0" w:color="auto"/>
      </w:divBdr>
    </w:div>
    <w:div w:id="1444685092">
      <w:bodyDiv w:val="1"/>
      <w:marLeft w:val="0"/>
      <w:marRight w:val="0"/>
      <w:marTop w:val="0"/>
      <w:marBottom w:val="0"/>
      <w:divBdr>
        <w:top w:val="none" w:sz="0" w:space="0" w:color="auto"/>
        <w:left w:val="none" w:sz="0" w:space="0" w:color="auto"/>
        <w:bottom w:val="none" w:sz="0" w:space="0" w:color="auto"/>
        <w:right w:val="none" w:sz="0" w:space="0" w:color="auto"/>
      </w:divBdr>
    </w:div>
    <w:div w:id="1446805244">
      <w:bodyDiv w:val="1"/>
      <w:marLeft w:val="0"/>
      <w:marRight w:val="0"/>
      <w:marTop w:val="0"/>
      <w:marBottom w:val="0"/>
      <w:divBdr>
        <w:top w:val="none" w:sz="0" w:space="0" w:color="auto"/>
        <w:left w:val="none" w:sz="0" w:space="0" w:color="auto"/>
        <w:bottom w:val="none" w:sz="0" w:space="0" w:color="auto"/>
        <w:right w:val="none" w:sz="0" w:space="0" w:color="auto"/>
      </w:divBdr>
    </w:div>
    <w:div w:id="1635989115">
      <w:bodyDiv w:val="1"/>
      <w:marLeft w:val="0"/>
      <w:marRight w:val="0"/>
      <w:marTop w:val="0"/>
      <w:marBottom w:val="0"/>
      <w:divBdr>
        <w:top w:val="none" w:sz="0" w:space="0" w:color="auto"/>
        <w:left w:val="none" w:sz="0" w:space="0" w:color="auto"/>
        <w:bottom w:val="none" w:sz="0" w:space="0" w:color="auto"/>
        <w:right w:val="none" w:sz="0" w:space="0" w:color="auto"/>
      </w:divBdr>
    </w:div>
    <w:div w:id="17303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Michelle (North Of Tyne)</dc:creator>
  <cp:keywords/>
  <dc:description/>
  <cp:lastModifiedBy>Stone, Michelle (North Of Tyne)</cp:lastModifiedBy>
  <cp:revision>2</cp:revision>
  <dcterms:created xsi:type="dcterms:W3CDTF">2022-10-06T11:04:00Z</dcterms:created>
  <dcterms:modified xsi:type="dcterms:W3CDTF">2022-10-06T12:14:00Z</dcterms:modified>
</cp:coreProperties>
</file>