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62B3" w14:textId="059EE5AA" w:rsidR="00CA6C6D" w:rsidRDefault="00586945" w:rsidP="00A71F7B">
      <w:pPr>
        <w:pStyle w:val="paragraph"/>
        <w:spacing w:before="0" w:beforeAutospacing="0" w:after="0" w:afterAutospacing="0"/>
        <w:jc w:val="both"/>
        <w:textAlignment w:val="baseline"/>
        <w:rPr>
          <w:rStyle w:val="eop"/>
          <w:rFonts w:ascii="Arial" w:hAnsi="Arial" w:cs="Arial"/>
          <w:color w:val="000000"/>
          <w:sz w:val="22"/>
          <w:szCs w:val="22"/>
        </w:rPr>
      </w:pPr>
      <w:r>
        <w:rPr>
          <w:rFonts w:ascii="Batang" w:eastAsia="Batang" w:hAnsi="Batang"/>
          <w:b/>
          <w:noProof/>
          <w:sz w:val="20"/>
          <w:szCs w:val="22"/>
        </w:rPr>
        <w:drawing>
          <wp:anchor distT="0" distB="0" distL="114300" distR="114300" simplePos="0" relativeHeight="251662336" behindDoc="1" locked="0" layoutInCell="1" allowOverlap="1" wp14:anchorId="59C5D3A2" wp14:editId="61CE556B">
            <wp:simplePos x="0" y="0"/>
            <wp:positionH relativeFrom="column">
              <wp:posOffset>-74295</wp:posOffset>
            </wp:positionH>
            <wp:positionV relativeFrom="paragraph">
              <wp:posOffset>0</wp:posOffset>
            </wp:positionV>
            <wp:extent cx="1628775" cy="1644015"/>
            <wp:effectExtent l="0" t="0" r="9525" b="0"/>
            <wp:wrapTight wrapText="bothSides">
              <wp:wrapPolygon edited="0">
                <wp:start x="0" y="0"/>
                <wp:lineTo x="0" y="21275"/>
                <wp:lineTo x="21474" y="21275"/>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F7B">
        <w:rPr>
          <w:rStyle w:val="eop"/>
          <w:rFonts w:ascii="Arial" w:hAnsi="Arial" w:cs="Arial"/>
          <w:color w:val="000000"/>
          <w:sz w:val="22"/>
          <w:szCs w:val="22"/>
        </w:rPr>
        <w:t> </w:t>
      </w:r>
      <w:bookmarkStart w:id="0" w:name="_Hlk80279164"/>
      <w:bookmarkEnd w:id="0"/>
    </w:p>
    <w:p w14:paraId="2208BA1D" w14:textId="570AEE5F" w:rsidR="00A71F7B" w:rsidRDefault="00B25421" w:rsidP="00CA6C6D">
      <w:pPr>
        <w:rPr>
          <w:rStyle w:val="eop"/>
          <w:rFonts w:ascii="Arial" w:hAnsi="Arial" w:cs="Arial"/>
          <w:color w:val="000000"/>
        </w:rPr>
      </w:pPr>
      <w:r w:rsidRPr="00A71F7B">
        <w:rPr>
          <w:rStyle w:val="eop"/>
          <w:rFonts w:ascii="Arial" w:hAnsi="Arial" w:cs="Arial"/>
          <w:noProof/>
        </w:rPr>
        <mc:AlternateContent>
          <mc:Choice Requires="wps">
            <w:drawing>
              <wp:anchor distT="45720" distB="45720" distL="114300" distR="114300" simplePos="0" relativeHeight="251661312" behindDoc="0" locked="0" layoutInCell="1" allowOverlap="1" wp14:anchorId="15607C2E" wp14:editId="75EF337E">
                <wp:simplePos x="0" y="0"/>
                <wp:positionH relativeFrom="margin">
                  <wp:posOffset>1227455</wp:posOffset>
                </wp:positionH>
                <wp:positionV relativeFrom="paragraph">
                  <wp:posOffset>2357755</wp:posOffset>
                </wp:positionV>
                <wp:extent cx="4410075" cy="2337435"/>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337435"/>
                        </a:xfrm>
                        <a:prstGeom prst="rect">
                          <a:avLst/>
                        </a:prstGeom>
                        <a:solidFill>
                          <a:srgbClr val="FFFFFF"/>
                        </a:solidFill>
                        <a:ln w="9525">
                          <a:noFill/>
                          <a:miter lim="800000"/>
                          <a:headEnd/>
                          <a:tailEnd/>
                        </a:ln>
                      </wps:spPr>
                      <wps:txbx>
                        <w:txbxContent>
                          <w:p w14:paraId="16DD10C1" w14:textId="77777777" w:rsidR="007A5000" w:rsidRDefault="007A5000">
                            <w:pPr>
                              <w:rPr>
                                <w:rFonts w:ascii="Arial" w:hAnsi="Arial" w:cs="Arial"/>
                                <w:b/>
                                <w:bCs/>
                                <w:sz w:val="52"/>
                                <w:szCs w:val="52"/>
                              </w:rPr>
                            </w:pPr>
                            <w:r w:rsidRPr="00057DCD">
                              <w:rPr>
                                <w:rFonts w:ascii="Arial" w:hAnsi="Arial" w:cs="Arial"/>
                                <w:b/>
                                <w:bCs/>
                                <w:sz w:val="52"/>
                                <w:szCs w:val="52"/>
                              </w:rPr>
                              <w:t xml:space="preserve">Call </w:t>
                            </w:r>
                            <w:r>
                              <w:rPr>
                                <w:rFonts w:ascii="Arial" w:hAnsi="Arial" w:cs="Arial"/>
                                <w:b/>
                                <w:bCs/>
                                <w:sz w:val="52"/>
                                <w:szCs w:val="52"/>
                              </w:rPr>
                              <w:t xml:space="preserve">Definition </w:t>
                            </w:r>
                          </w:p>
                          <w:p w14:paraId="54BF0F2D" w14:textId="1BD8B296" w:rsidR="00B25421" w:rsidRDefault="00B25421">
                            <w:pPr>
                              <w:rPr>
                                <w:rFonts w:ascii="Arial" w:hAnsi="Arial" w:cs="Arial"/>
                                <w:b/>
                                <w:bCs/>
                                <w:sz w:val="52"/>
                                <w:szCs w:val="52"/>
                              </w:rPr>
                            </w:pPr>
                            <w:r>
                              <w:rPr>
                                <w:rFonts w:ascii="Arial" w:hAnsi="Arial" w:cs="Arial"/>
                                <w:b/>
                                <w:bCs/>
                                <w:sz w:val="52"/>
                                <w:szCs w:val="52"/>
                              </w:rPr>
                              <w:t xml:space="preserve">Creative People: </w:t>
                            </w:r>
                          </w:p>
                          <w:p w14:paraId="41C13B09" w14:textId="762CEDED" w:rsidR="007A5000" w:rsidRPr="00057DCD" w:rsidRDefault="00B25421">
                            <w:pPr>
                              <w:rPr>
                                <w:rFonts w:ascii="Arial" w:hAnsi="Arial" w:cs="Arial"/>
                                <w:b/>
                                <w:bCs/>
                                <w:sz w:val="52"/>
                                <w:szCs w:val="52"/>
                              </w:rPr>
                            </w:pPr>
                            <w:r>
                              <w:rPr>
                                <w:rFonts w:ascii="Arial" w:hAnsi="Arial" w:cs="Arial"/>
                                <w:b/>
                                <w:bCs/>
                                <w:sz w:val="52"/>
                                <w:szCs w:val="52"/>
                              </w:rPr>
                              <w:t>Skills for the Culture</w:t>
                            </w:r>
                            <w:r w:rsidR="00D00BB8">
                              <w:rPr>
                                <w:rFonts w:ascii="Arial" w:hAnsi="Arial" w:cs="Arial"/>
                                <w:b/>
                                <w:bCs/>
                                <w:sz w:val="52"/>
                                <w:szCs w:val="52"/>
                              </w:rPr>
                              <w:t xml:space="preserve">, </w:t>
                            </w:r>
                            <w:r>
                              <w:rPr>
                                <w:rFonts w:ascii="Arial" w:hAnsi="Arial" w:cs="Arial"/>
                                <w:b/>
                                <w:bCs/>
                                <w:sz w:val="52"/>
                                <w:szCs w:val="52"/>
                              </w:rPr>
                              <w:t xml:space="preserve">Creative </w:t>
                            </w:r>
                            <w:r w:rsidR="00D00BB8">
                              <w:rPr>
                                <w:rFonts w:ascii="Arial" w:hAnsi="Arial" w:cs="Arial"/>
                                <w:b/>
                                <w:bCs/>
                                <w:sz w:val="52"/>
                                <w:szCs w:val="52"/>
                              </w:rPr>
                              <w:t xml:space="preserve">and Tourism </w:t>
                            </w:r>
                            <w:r>
                              <w:rPr>
                                <w:rFonts w:ascii="Arial" w:hAnsi="Arial" w:cs="Arial"/>
                                <w:b/>
                                <w:bCs/>
                                <w:sz w:val="52"/>
                                <w:szCs w:val="52"/>
                              </w:rPr>
                              <w:t xml:space="preserve">Sector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07C2E" id="_x0000_t202" coordsize="21600,21600" o:spt="202" path="m,l,21600r21600,l21600,xe">
                <v:stroke joinstyle="miter"/>
                <v:path gradientshapeok="t" o:connecttype="rect"/>
              </v:shapetype>
              <v:shape id="Text Box 2" o:spid="_x0000_s1026" type="#_x0000_t202" style="position:absolute;margin-left:96.65pt;margin-top:185.65pt;width:347.25pt;height:18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" stroked="f">
                <v:textbox>
                  <w:txbxContent>
                    <w:p w14:paraId="16DD10C1" w14:textId="77777777" w:rsidR="007A5000" w:rsidRDefault="007A5000">
                      <w:pPr>
                        <w:rPr>
                          <w:rFonts w:ascii="Arial" w:hAnsi="Arial" w:cs="Arial"/>
                          <w:b/>
                          <w:bCs/>
                          <w:sz w:val="52"/>
                          <w:szCs w:val="52"/>
                        </w:rPr>
                      </w:pPr>
                      <w:r w:rsidRPr="00057DCD">
                        <w:rPr>
                          <w:rFonts w:ascii="Arial" w:hAnsi="Arial" w:cs="Arial"/>
                          <w:b/>
                          <w:bCs/>
                          <w:sz w:val="52"/>
                          <w:szCs w:val="52"/>
                        </w:rPr>
                        <w:t xml:space="preserve">Call </w:t>
                      </w:r>
                      <w:r>
                        <w:rPr>
                          <w:rFonts w:ascii="Arial" w:hAnsi="Arial" w:cs="Arial"/>
                          <w:b/>
                          <w:bCs/>
                          <w:sz w:val="52"/>
                          <w:szCs w:val="52"/>
                        </w:rPr>
                        <w:t xml:space="preserve">Definition </w:t>
                      </w:r>
                    </w:p>
                    <w:p w14:paraId="54BF0F2D" w14:textId="1BD8B296" w:rsidR="00B25421" w:rsidRDefault="00B25421">
                      <w:pPr>
                        <w:rPr>
                          <w:rFonts w:ascii="Arial" w:hAnsi="Arial" w:cs="Arial"/>
                          <w:b/>
                          <w:bCs/>
                          <w:sz w:val="52"/>
                          <w:szCs w:val="52"/>
                        </w:rPr>
                      </w:pPr>
                      <w:r>
                        <w:rPr>
                          <w:rFonts w:ascii="Arial" w:hAnsi="Arial" w:cs="Arial"/>
                          <w:b/>
                          <w:bCs/>
                          <w:sz w:val="52"/>
                          <w:szCs w:val="52"/>
                        </w:rPr>
                        <w:t xml:space="preserve">Creative People: </w:t>
                      </w:r>
                    </w:p>
                    <w:p w14:paraId="41C13B09" w14:textId="762CEDED" w:rsidR="007A5000" w:rsidRPr="00057DCD" w:rsidRDefault="00B25421">
                      <w:pPr>
                        <w:rPr>
                          <w:rFonts w:ascii="Arial" w:hAnsi="Arial" w:cs="Arial"/>
                          <w:b/>
                          <w:bCs/>
                          <w:sz w:val="52"/>
                          <w:szCs w:val="52"/>
                        </w:rPr>
                      </w:pPr>
                      <w:r>
                        <w:rPr>
                          <w:rFonts w:ascii="Arial" w:hAnsi="Arial" w:cs="Arial"/>
                          <w:b/>
                          <w:bCs/>
                          <w:sz w:val="52"/>
                          <w:szCs w:val="52"/>
                        </w:rPr>
                        <w:t>Skills for the Culture</w:t>
                      </w:r>
                      <w:r w:rsidR="00D00BB8">
                        <w:rPr>
                          <w:rFonts w:ascii="Arial" w:hAnsi="Arial" w:cs="Arial"/>
                          <w:b/>
                          <w:bCs/>
                          <w:sz w:val="52"/>
                          <w:szCs w:val="52"/>
                        </w:rPr>
                        <w:t xml:space="preserve">, </w:t>
                      </w:r>
                      <w:r>
                        <w:rPr>
                          <w:rFonts w:ascii="Arial" w:hAnsi="Arial" w:cs="Arial"/>
                          <w:b/>
                          <w:bCs/>
                          <w:sz w:val="52"/>
                          <w:szCs w:val="52"/>
                        </w:rPr>
                        <w:t xml:space="preserve">Creative </w:t>
                      </w:r>
                      <w:r w:rsidR="00D00BB8">
                        <w:rPr>
                          <w:rFonts w:ascii="Arial" w:hAnsi="Arial" w:cs="Arial"/>
                          <w:b/>
                          <w:bCs/>
                          <w:sz w:val="52"/>
                          <w:szCs w:val="52"/>
                        </w:rPr>
                        <w:t xml:space="preserve">and Tourism </w:t>
                      </w:r>
                      <w:r>
                        <w:rPr>
                          <w:rFonts w:ascii="Arial" w:hAnsi="Arial" w:cs="Arial"/>
                          <w:b/>
                          <w:bCs/>
                          <w:sz w:val="52"/>
                          <w:szCs w:val="52"/>
                        </w:rPr>
                        <w:t xml:space="preserve">Sector </w:t>
                      </w:r>
                    </w:p>
                  </w:txbxContent>
                </v:textbox>
                <w10:wrap type="square" anchorx="margin"/>
              </v:shape>
            </w:pict>
          </mc:Fallback>
        </mc:AlternateContent>
      </w:r>
      <w:r w:rsidR="00057DCD">
        <w:rPr>
          <w:rFonts w:ascii="Arial" w:hAnsi="Arial" w:cs="Arial"/>
          <w:noProof/>
          <w:color w:val="000000"/>
        </w:rPr>
        <w:drawing>
          <wp:anchor distT="0" distB="0" distL="114300" distR="114300" simplePos="0" relativeHeight="251663360" behindDoc="1" locked="0" layoutInCell="1" allowOverlap="1" wp14:anchorId="321ABE9B" wp14:editId="1AE80087">
            <wp:simplePos x="0" y="0"/>
            <wp:positionH relativeFrom="margin">
              <wp:align>center</wp:align>
            </wp:positionH>
            <wp:positionV relativeFrom="paragraph">
              <wp:posOffset>7886065</wp:posOffset>
            </wp:positionV>
            <wp:extent cx="4688230" cy="1018120"/>
            <wp:effectExtent l="0" t="0" r="0" b="0"/>
            <wp:wrapTight wrapText="bothSides">
              <wp:wrapPolygon edited="0">
                <wp:start x="9742" y="404"/>
                <wp:lineTo x="351" y="6468"/>
                <wp:lineTo x="263" y="11319"/>
                <wp:lineTo x="1404" y="14148"/>
                <wp:lineTo x="8075" y="19808"/>
                <wp:lineTo x="9304" y="20616"/>
                <wp:lineTo x="9742" y="20616"/>
                <wp:lineTo x="12639" y="19808"/>
                <wp:lineTo x="12814" y="18191"/>
                <wp:lineTo x="11673" y="14148"/>
                <wp:lineTo x="16237" y="14148"/>
                <wp:lineTo x="21152" y="10915"/>
                <wp:lineTo x="21240" y="7681"/>
                <wp:lineTo x="10445" y="404"/>
                <wp:lineTo x="9742" y="404"/>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88230" cy="1018120"/>
                    </a:xfrm>
                    <a:prstGeom prst="rect">
                      <a:avLst/>
                    </a:prstGeom>
                  </pic:spPr>
                </pic:pic>
              </a:graphicData>
            </a:graphic>
            <wp14:sizeRelH relativeFrom="page">
              <wp14:pctWidth>0</wp14:pctWidth>
            </wp14:sizeRelH>
            <wp14:sizeRelV relativeFrom="page">
              <wp14:pctHeight>0</wp14:pctHeight>
            </wp14:sizeRelV>
          </wp:anchor>
        </w:drawing>
      </w:r>
      <w:r w:rsidR="00CA6C6D">
        <w:rPr>
          <w:rStyle w:val="eop"/>
          <w:rFonts w:ascii="Arial" w:hAnsi="Arial" w:cs="Arial"/>
          <w:color w:val="000000"/>
        </w:rPr>
        <w:br w:type="page"/>
      </w:r>
    </w:p>
    <w:sdt>
      <w:sdtPr>
        <w:rPr>
          <w:rFonts w:asciiTheme="minorHAnsi" w:eastAsiaTheme="minorHAnsi" w:hAnsiTheme="minorHAnsi" w:cstheme="minorBidi"/>
          <w:color w:val="auto"/>
          <w:sz w:val="22"/>
          <w:szCs w:val="22"/>
          <w:lang w:val="en-GB"/>
        </w:rPr>
        <w:id w:val="167293857"/>
        <w:docPartObj>
          <w:docPartGallery w:val="Table of Contents"/>
          <w:docPartUnique/>
        </w:docPartObj>
      </w:sdtPr>
      <w:sdtEndPr>
        <w:rPr>
          <w:b/>
          <w:bCs/>
          <w:noProof/>
        </w:rPr>
      </w:sdtEndPr>
      <w:sdtContent>
        <w:p w14:paraId="28271678" w14:textId="65A44BC7" w:rsidR="00057DCD" w:rsidRPr="00057DCD" w:rsidRDefault="00057DCD">
          <w:pPr>
            <w:pStyle w:val="TOCHeading"/>
            <w:rPr>
              <w:rFonts w:ascii="Arial" w:hAnsi="Arial" w:cs="Arial"/>
              <w:b/>
              <w:bCs/>
              <w:color w:val="auto"/>
            </w:rPr>
          </w:pPr>
          <w:r w:rsidRPr="00057DCD">
            <w:rPr>
              <w:rFonts w:ascii="Arial" w:hAnsi="Arial" w:cs="Arial"/>
              <w:b/>
              <w:bCs/>
              <w:color w:val="auto"/>
            </w:rPr>
            <w:t>Contents</w:t>
          </w:r>
        </w:p>
        <w:p w14:paraId="6AFBFD90" w14:textId="77777777" w:rsidR="00057DCD" w:rsidRPr="00B25421" w:rsidRDefault="00057DCD" w:rsidP="00057DCD">
          <w:pPr>
            <w:rPr>
              <w:rFonts w:ascii="Arial" w:hAnsi="Arial" w:cs="Arial"/>
              <w:sz w:val="28"/>
              <w:szCs w:val="28"/>
              <w:lang w:val="en-US"/>
            </w:rPr>
          </w:pPr>
        </w:p>
        <w:p w14:paraId="2CEFE12B" w14:textId="492226AA" w:rsidR="00B25421" w:rsidRPr="00B25421" w:rsidRDefault="00057DCD">
          <w:pPr>
            <w:pStyle w:val="TOC1"/>
            <w:tabs>
              <w:tab w:val="left" w:pos="440"/>
              <w:tab w:val="right" w:leader="dot" w:pos="10194"/>
            </w:tabs>
            <w:rPr>
              <w:rFonts w:ascii="Arial" w:eastAsiaTheme="minorEastAsia" w:hAnsi="Arial" w:cs="Arial"/>
              <w:noProof/>
              <w:sz w:val="28"/>
              <w:szCs w:val="28"/>
              <w:lang w:eastAsia="en-GB"/>
            </w:rPr>
          </w:pPr>
          <w:r w:rsidRPr="00B25421">
            <w:rPr>
              <w:rFonts w:ascii="Arial" w:hAnsi="Arial" w:cs="Arial"/>
              <w:sz w:val="28"/>
              <w:szCs w:val="28"/>
            </w:rPr>
            <w:fldChar w:fldCharType="begin"/>
          </w:r>
          <w:r w:rsidRPr="00B25421">
            <w:rPr>
              <w:rFonts w:ascii="Arial" w:hAnsi="Arial" w:cs="Arial"/>
              <w:sz w:val="28"/>
              <w:szCs w:val="28"/>
            </w:rPr>
            <w:instrText xml:space="preserve"> TOC \o "1-3" \h \z \u </w:instrText>
          </w:r>
          <w:r w:rsidRPr="00B25421">
            <w:rPr>
              <w:rFonts w:ascii="Arial" w:hAnsi="Arial" w:cs="Arial"/>
              <w:sz w:val="28"/>
              <w:szCs w:val="28"/>
            </w:rPr>
            <w:fldChar w:fldCharType="separate"/>
          </w:r>
          <w:hyperlink w:anchor="_Toc84450575" w:history="1">
            <w:r w:rsidR="00B25421" w:rsidRPr="00B25421">
              <w:rPr>
                <w:rStyle w:val="Hyperlink"/>
                <w:rFonts w:ascii="Arial" w:hAnsi="Arial" w:cs="Arial"/>
                <w:noProof/>
                <w:sz w:val="28"/>
                <w:szCs w:val="28"/>
              </w:rPr>
              <w:t>1.</w:t>
            </w:r>
            <w:r w:rsidR="00B25421" w:rsidRPr="00B25421">
              <w:rPr>
                <w:rFonts w:ascii="Arial" w:eastAsiaTheme="minorEastAsia" w:hAnsi="Arial" w:cs="Arial"/>
                <w:noProof/>
                <w:sz w:val="28"/>
                <w:szCs w:val="28"/>
                <w:lang w:eastAsia="en-GB"/>
              </w:rPr>
              <w:tab/>
            </w:r>
            <w:r w:rsidR="00B25421" w:rsidRPr="00B25421">
              <w:rPr>
                <w:rStyle w:val="Hyperlink"/>
                <w:rFonts w:ascii="Arial" w:hAnsi="Arial" w:cs="Arial"/>
                <w:noProof/>
                <w:sz w:val="28"/>
                <w:szCs w:val="28"/>
              </w:rPr>
              <w:t>Introduction</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_Toc84450575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sidR="00D00BB8">
              <w:rPr>
                <w:rFonts w:ascii="Arial" w:hAnsi="Arial" w:cs="Arial"/>
                <w:noProof/>
                <w:webHidden/>
                <w:sz w:val="28"/>
                <w:szCs w:val="28"/>
              </w:rPr>
              <w:t>3</w:t>
            </w:r>
            <w:r w:rsidR="00B25421" w:rsidRPr="00B25421">
              <w:rPr>
                <w:rFonts w:ascii="Arial" w:hAnsi="Arial" w:cs="Arial"/>
                <w:noProof/>
                <w:webHidden/>
                <w:sz w:val="28"/>
                <w:szCs w:val="28"/>
              </w:rPr>
              <w:fldChar w:fldCharType="end"/>
            </w:r>
          </w:hyperlink>
        </w:p>
        <w:p w14:paraId="099DF9A1" w14:textId="7F3E734F" w:rsidR="00B25421" w:rsidRPr="00B25421" w:rsidRDefault="00D00BB8">
          <w:pPr>
            <w:pStyle w:val="TOC1"/>
            <w:tabs>
              <w:tab w:val="left" w:pos="440"/>
              <w:tab w:val="right" w:leader="dot" w:pos="10194"/>
            </w:tabs>
            <w:rPr>
              <w:rFonts w:ascii="Arial" w:eastAsiaTheme="minorEastAsia" w:hAnsi="Arial" w:cs="Arial"/>
              <w:noProof/>
              <w:sz w:val="28"/>
              <w:szCs w:val="28"/>
              <w:lang w:eastAsia="en-GB"/>
            </w:rPr>
          </w:pPr>
          <w:hyperlink w:anchor="_Toc84450576" w:history="1">
            <w:r w:rsidR="00B25421" w:rsidRPr="00B25421">
              <w:rPr>
                <w:rStyle w:val="Hyperlink"/>
                <w:rFonts w:ascii="Arial" w:hAnsi="Arial" w:cs="Arial"/>
                <w:noProof/>
                <w:sz w:val="28"/>
                <w:szCs w:val="28"/>
              </w:rPr>
              <w:t>2.</w:t>
            </w:r>
            <w:r w:rsidR="00B25421" w:rsidRPr="00B25421">
              <w:rPr>
                <w:rFonts w:ascii="Arial" w:eastAsiaTheme="minorEastAsia" w:hAnsi="Arial" w:cs="Arial"/>
                <w:noProof/>
                <w:sz w:val="28"/>
                <w:szCs w:val="28"/>
                <w:lang w:eastAsia="en-GB"/>
              </w:rPr>
              <w:tab/>
            </w:r>
            <w:r w:rsidR="00B25421" w:rsidRPr="00B25421">
              <w:rPr>
                <w:rStyle w:val="Hyperlink"/>
                <w:rFonts w:ascii="Arial" w:hAnsi="Arial" w:cs="Arial"/>
                <w:noProof/>
                <w:sz w:val="28"/>
                <w:szCs w:val="28"/>
              </w:rPr>
              <w:t>Background &amp; Strategic Context</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_Toc84450576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3</w:t>
            </w:r>
            <w:r w:rsidR="00B25421" w:rsidRPr="00B25421">
              <w:rPr>
                <w:rFonts w:ascii="Arial" w:hAnsi="Arial" w:cs="Arial"/>
                <w:noProof/>
                <w:webHidden/>
                <w:sz w:val="28"/>
                <w:szCs w:val="28"/>
              </w:rPr>
              <w:fldChar w:fldCharType="end"/>
            </w:r>
          </w:hyperlink>
        </w:p>
        <w:p w14:paraId="0C7E4226" w14:textId="73138EC2" w:rsidR="00B25421" w:rsidRPr="00B25421" w:rsidRDefault="00D00BB8">
          <w:pPr>
            <w:pStyle w:val="TOC1"/>
            <w:tabs>
              <w:tab w:val="left" w:pos="440"/>
              <w:tab w:val="right" w:leader="dot" w:pos="10194"/>
            </w:tabs>
            <w:rPr>
              <w:rFonts w:ascii="Arial" w:eastAsiaTheme="minorEastAsia" w:hAnsi="Arial" w:cs="Arial"/>
              <w:noProof/>
              <w:sz w:val="28"/>
              <w:szCs w:val="28"/>
              <w:lang w:eastAsia="en-GB"/>
            </w:rPr>
          </w:pPr>
          <w:hyperlink w:anchor="_Toc84450577" w:history="1">
            <w:r w:rsidR="00B25421" w:rsidRPr="00B25421">
              <w:rPr>
                <w:rStyle w:val="Hyperlink"/>
                <w:rFonts w:ascii="Arial" w:hAnsi="Arial" w:cs="Arial"/>
                <w:noProof/>
                <w:sz w:val="28"/>
                <w:szCs w:val="28"/>
              </w:rPr>
              <w:t>3.</w:t>
            </w:r>
            <w:r w:rsidR="00B25421" w:rsidRPr="00B25421">
              <w:rPr>
                <w:rFonts w:ascii="Arial" w:eastAsiaTheme="minorEastAsia" w:hAnsi="Arial" w:cs="Arial"/>
                <w:noProof/>
                <w:sz w:val="28"/>
                <w:szCs w:val="28"/>
                <w:lang w:eastAsia="en-GB"/>
              </w:rPr>
              <w:tab/>
            </w:r>
            <w:r w:rsidR="00B25421" w:rsidRPr="00B25421">
              <w:rPr>
                <w:rStyle w:val="Hyperlink"/>
                <w:rFonts w:ascii="Arial" w:hAnsi="Arial" w:cs="Arial"/>
                <w:noProof/>
                <w:sz w:val="28"/>
                <w:szCs w:val="28"/>
              </w:rPr>
              <w:t>Skills for the Culture and Creative Sector</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_Toc84450577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4</w:t>
            </w:r>
            <w:r w:rsidR="00B25421" w:rsidRPr="00B25421">
              <w:rPr>
                <w:rFonts w:ascii="Arial" w:hAnsi="Arial" w:cs="Arial"/>
                <w:noProof/>
                <w:webHidden/>
                <w:sz w:val="28"/>
                <w:szCs w:val="28"/>
              </w:rPr>
              <w:fldChar w:fldCharType="end"/>
            </w:r>
          </w:hyperlink>
        </w:p>
        <w:p w14:paraId="62BC692B" w14:textId="2E1778AA" w:rsidR="00B25421" w:rsidRPr="00B25421" w:rsidRDefault="00D00BB8">
          <w:pPr>
            <w:pStyle w:val="TOC1"/>
            <w:tabs>
              <w:tab w:val="left" w:pos="440"/>
              <w:tab w:val="right" w:leader="dot" w:pos="10194"/>
            </w:tabs>
            <w:rPr>
              <w:rFonts w:ascii="Arial" w:eastAsiaTheme="minorEastAsia" w:hAnsi="Arial" w:cs="Arial"/>
              <w:noProof/>
              <w:sz w:val="28"/>
              <w:szCs w:val="28"/>
              <w:lang w:eastAsia="en-GB"/>
            </w:rPr>
          </w:pPr>
          <w:hyperlink w:anchor="_Toc84450578" w:history="1">
            <w:r w:rsidR="00B25421" w:rsidRPr="00B25421">
              <w:rPr>
                <w:rStyle w:val="Hyperlink"/>
                <w:rFonts w:ascii="Arial" w:hAnsi="Arial" w:cs="Arial"/>
                <w:noProof/>
                <w:sz w:val="28"/>
                <w:szCs w:val="28"/>
              </w:rPr>
              <w:t>4.</w:t>
            </w:r>
            <w:r w:rsidR="00B25421" w:rsidRPr="00B25421">
              <w:rPr>
                <w:rFonts w:ascii="Arial" w:eastAsiaTheme="minorEastAsia" w:hAnsi="Arial" w:cs="Arial"/>
                <w:noProof/>
                <w:sz w:val="28"/>
                <w:szCs w:val="28"/>
                <w:lang w:eastAsia="en-GB"/>
              </w:rPr>
              <w:tab/>
            </w:r>
            <w:r w:rsidR="00B25421" w:rsidRPr="00B25421">
              <w:rPr>
                <w:rStyle w:val="Hyperlink"/>
                <w:rFonts w:ascii="Arial" w:hAnsi="Arial" w:cs="Arial"/>
                <w:noProof/>
                <w:sz w:val="28"/>
                <w:szCs w:val="28"/>
              </w:rPr>
              <w:t>Call Details: Overarching Principles</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_Toc84450578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5</w:t>
            </w:r>
            <w:r w:rsidR="00B25421" w:rsidRPr="00B25421">
              <w:rPr>
                <w:rFonts w:ascii="Arial" w:hAnsi="Arial" w:cs="Arial"/>
                <w:noProof/>
                <w:webHidden/>
                <w:sz w:val="28"/>
                <w:szCs w:val="28"/>
              </w:rPr>
              <w:fldChar w:fldCharType="end"/>
            </w:r>
          </w:hyperlink>
        </w:p>
        <w:p w14:paraId="711B8DC1" w14:textId="47B38651" w:rsidR="00B25421" w:rsidRPr="00B25421" w:rsidRDefault="00D00BB8">
          <w:pPr>
            <w:pStyle w:val="TOC1"/>
            <w:tabs>
              <w:tab w:val="left" w:pos="440"/>
              <w:tab w:val="right" w:leader="dot" w:pos="10194"/>
            </w:tabs>
            <w:rPr>
              <w:rFonts w:ascii="Arial" w:eastAsiaTheme="minorEastAsia" w:hAnsi="Arial" w:cs="Arial"/>
              <w:noProof/>
              <w:sz w:val="28"/>
              <w:szCs w:val="28"/>
              <w:lang w:eastAsia="en-GB"/>
            </w:rPr>
          </w:pPr>
          <w:hyperlink w:anchor="_Toc84450579" w:history="1">
            <w:r w:rsidR="00B25421" w:rsidRPr="00B25421">
              <w:rPr>
                <w:rStyle w:val="Hyperlink"/>
                <w:rFonts w:ascii="Arial" w:hAnsi="Arial" w:cs="Arial"/>
                <w:noProof/>
                <w:sz w:val="28"/>
                <w:szCs w:val="28"/>
              </w:rPr>
              <w:t>5.</w:t>
            </w:r>
            <w:r w:rsidR="00B25421" w:rsidRPr="00B25421">
              <w:rPr>
                <w:rFonts w:ascii="Arial" w:eastAsiaTheme="minorEastAsia" w:hAnsi="Arial" w:cs="Arial"/>
                <w:noProof/>
                <w:sz w:val="28"/>
                <w:szCs w:val="28"/>
                <w:lang w:eastAsia="en-GB"/>
              </w:rPr>
              <w:tab/>
            </w:r>
            <w:r w:rsidR="00B25421" w:rsidRPr="00B25421">
              <w:rPr>
                <w:rStyle w:val="Hyperlink"/>
                <w:rFonts w:ascii="Arial" w:hAnsi="Arial" w:cs="Arial"/>
                <w:noProof/>
                <w:sz w:val="28"/>
                <w:szCs w:val="28"/>
              </w:rPr>
              <w:t>Funding priorities</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_Toc84450579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5</w:t>
            </w:r>
            <w:r w:rsidR="00B25421" w:rsidRPr="00B25421">
              <w:rPr>
                <w:rFonts w:ascii="Arial" w:hAnsi="Arial" w:cs="Arial"/>
                <w:noProof/>
                <w:webHidden/>
                <w:sz w:val="28"/>
                <w:szCs w:val="28"/>
              </w:rPr>
              <w:fldChar w:fldCharType="end"/>
            </w:r>
          </w:hyperlink>
        </w:p>
        <w:p w14:paraId="491A1DF9" w14:textId="55394AC5" w:rsidR="00B25421" w:rsidRPr="00B25421" w:rsidRDefault="00D00BB8">
          <w:pPr>
            <w:pStyle w:val="TOC1"/>
            <w:tabs>
              <w:tab w:val="left" w:pos="440"/>
              <w:tab w:val="right" w:leader="dot" w:pos="10194"/>
            </w:tabs>
            <w:rPr>
              <w:rFonts w:ascii="Arial" w:eastAsiaTheme="minorEastAsia" w:hAnsi="Arial" w:cs="Arial"/>
              <w:noProof/>
              <w:sz w:val="28"/>
              <w:szCs w:val="28"/>
              <w:lang w:eastAsia="en-GB"/>
            </w:rPr>
          </w:pPr>
          <w:hyperlink w:anchor="_Toc84450580" w:history="1">
            <w:r w:rsidR="00B25421" w:rsidRPr="00B25421">
              <w:rPr>
                <w:rStyle w:val="Hyperlink"/>
                <w:rFonts w:ascii="Arial" w:hAnsi="Arial" w:cs="Arial"/>
                <w:noProof/>
                <w:sz w:val="28"/>
                <w:szCs w:val="28"/>
              </w:rPr>
              <w:t>6.</w:t>
            </w:r>
            <w:r w:rsidR="00B25421" w:rsidRPr="00B25421">
              <w:rPr>
                <w:rFonts w:ascii="Arial" w:eastAsiaTheme="minorEastAsia" w:hAnsi="Arial" w:cs="Arial"/>
                <w:noProof/>
                <w:sz w:val="28"/>
                <w:szCs w:val="28"/>
                <w:lang w:eastAsia="en-GB"/>
              </w:rPr>
              <w:tab/>
            </w:r>
            <w:r w:rsidR="00B25421" w:rsidRPr="00B25421">
              <w:rPr>
                <w:rStyle w:val="Hyperlink"/>
                <w:rFonts w:ascii="Arial" w:hAnsi="Arial" w:cs="Arial"/>
                <w:noProof/>
                <w:sz w:val="28"/>
                <w:szCs w:val="28"/>
              </w:rPr>
              <w:t>Outcomes</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_Toc84450580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7</w:t>
            </w:r>
            <w:r w:rsidR="00B25421" w:rsidRPr="00B25421">
              <w:rPr>
                <w:rFonts w:ascii="Arial" w:hAnsi="Arial" w:cs="Arial"/>
                <w:noProof/>
                <w:webHidden/>
                <w:sz w:val="28"/>
                <w:szCs w:val="28"/>
              </w:rPr>
              <w:fldChar w:fldCharType="end"/>
            </w:r>
          </w:hyperlink>
        </w:p>
        <w:p w14:paraId="09FCB2DA" w14:textId="3FC715DB" w:rsidR="00B25421" w:rsidRPr="00B25421" w:rsidRDefault="00D00BB8">
          <w:pPr>
            <w:pStyle w:val="TOC1"/>
            <w:tabs>
              <w:tab w:val="left" w:pos="440"/>
              <w:tab w:val="right" w:leader="dot" w:pos="10194"/>
            </w:tabs>
            <w:rPr>
              <w:rFonts w:ascii="Arial" w:eastAsiaTheme="minorEastAsia" w:hAnsi="Arial" w:cs="Arial"/>
              <w:noProof/>
              <w:sz w:val="28"/>
              <w:szCs w:val="28"/>
              <w:lang w:eastAsia="en-GB"/>
            </w:rPr>
          </w:pPr>
          <w:hyperlink w:anchor="_Toc84450581" w:history="1">
            <w:r w:rsidR="00B25421" w:rsidRPr="00B25421">
              <w:rPr>
                <w:rStyle w:val="Hyperlink"/>
                <w:rFonts w:ascii="Arial" w:eastAsia="Batang" w:hAnsi="Arial" w:cs="Arial"/>
                <w:noProof/>
                <w:sz w:val="28"/>
                <w:szCs w:val="28"/>
              </w:rPr>
              <w:t>7.</w:t>
            </w:r>
            <w:r w:rsidR="00B25421" w:rsidRPr="00B25421">
              <w:rPr>
                <w:rFonts w:ascii="Arial" w:eastAsiaTheme="minorEastAsia" w:hAnsi="Arial" w:cs="Arial"/>
                <w:noProof/>
                <w:sz w:val="28"/>
                <w:szCs w:val="28"/>
                <w:lang w:eastAsia="en-GB"/>
              </w:rPr>
              <w:tab/>
            </w:r>
            <w:r w:rsidR="00B25421" w:rsidRPr="00B25421">
              <w:rPr>
                <w:rStyle w:val="Hyperlink"/>
                <w:rFonts w:ascii="Arial" w:eastAsia="Batang" w:hAnsi="Arial" w:cs="Arial"/>
                <w:noProof/>
                <w:sz w:val="28"/>
                <w:szCs w:val="28"/>
              </w:rPr>
              <w:t>Outputs</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_Toc84450581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7</w:t>
            </w:r>
            <w:r w:rsidR="00B25421" w:rsidRPr="00B25421">
              <w:rPr>
                <w:rFonts w:ascii="Arial" w:hAnsi="Arial" w:cs="Arial"/>
                <w:noProof/>
                <w:webHidden/>
                <w:sz w:val="28"/>
                <w:szCs w:val="28"/>
              </w:rPr>
              <w:fldChar w:fldCharType="end"/>
            </w:r>
          </w:hyperlink>
        </w:p>
        <w:p w14:paraId="3E65FD0F" w14:textId="4E176178" w:rsidR="00B25421" w:rsidRPr="00B25421" w:rsidRDefault="00D00BB8">
          <w:pPr>
            <w:pStyle w:val="TOC1"/>
            <w:tabs>
              <w:tab w:val="left" w:pos="440"/>
              <w:tab w:val="right" w:leader="dot" w:pos="10194"/>
            </w:tabs>
            <w:rPr>
              <w:rFonts w:ascii="Arial" w:eastAsiaTheme="minorEastAsia" w:hAnsi="Arial" w:cs="Arial"/>
              <w:noProof/>
              <w:sz w:val="28"/>
              <w:szCs w:val="28"/>
              <w:lang w:eastAsia="en-GB"/>
            </w:rPr>
          </w:pPr>
          <w:hyperlink w:anchor="_Toc84450582" w:history="1">
            <w:r w:rsidR="00B25421" w:rsidRPr="00B25421">
              <w:rPr>
                <w:rStyle w:val="Hyperlink"/>
                <w:rFonts w:ascii="Arial" w:hAnsi="Arial" w:cs="Arial"/>
                <w:noProof/>
                <w:sz w:val="28"/>
                <w:szCs w:val="28"/>
              </w:rPr>
              <w:t>8.</w:t>
            </w:r>
            <w:r w:rsidR="00B25421" w:rsidRPr="00B25421">
              <w:rPr>
                <w:rFonts w:ascii="Arial" w:eastAsiaTheme="minorEastAsia" w:hAnsi="Arial" w:cs="Arial"/>
                <w:noProof/>
                <w:sz w:val="28"/>
                <w:szCs w:val="28"/>
                <w:lang w:eastAsia="en-GB"/>
              </w:rPr>
              <w:tab/>
            </w:r>
            <w:r w:rsidR="00B25421" w:rsidRPr="00B25421">
              <w:rPr>
                <w:rStyle w:val="Hyperlink"/>
                <w:rFonts w:ascii="Arial" w:hAnsi="Arial" w:cs="Arial"/>
                <w:noProof/>
                <w:sz w:val="28"/>
                <w:szCs w:val="28"/>
              </w:rPr>
              <w:t>Submission of Proposals</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_Toc84450582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7</w:t>
            </w:r>
            <w:r w:rsidR="00B25421" w:rsidRPr="00B25421">
              <w:rPr>
                <w:rFonts w:ascii="Arial" w:hAnsi="Arial" w:cs="Arial"/>
                <w:noProof/>
                <w:webHidden/>
                <w:sz w:val="28"/>
                <w:szCs w:val="28"/>
              </w:rPr>
              <w:fldChar w:fldCharType="end"/>
            </w:r>
          </w:hyperlink>
        </w:p>
        <w:p w14:paraId="69A9F433" w14:textId="0292F47F" w:rsidR="00B25421" w:rsidRPr="00B25421" w:rsidRDefault="00D00BB8">
          <w:pPr>
            <w:pStyle w:val="TOC1"/>
            <w:tabs>
              <w:tab w:val="left" w:pos="440"/>
              <w:tab w:val="right" w:leader="dot" w:pos="10194"/>
            </w:tabs>
            <w:rPr>
              <w:rFonts w:ascii="Arial" w:eastAsiaTheme="minorEastAsia" w:hAnsi="Arial" w:cs="Arial"/>
              <w:noProof/>
              <w:sz w:val="28"/>
              <w:szCs w:val="28"/>
              <w:lang w:eastAsia="en-GB"/>
            </w:rPr>
          </w:pPr>
          <w:hyperlink w:anchor="_Toc84450583" w:history="1">
            <w:r w:rsidR="00B25421" w:rsidRPr="00B25421">
              <w:rPr>
                <w:rStyle w:val="Hyperlink"/>
                <w:rFonts w:ascii="Arial" w:hAnsi="Arial" w:cs="Arial"/>
                <w:noProof/>
                <w:sz w:val="28"/>
                <w:szCs w:val="28"/>
              </w:rPr>
              <w:t>9.</w:t>
            </w:r>
            <w:r w:rsidR="00B25421" w:rsidRPr="00B25421">
              <w:rPr>
                <w:rFonts w:ascii="Arial" w:eastAsiaTheme="minorEastAsia" w:hAnsi="Arial" w:cs="Arial"/>
                <w:noProof/>
                <w:sz w:val="28"/>
                <w:szCs w:val="28"/>
                <w:lang w:eastAsia="en-GB"/>
              </w:rPr>
              <w:tab/>
            </w:r>
            <w:r w:rsidR="00B25421" w:rsidRPr="00B25421">
              <w:rPr>
                <w:rStyle w:val="Hyperlink"/>
                <w:rFonts w:ascii="Arial" w:hAnsi="Arial" w:cs="Arial"/>
                <w:noProof/>
                <w:sz w:val="28"/>
                <w:szCs w:val="28"/>
              </w:rPr>
              <w:t>Assessment &amp; Selection Process</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_Toc84450583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8</w:t>
            </w:r>
            <w:r w:rsidR="00B25421" w:rsidRPr="00B25421">
              <w:rPr>
                <w:rFonts w:ascii="Arial" w:hAnsi="Arial" w:cs="Arial"/>
                <w:noProof/>
                <w:webHidden/>
                <w:sz w:val="28"/>
                <w:szCs w:val="28"/>
              </w:rPr>
              <w:fldChar w:fldCharType="end"/>
            </w:r>
          </w:hyperlink>
        </w:p>
        <w:p w14:paraId="380A3ADE" w14:textId="2564FC37" w:rsidR="00B25421" w:rsidRPr="00B25421" w:rsidRDefault="00D00BB8">
          <w:pPr>
            <w:pStyle w:val="TOC1"/>
            <w:tabs>
              <w:tab w:val="left" w:pos="660"/>
              <w:tab w:val="right" w:leader="dot" w:pos="10194"/>
            </w:tabs>
            <w:rPr>
              <w:rFonts w:ascii="Arial" w:eastAsiaTheme="minorEastAsia" w:hAnsi="Arial" w:cs="Arial"/>
              <w:noProof/>
              <w:sz w:val="28"/>
              <w:szCs w:val="28"/>
              <w:lang w:eastAsia="en-GB"/>
            </w:rPr>
          </w:pPr>
          <w:hyperlink w:anchor="_Toc84450584" w:history="1">
            <w:r w:rsidR="00B25421" w:rsidRPr="00B25421">
              <w:rPr>
                <w:rStyle w:val="Hyperlink"/>
                <w:rFonts w:ascii="Arial" w:hAnsi="Arial" w:cs="Arial"/>
                <w:noProof/>
                <w:sz w:val="28"/>
                <w:szCs w:val="28"/>
              </w:rPr>
              <w:t>10.Subsidy Control</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_Toc84450584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10</w:t>
            </w:r>
            <w:r w:rsidR="00B25421" w:rsidRPr="00B25421">
              <w:rPr>
                <w:rFonts w:ascii="Arial" w:hAnsi="Arial" w:cs="Arial"/>
                <w:noProof/>
                <w:webHidden/>
                <w:sz w:val="28"/>
                <w:szCs w:val="28"/>
              </w:rPr>
              <w:fldChar w:fldCharType="end"/>
            </w:r>
          </w:hyperlink>
        </w:p>
        <w:p w14:paraId="7B813787" w14:textId="504A163F" w:rsidR="00B25421" w:rsidRPr="00B25421" w:rsidRDefault="00D00BB8">
          <w:pPr>
            <w:pStyle w:val="TOC1"/>
            <w:tabs>
              <w:tab w:val="left" w:pos="660"/>
              <w:tab w:val="right" w:leader="dot" w:pos="10194"/>
            </w:tabs>
            <w:rPr>
              <w:rFonts w:ascii="Arial" w:eastAsiaTheme="minorEastAsia" w:hAnsi="Arial" w:cs="Arial"/>
              <w:noProof/>
              <w:sz w:val="28"/>
              <w:szCs w:val="28"/>
              <w:lang w:eastAsia="en-GB"/>
            </w:rPr>
          </w:pPr>
          <w:hyperlink w:anchor="_Toc84450585" w:history="1">
            <w:r w:rsidR="00B25421" w:rsidRPr="00B25421">
              <w:rPr>
                <w:rStyle w:val="Hyperlink"/>
                <w:rFonts w:ascii="Arial" w:hAnsi="Arial" w:cs="Arial"/>
                <w:noProof/>
                <w:sz w:val="28"/>
                <w:szCs w:val="28"/>
              </w:rPr>
              <w:t>11.Other information</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_Toc84450585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10</w:t>
            </w:r>
            <w:r w:rsidR="00B25421" w:rsidRPr="00B25421">
              <w:rPr>
                <w:rFonts w:ascii="Arial" w:hAnsi="Arial" w:cs="Arial"/>
                <w:noProof/>
                <w:webHidden/>
                <w:sz w:val="28"/>
                <w:szCs w:val="28"/>
              </w:rPr>
              <w:fldChar w:fldCharType="end"/>
            </w:r>
          </w:hyperlink>
        </w:p>
        <w:p w14:paraId="273C30ED" w14:textId="0AF4FB42" w:rsidR="00B25421" w:rsidRPr="00B25421" w:rsidRDefault="00D00BB8">
          <w:pPr>
            <w:pStyle w:val="TOC1"/>
            <w:tabs>
              <w:tab w:val="right" w:leader="dot" w:pos="10194"/>
            </w:tabs>
            <w:rPr>
              <w:rFonts w:ascii="Arial" w:eastAsiaTheme="minorEastAsia" w:hAnsi="Arial" w:cs="Arial"/>
              <w:noProof/>
              <w:sz w:val="28"/>
              <w:szCs w:val="28"/>
              <w:lang w:eastAsia="en-GB"/>
            </w:rPr>
          </w:pPr>
          <w:hyperlink w:anchor="_Toc84450586" w:history="1">
            <w:r w:rsidR="00B25421" w:rsidRPr="00B25421">
              <w:rPr>
                <w:rStyle w:val="Hyperlink"/>
                <w:rFonts w:ascii="Arial" w:hAnsi="Arial" w:cs="Arial"/>
                <w:noProof/>
                <w:sz w:val="28"/>
                <w:szCs w:val="28"/>
              </w:rPr>
              <w:t>Annex A - Funding Parameters</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_Toc84450586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12</w:t>
            </w:r>
            <w:r w:rsidR="00B25421" w:rsidRPr="00B25421">
              <w:rPr>
                <w:rFonts w:ascii="Arial" w:hAnsi="Arial" w:cs="Arial"/>
                <w:noProof/>
                <w:webHidden/>
                <w:sz w:val="28"/>
                <w:szCs w:val="28"/>
              </w:rPr>
              <w:fldChar w:fldCharType="end"/>
            </w:r>
          </w:hyperlink>
        </w:p>
        <w:p w14:paraId="4B2DC9BE" w14:textId="643CB8B3" w:rsidR="00B25421" w:rsidRPr="00B25421" w:rsidRDefault="00D00BB8">
          <w:pPr>
            <w:pStyle w:val="TOC1"/>
            <w:tabs>
              <w:tab w:val="right" w:leader="dot" w:pos="10194"/>
            </w:tabs>
            <w:rPr>
              <w:rFonts w:ascii="Arial" w:eastAsiaTheme="minorEastAsia" w:hAnsi="Arial" w:cs="Arial"/>
              <w:noProof/>
              <w:sz w:val="28"/>
              <w:szCs w:val="28"/>
              <w:lang w:eastAsia="en-GB"/>
            </w:rPr>
          </w:pPr>
          <w:hyperlink w:anchor="_Toc84450587" w:history="1">
            <w:r w:rsidR="00B25421" w:rsidRPr="00B25421">
              <w:rPr>
                <w:rStyle w:val="Hyperlink"/>
                <w:rFonts w:ascii="Arial" w:eastAsia="Batang" w:hAnsi="Arial" w:cs="Arial"/>
                <w:noProof/>
                <w:sz w:val="28"/>
                <w:szCs w:val="28"/>
              </w:rPr>
              <w:t xml:space="preserve">Annex </w:t>
            </w:r>
            <w:r w:rsidR="00B25421" w:rsidRPr="00B25421">
              <w:rPr>
                <w:rStyle w:val="Hyperlink"/>
                <w:rFonts w:ascii="Arial" w:hAnsi="Arial" w:cs="Arial"/>
                <w:noProof/>
                <w:sz w:val="28"/>
                <w:szCs w:val="28"/>
              </w:rPr>
              <w:t xml:space="preserve">B </w:t>
            </w:r>
            <w:r w:rsidR="00B25421" w:rsidRPr="00B25421">
              <w:rPr>
                <w:rStyle w:val="Hyperlink"/>
                <w:rFonts w:ascii="Arial" w:eastAsia="Batang" w:hAnsi="Arial" w:cs="Arial"/>
                <w:noProof/>
                <w:sz w:val="28"/>
                <w:szCs w:val="28"/>
              </w:rPr>
              <w:t>– Detailed Scoring Criteria</w:t>
            </w:r>
            <w:r w:rsidR="00B25421" w:rsidRPr="00B25421">
              <w:rPr>
                <w:rFonts w:ascii="Arial" w:hAnsi="Arial" w:cs="Arial"/>
                <w:noProof/>
                <w:webHidden/>
                <w:sz w:val="28"/>
                <w:szCs w:val="28"/>
              </w:rPr>
              <w:tab/>
            </w:r>
            <w:r w:rsidR="00B25421" w:rsidRPr="00B25421">
              <w:rPr>
                <w:rFonts w:ascii="Arial" w:hAnsi="Arial" w:cs="Arial"/>
                <w:noProof/>
                <w:webHidden/>
                <w:sz w:val="28"/>
                <w:szCs w:val="28"/>
              </w:rPr>
              <w:fldChar w:fldCharType="begin"/>
            </w:r>
            <w:r w:rsidR="00B25421" w:rsidRPr="00B25421">
              <w:rPr>
                <w:rFonts w:ascii="Arial" w:hAnsi="Arial" w:cs="Arial"/>
                <w:noProof/>
                <w:webHidden/>
                <w:sz w:val="28"/>
                <w:szCs w:val="28"/>
              </w:rPr>
              <w:instrText xml:space="preserve"> PAGEREF _Toc84450587 \h </w:instrText>
            </w:r>
            <w:r w:rsidR="00B25421" w:rsidRPr="00B25421">
              <w:rPr>
                <w:rFonts w:ascii="Arial" w:hAnsi="Arial" w:cs="Arial"/>
                <w:noProof/>
                <w:webHidden/>
                <w:sz w:val="28"/>
                <w:szCs w:val="28"/>
              </w:rPr>
            </w:r>
            <w:r w:rsidR="00B25421" w:rsidRPr="00B25421">
              <w:rPr>
                <w:rFonts w:ascii="Arial" w:hAnsi="Arial" w:cs="Arial"/>
                <w:noProof/>
                <w:webHidden/>
                <w:sz w:val="28"/>
                <w:szCs w:val="28"/>
              </w:rPr>
              <w:fldChar w:fldCharType="separate"/>
            </w:r>
            <w:r>
              <w:rPr>
                <w:rFonts w:ascii="Arial" w:hAnsi="Arial" w:cs="Arial"/>
                <w:noProof/>
                <w:webHidden/>
                <w:sz w:val="28"/>
                <w:szCs w:val="28"/>
              </w:rPr>
              <w:t>14</w:t>
            </w:r>
            <w:r w:rsidR="00B25421" w:rsidRPr="00B25421">
              <w:rPr>
                <w:rFonts w:ascii="Arial" w:hAnsi="Arial" w:cs="Arial"/>
                <w:noProof/>
                <w:webHidden/>
                <w:sz w:val="28"/>
                <w:szCs w:val="28"/>
              </w:rPr>
              <w:fldChar w:fldCharType="end"/>
            </w:r>
          </w:hyperlink>
        </w:p>
        <w:p w14:paraId="7E95C977" w14:textId="7D026D9D" w:rsidR="00057DCD" w:rsidRDefault="00057DCD">
          <w:r w:rsidRPr="00B25421">
            <w:rPr>
              <w:rFonts w:ascii="Arial" w:hAnsi="Arial" w:cs="Arial"/>
              <w:b/>
              <w:bCs/>
              <w:noProof/>
              <w:sz w:val="28"/>
              <w:szCs w:val="28"/>
            </w:rPr>
            <w:fldChar w:fldCharType="end"/>
          </w:r>
        </w:p>
      </w:sdtContent>
    </w:sdt>
    <w:p w14:paraId="1BF70940" w14:textId="77777777" w:rsidR="00057DCD" w:rsidRDefault="00057DCD">
      <w:pPr>
        <w:rPr>
          <w:rFonts w:ascii="Arial" w:eastAsia="Times New Roman" w:hAnsi="Arial" w:cs="Arial"/>
          <w:b/>
          <w:bCs/>
          <w:sz w:val="24"/>
          <w:szCs w:val="24"/>
          <w:lang w:eastAsia="en-GB"/>
        </w:rPr>
      </w:pPr>
      <w:r>
        <w:br w:type="page"/>
      </w:r>
    </w:p>
    <w:p w14:paraId="6C575B0A" w14:textId="7B5F8ED2" w:rsidR="00A71F7B" w:rsidRPr="00CA6C6D" w:rsidRDefault="00A71F7B" w:rsidP="00057DCD">
      <w:pPr>
        <w:pStyle w:val="Heading1"/>
        <w:numPr>
          <w:ilvl w:val="0"/>
          <w:numId w:val="45"/>
        </w:numPr>
        <w:ind w:left="567" w:hanging="567"/>
      </w:pPr>
      <w:bookmarkStart w:id="1" w:name="_Toc84450575"/>
      <w:r w:rsidRPr="00CA6C6D">
        <w:lastRenderedPageBreak/>
        <w:t>Introduction</w:t>
      </w:r>
      <w:bookmarkEnd w:id="1"/>
    </w:p>
    <w:p w14:paraId="490D8499" w14:textId="77777777" w:rsidR="00586945" w:rsidRPr="007053BD" w:rsidRDefault="00586945" w:rsidP="00586945">
      <w:pPr>
        <w:spacing w:after="0" w:line="240" w:lineRule="auto"/>
        <w:rPr>
          <w:rFonts w:ascii="Arial" w:eastAsia="Times New Roman" w:hAnsi="Arial" w:cs="Arial"/>
          <w:b/>
          <w:sz w:val="24"/>
          <w:szCs w:val="24"/>
          <w:lang w:eastAsia="en-GB"/>
        </w:rPr>
      </w:pPr>
    </w:p>
    <w:p w14:paraId="0F3C5899" w14:textId="574DFB90" w:rsidR="006053AE" w:rsidRDefault="00BA5A56" w:rsidP="00586945">
      <w:pPr>
        <w:shd w:val="clear" w:color="auto" w:fill="FFFFFF"/>
        <w:spacing w:after="0" w:line="240" w:lineRule="auto"/>
        <w:rPr>
          <w:rFonts w:ascii="Arial" w:eastAsia="Batang" w:hAnsi="Arial" w:cs="Arial"/>
          <w:sz w:val="24"/>
          <w:szCs w:val="24"/>
        </w:rPr>
      </w:pPr>
      <w:r>
        <w:rPr>
          <w:rFonts w:ascii="Arial" w:hAnsi="Arial" w:cs="Arial"/>
          <w:sz w:val="24"/>
          <w:szCs w:val="24"/>
        </w:rPr>
        <w:t>T</w:t>
      </w:r>
      <w:r w:rsidRPr="00EE41BB">
        <w:rPr>
          <w:rFonts w:ascii="Arial" w:eastAsia="Batang" w:hAnsi="Arial" w:cs="Arial"/>
          <w:sz w:val="24"/>
          <w:szCs w:val="24"/>
        </w:rPr>
        <w:t xml:space="preserve">he purpose of this document is to provide potential applicants with the information needed to submit </w:t>
      </w:r>
      <w:r w:rsidRPr="000F4934">
        <w:rPr>
          <w:rFonts w:ascii="Arial" w:eastAsia="Batang" w:hAnsi="Arial" w:cs="Arial"/>
          <w:b/>
          <w:bCs/>
          <w:sz w:val="24"/>
          <w:szCs w:val="24"/>
        </w:rPr>
        <w:t>first stage expression of interest</w:t>
      </w:r>
      <w:r>
        <w:rPr>
          <w:rFonts w:ascii="Arial" w:eastAsia="Batang" w:hAnsi="Arial" w:cs="Arial"/>
          <w:sz w:val="24"/>
          <w:szCs w:val="24"/>
        </w:rPr>
        <w:t xml:space="preserve"> </w:t>
      </w:r>
      <w:r w:rsidR="006053AE">
        <w:rPr>
          <w:rFonts w:ascii="Arial" w:eastAsia="Batang" w:hAnsi="Arial" w:cs="Arial"/>
          <w:sz w:val="24"/>
          <w:szCs w:val="24"/>
        </w:rPr>
        <w:t xml:space="preserve">for employer led skills projects and activities related to </w:t>
      </w:r>
      <w:r w:rsidR="007A5000">
        <w:rPr>
          <w:rFonts w:ascii="Arial" w:eastAsia="Batang" w:hAnsi="Arial" w:cs="Arial"/>
          <w:sz w:val="24"/>
          <w:szCs w:val="24"/>
        </w:rPr>
        <w:t>the Culture, Creative and Tourism sector.</w:t>
      </w:r>
      <w:r w:rsidR="00EC12AB">
        <w:rPr>
          <w:rFonts w:ascii="Arial" w:eastAsia="Batang" w:hAnsi="Arial" w:cs="Arial"/>
          <w:sz w:val="24"/>
          <w:szCs w:val="24"/>
        </w:rPr>
        <w:t xml:space="preserve"> </w:t>
      </w:r>
    </w:p>
    <w:p w14:paraId="62255C82" w14:textId="77777777" w:rsidR="006053AE" w:rsidRDefault="006053AE" w:rsidP="00586945">
      <w:pPr>
        <w:shd w:val="clear" w:color="auto" w:fill="FFFFFF"/>
        <w:spacing w:after="0" w:line="240" w:lineRule="auto"/>
        <w:rPr>
          <w:rFonts w:ascii="Arial" w:hAnsi="Arial" w:cs="Arial"/>
          <w:sz w:val="24"/>
          <w:szCs w:val="24"/>
        </w:rPr>
      </w:pPr>
    </w:p>
    <w:p w14:paraId="30A31821" w14:textId="5ED82745" w:rsidR="00194CD7" w:rsidRPr="006053AE" w:rsidRDefault="00595DD4" w:rsidP="00586945">
      <w:pPr>
        <w:shd w:val="clear" w:color="auto" w:fill="FFFFFF"/>
        <w:spacing w:after="0" w:line="240" w:lineRule="auto"/>
        <w:rPr>
          <w:rStyle w:val="Hyperlink"/>
          <w:rFonts w:ascii="Arial" w:hAnsi="Arial" w:cs="Arial"/>
          <w:color w:val="auto"/>
          <w:sz w:val="24"/>
          <w:szCs w:val="24"/>
          <w:u w:val="none"/>
        </w:rPr>
      </w:pPr>
      <w:r>
        <w:rPr>
          <w:rFonts w:ascii="Arial" w:hAnsi="Arial" w:cs="Arial"/>
          <w:sz w:val="24"/>
          <w:szCs w:val="24"/>
        </w:rPr>
        <w:t>The North of Tyne Combine</w:t>
      </w:r>
      <w:r w:rsidR="007A5000">
        <w:rPr>
          <w:rFonts w:ascii="Arial" w:hAnsi="Arial" w:cs="Arial"/>
          <w:sz w:val="24"/>
          <w:szCs w:val="24"/>
        </w:rPr>
        <w:t>d</w:t>
      </w:r>
      <w:r>
        <w:rPr>
          <w:rFonts w:ascii="Arial" w:hAnsi="Arial" w:cs="Arial"/>
          <w:sz w:val="24"/>
          <w:szCs w:val="24"/>
        </w:rPr>
        <w:t xml:space="preserve"> Authority (</w:t>
      </w:r>
      <w:r w:rsidR="00194CD7" w:rsidRPr="00244C63">
        <w:rPr>
          <w:rFonts w:ascii="Arial" w:hAnsi="Arial" w:cs="Arial"/>
          <w:sz w:val="24"/>
          <w:szCs w:val="24"/>
        </w:rPr>
        <w:t>NTCA</w:t>
      </w:r>
      <w:r>
        <w:rPr>
          <w:rFonts w:ascii="Arial" w:hAnsi="Arial" w:cs="Arial"/>
          <w:sz w:val="24"/>
          <w:szCs w:val="24"/>
        </w:rPr>
        <w:t>)</w:t>
      </w:r>
      <w:r w:rsidR="00194CD7" w:rsidRPr="00244C63">
        <w:rPr>
          <w:rFonts w:ascii="Arial" w:hAnsi="Arial" w:cs="Arial"/>
          <w:sz w:val="24"/>
          <w:szCs w:val="24"/>
        </w:rPr>
        <w:t xml:space="preserve"> has allocated</w:t>
      </w:r>
      <w:r w:rsidR="00F94B9F">
        <w:rPr>
          <w:rFonts w:ascii="Arial" w:hAnsi="Arial" w:cs="Arial"/>
          <w:sz w:val="24"/>
          <w:szCs w:val="24"/>
        </w:rPr>
        <w:t xml:space="preserve"> an indicative amount of</w:t>
      </w:r>
      <w:r w:rsidR="00194CD7" w:rsidRPr="00244C63">
        <w:rPr>
          <w:rFonts w:ascii="Arial" w:hAnsi="Arial" w:cs="Arial"/>
          <w:sz w:val="24"/>
          <w:szCs w:val="24"/>
        </w:rPr>
        <w:t xml:space="preserve"> £</w:t>
      </w:r>
      <w:r w:rsidR="007A5000">
        <w:rPr>
          <w:rFonts w:ascii="Arial" w:hAnsi="Arial" w:cs="Arial"/>
          <w:sz w:val="24"/>
          <w:szCs w:val="24"/>
        </w:rPr>
        <w:t>1.25</w:t>
      </w:r>
      <w:r w:rsidR="00194CD7" w:rsidRPr="00244C63">
        <w:rPr>
          <w:rFonts w:ascii="Arial" w:hAnsi="Arial" w:cs="Arial"/>
          <w:sz w:val="24"/>
          <w:szCs w:val="24"/>
        </w:rPr>
        <w:t xml:space="preserve">m </w:t>
      </w:r>
      <w:r w:rsidR="00194CD7">
        <w:rPr>
          <w:rFonts w:ascii="Arial" w:hAnsi="Arial" w:cs="Arial"/>
          <w:sz w:val="24"/>
          <w:szCs w:val="24"/>
        </w:rPr>
        <w:t xml:space="preserve">of </w:t>
      </w:r>
      <w:r w:rsidR="009417DE">
        <w:rPr>
          <w:rFonts w:ascii="Arial" w:hAnsi="Arial" w:cs="Arial"/>
          <w:sz w:val="24"/>
          <w:szCs w:val="24"/>
        </w:rPr>
        <w:t xml:space="preserve">its Skills for Growth </w:t>
      </w:r>
      <w:r w:rsidR="00194CD7">
        <w:rPr>
          <w:rFonts w:ascii="Arial" w:hAnsi="Arial" w:cs="Arial"/>
          <w:sz w:val="24"/>
          <w:szCs w:val="24"/>
        </w:rPr>
        <w:t xml:space="preserve">funding </w:t>
      </w:r>
      <w:r w:rsidR="00194CD7" w:rsidRPr="00244C63">
        <w:rPr>
          <w:rFonts w:ascii="Arial" w:hAnsi="Arial" w:cs="Arial"/>
          <w:sz w:val="24"/>
          <w:szCs w:val="24"/>
        </w:rPr>
        <w:t xml:space="preserve">to support the development of </w:t>
      </w:r>
      <w:r w:rsidR="00EE547B">
        <w:rPr>
          <w:rFonts w:ascii="Arial" w:hAnsi="Arial" w:cs="Arial"/>
          <w:sz w:val="24"/>
          <w:szCs w:val="24"/>
        </w:rPr>
        <w:t xml:space="preserve">cultural and </w:t>
      </w:r>
      <w:r w:rsidR="007A5000">
        <w:rPr>
          <w:rFonts w:ascii="Arial" w:hAnsi="Arial" w:cs="Arial"/>
          <w:sz w:val="24"/>
          <w:szCs w:val="24"/>
        </w:rPr>
        <w:t xml:space="preserve">creative skills and careers. </w:t>
      </w:r>
      <w:r w:rsidR="00194CD7">
        <w:rPr>
          <w:rFonts w:ascii="Arial" w:hAnsi="Arial" w:cs="Arial"/>
          <w:sz w:val="24"/>
          <w:szCs w:val="24"/>
        </w:rPr>
        <w:t xml:space="preserve">This </w:t>
      </w:r>
      <w:r w:rsidR="00194CD7" w:rsidRPr="00244C63">
        <w:rPr>
          <w:rFonts w:ascii="Arial" w:eastAsia="Batang" w:hAnsi="Arial" w:cs="Arial"/>
          <w:sz w:val="24"/>
          <w:szCs w:val="24"/>
        </w:rPr>
        <w:t>fund</w:t>
      </w:r>
      <w:r w:rsidR="00194CD7">
        <w:rPr>
          <w:rFonts w:ascii="Arial" w:eastAsia="Batang" w:hAnsi="Arial" w:cs="Arial"/>
          <w:sz w:val="24"/>
          <w:szCs w:val="24"/>
        </w:rPr>
        <w:t>ing</w:t>
      </w:r>
      <w:r w:rsidR="00194CD7" w:rsidRPr="00244C63">
        <w:rPr>
          <w:rFonts w:ascii="Arial" w:eastAsia="Batang" w:hAnsi="Arial" w:cs="Arial"/>
          <w:sz w:val="24"/>
          <w:szCs w:val="24"/>
        </w:rPr>
        <w:t xml:space="preserve"> forms part of our </w:t>
      </w:r>
      <w:r w:rsidR="004619B2">
        <w:rPr>
          <w:rFonts w:ascii="Arial" w:eastAsia="Batang" w:hAnsi="Arial" w:cs="Arial"/>
          <w:sz w:val="24"/>
          <w:szCs w:val="24"/>
        </w:rPr>
        <w:t xml:space="preserve">Culture and Creative programme </w:t>
      </w:r>
      <w:r w:rsidR="00194CD7">
        <w:rPr>
          <w:rFonts w:ascii="Arial" w:eastAsia="Batang" w:hAnsi="Arial" w:cs="Arial"/>
          <w:sz w:val="24"/>
          <w:szCs w:val="24"/>
        </w:rPr>
        <w:t xml:space="preserve">and aligns with </w:t>
      </w:r>
      <w:r w:rsidR="00194CD7" w:rsidRPr="000E5ACF">
        <w:rPr>
          <w:rFonts w:ascii="Arial" w:hAnsi="Arial" w:cs="Arial"/>
          <w:sz w:val="24"/>
          <w:szCs w:val="24"/>
        </w:rPr>
        <w:fldChar w:fldCharType="begin"/>
      </w:r>
      <w:r w:rsidR="00194CD7" w:rsidRPr="000E5ACF">
        <w:rPr>
          <w:rFonts w:ascii="Arial" w:hAnsi="Arial" w:cs="Arial"/>
          <w:sz w:val="24"/>
          <w:szCs w:val="24"/>
        </w:rPr>
        <w:instrText xml:space="preserve"> HYPERLINK "https://www.northoftyne-ca.gov.uk/documents/strategic-skills-plan/" </w:instrText>
      </w:r>
      <w:r w:rsidR="00194CD7" w:rsidRPr="000E5ACF">
        <w:rPr>
          <w:rFonts w:ascii="Arial" w:hAnsi="Arial" w:cs="Arial"/>
          <w:sz w:val="24"/>
          <w:szCs w:val="24"/>
        </w:rPr>
        <w:fldChar w:fldCharType="separate"/>
      </w:r>
      <w:r w:rsidR="00194CD7" w:rsidRPr="000E5ACF">
        <w:rPr>
          <w:rStyle w:val="Hyperlink"/>
          <w:rFonts w:ascii="Arial" w:hAnsi="Arial" w:cs="Arial"/>
          <w:sz w:val="24"/>
          <w:szCs w:val="24"/>
        </w:rPr>
        <w:t>NTCA’s Strategic Skills Plan.</w:t>
      </w:r>
    </w:p>
    <w:p w14:paraId="11461C0B" w14:textId="77777777" w:rsidR="00194CD7" w:rsidRDefault="00194CD7" w:rsidP="00586945">
      <w:pPr>
        <w:shd w:val="clear" w:color="auto" w:fill="FFFFFF"/>
        <w:spacing w:after="0" w:line="240" w:lineRule="auto"/>
        <w:rPr>
          <w:rFonts w:ascii="Arial" w:hAnsi="Arial" w:cs="Arial"/>
          <w:sz w:val="24"/>
          <w:szCs w:val="24"/>
        </w:rPr>
      </w:pPr>
      <w:r w:rsidRPr="000E5ACF">
        <w:rPr>
          <w:rFonts w:ascii="Arial" w:hAnsi="Arial" w:cs="Arial"/>
          <w:sz w:val="24"/>
          <w:szCs w:val="24"/>
        </w:rPr>
        <w:fldChar w:fldCharType="end"/>
      </w:r>
    </w:p>
    <w:p w14:paraId="7A5307F2" w14:textId="755DBF41" w:rsidR="00EE41BB" w:rsidRDefault="00AD5B60" w:rsidP="00586945">
      <w:pPr>
        <w:pStyle w:val="paragraph"/>
        <w:spacing w:before="0" w:beforeAutospacing="0" w:after="0" w:afterAutospacing="0"/>
        <w:textAlignment w:val="baseline"/>
        <w:rPr>
          <w:rFonts w:ascii="Arial" w:hAnsi="Arial" w:cs="Arial"/>
        </w:rPr>
      </w:pPr>
      <w:r w:rsidRPr="00EE41BB">
        <w:rPr>
          <w:rFonts w:ascii="Arial" w:hAnsi="Arial" w:cs="Arial"/>
        </w:rPr>
        <w:t xml:space="preserve">We </w:t>
      </w:r>
      <w:r w:rsidR="004A325F">
        <w:rPr>
          <w:rFonts w:ascii="Arial" w:hAnsi="Arial" w:cs="Arial"/>
        </w:rPr>
        <w:t xml:space="preserve">are interested in </w:t>
      </w:r>
      <w:r w:rsidRPr="00EE41BB">
        <w:rPr>
          <w:rFonts w:ascii="Arial" w:hAnsi="Arial" w:cs="Arial"/>
        </w:rPr>
        <w:t xml:space="preserve">innovative proposals that </w:t>
      </w:r>
      <w:r w:rsidR="004A325F">
        <w:rPr>
          <w:rFonts w:ascii="Arial" w:hAnsi="Arial" w:cs="Arial"/>
        </w:rPr>
        <w:t xml:space="preserve">equip people </w:t>
      </w:r>
      <w:r w:rsidR="004619B2">
        <w:rPr>
          <w:rFonts w:ascii="Arial" w:hAnsi="Arial" w:cs="Arial"/>
        </w:rPr>
        <w:t xml:space="preserve">of all ages and backgrounds to develop </w:t>
      </w:r>
      <w:r w:rsidR="004A325F">
        <w:rPr>
          <w:rFonts w:ascii="Arial" w:hAnsi="Arial" w:cs="Arial"/>
        </w:rPr>
        <w:t xml:space="preserve">skills </w:t>
      </w:r>
      <w:r w:rsidR="004619B2">
        <w:rPr>
          <w:rFonts w:ascii="Arial" w:hAnsi="Arial" w:cs="Arial"/>
        </w:rPr>
        <w:t>for jobs in the Culture, Creative and Tourism sector.</w:t>
      </w:r>
      <w:r w:rsidR="00EC12AB">
        <w:rPr>
          <w:rFonts w:ascii="Arial" w:hAnsi="Arial" w:cs="Arial"/>
        </w:rPr>
        <w:t xml:space="preserve"> </w:t>
      </w:r>
      <w:r w:rsidR="004619B2">
        <w:rPr>
          <w:rFonts w:ascii="Arial" w:hAnsi="Arial" w:cs="Arial"/>
        </w:rPr>
        <w:t>Projects may offer structured career pathways into the sector, including new technical qualifications, apprenticeships and sector based routeways.</w:t>
      </w:r>
      <w:r w:rsidR="00EC12AB">
        <w:rPr>
          <w:rFonts w:ascii="Arial" w:hAnsi="Arial" w:cs="Arial"/>
        </w:rPr>
        <w:t xml:space="preserve"> </w:t>
      </w:r>
    </w:p>
    <w:p w14:paraId="58CCED49" w14:textId="77777777" w:rsidR="00EE41BB" w:rsidRDefault="00EE41BB" w:rsidP="00586945">
      <w:pPr>
        <w:pStyle w:val="paragraph"/>
        <w:spacing w:before="0" w:beforeAutospacing="0" w:after="0" w:afterAutospacing="0"/>
        <w:textAlignment w:val="baseline"/>
        <w:rPr>
          <w:rFonts w:ascii="Arial" w:hAnsi="Arial" w:cs="Arial"/>
        </w:rPr>
      </w:pPr>
    </w:p>
    <w:p w14:paraId="1C6A2BB5" w14:textId="0CEE5124" w:rsidR="00AD5B60" w:rsidRPr="00297041" w:rsidRDefault="00AD5B60" w:rsidP="00586945">
      <w:pPr>
        <w:pStyle w:val="paragraph"/>
        <w:spacing w:before="0" w:beforeAutospacing="0" w:after="0" w:afterAutospacing="0"/>
        <w:textAlignment w:val="baseline"/>
        <w:rPr>
          <w:rFonts w:ascii="Arial" w:hAnsi="Arial" w:cs="Arial"/>
        </w:rPr>
      </w:pPr>
      <w:r w:rsidRPr="00297041">
        <w:rPr>
          <w:rFonts w:ascii="Arial" w:hAnsi="Arial" w:cs="Arial"/>
        </w:rPr>
        <w:t xml:space="preserve">Projects may </w:t>
      </w:r>
      <w:r w:rsidR="00EE41BB" w:rsidRPr="00297041">
        <w:rPr>
          <w:rFonts w:ascii="Arial" w:hAnsi="Arial" w:cs="Arial"/>
        </w:rPr>
        <w:t xml:space="preserve">also </w:t>
      </w:r>
      <w:r w:rsidRPr="00297041">
        <w:rPr>
          <w:rFonts w:ascii="Arial" w:hAnsi="Arial" w:cs="Arial"/>
        </w:rPr>
        <w:t>support</w:t>
      </w:r>
      <w:r w:rsidR="00EE41BB" w:rsidRPr="00297041">
        <w:rPr>
          <w:rFonts w:ascii="Arial" w:hAnsi="Arial" w:cs="Arial"/>
        </w:rPr>
        <w:t xml:space="preserve"> </w:t>
      </w:r>
      <w:r w:rsidR="004619B2" w:rsidRPr="00E214A9">
        <w:rPr>
          <w:rFonts w:ascii="Arial" w:hAnsi="Arial" w:cs="Arial"/>
        </w:rPr>
        <w:t xml:space="preserve">retraining, upskilling or reskilling members of the </w:t>
      </w:r>
      <w:r w:rsidR="004619B2">
        <w:rPr>
          <w:rFonts w:ascii="Arial" w:hAnsi="Arial" w:cs="Arial"/>
        </w:rPr>
        <w:t xml:space="preserve">Creative, Culture and Tourism </w:t>
      </w:r>
      <w:r w:rsidR="004619B2" w:rsidRPr="00E214A9">
        <w:rPr>
          <w:rFonts w:ascii="Arial" w:hAnsi="Arial" w:cs="Arial"/>
        </w:rPr>
        <w:t>workforce to meet the needs of a local employer or sector</w:t>
      </w:r>
      <w:r w:rsidR="004619B2">
        <w:rPr>
          <w:rFonts w:ascii="Arial" w:hAnsi="Arial" w:cs="Arial"/>
        </w:rPr>
        <w:t>.</w:t>
      </w:r>
      <w:r w:rsidR="00EC12AB">
        <w:rPr>
          <w:rFonts w:ascii="Arial" w:hAnsi="Arial" w:cs="Arial"/>
        </w:rPr>
        <w:t xml:space="preserve"> </w:t>
      </w:r>
    </w:p>
    <w:p w14:paraId="77B8F576" w14:textId="0DADB6F7" w:rsidR="004A325F" w:rsidRDefault="004A325F" w:rsidP="00586945">
      <w:pPr>
        <w:pStyle w:val="paragraph"/>
        <w:spacing w:before="0" w:beforeAutospacing="0" w:after="0" w:afterAutospacing="0"/>
        <w:textAlignment w:val="baseline"/>
        <w:rPr>
          <w:rFonts w:ascii="Arial" w:hAnsi="Arial" w:cs="Arial"/>
        </w:rPr>
      </w:pPr>
    </w:p>
    <w:p w14:paraId="5E205CD7" w14:textId="2993DA39" w:rsidR="00AB4D88" w:rsidRPr="00AB4D88" w:rsidRDefault="004A325F" w:rsidP="00586945">
      <w:pPr>
        <w:pStyle w:val="paragraph"/>
        <w:spacing w:before="0" w:beforeAutospacing="0" w:after="0" w:afterAutospacing="0"/>
        <w:textAlignment w:val="baseline"/>
        <w:rPr>
          <w:rFonts w:ascii="Segoe UI" w:hAnsi="Segoe UI" w:cs="Segoe UI"/>
          <w:sz w:val="18"/>
          <w:szCs w:val="18"/>
        </w:rPr>
      </w:pPr>
      <w:r>
        <w:rPr>
          <w:rFonts w:ascii="Arial" w:hAnsi="Arial" w:cs="Arial"/>
        </w:rPr>
        <w:t xml:space="preserve">Applicants are encouraged to pay close attention to the content of this </w:t>
      </w:r>
      <w:r w:rsidR="00AB4D88">
        <w:rPr>
          <w:rFonts w:ascii="Arial" w:hAnsi="Arial" w:cs="Arial"/>
        </w:rPr>
        <w:t>c</w:t>
      </w:r>
      <w:r>
        <w:rPr>
          <w:rFonts w:ascii="Arial" w:hAnsi="Arial" w:cs="Arial"/>
        </w:rPr>
        <w:t>all document</w:t>
      </w:r>
      <w:r w:rsidR="00FD1702">
        <w:rPr>
          <w:rFonts w:ascii="Arial" w:hAnsi="Arial" w:cs="Arial"/>
        </w:rPr>
        <w:t xml:space="preserve">, </w:t>
      </w:r>
      <w:r>
        <w:rPr>
          <w:rFonts w:ascii="Arial" w:hAnsi="Arial" w:cs="Arial"/>
        </w:rPr>
        <w:t xml:space="preserve">including </w:t>
      </w:r>
      <w:r w:rsidR="00AB4D88">
        <w:rPr>
          <w:rFonts w:ascii="Arial" w:hAnsi="Arial" w:cs="Arial"/>
        </w:rPr>
        <w:t>specific requirements and priorities.</w:t>
      </w:r>
      <w:r w:rsidR="00EC12AB">
        <w:rPr>
          <w:rFonts w:ascii="Arial" w:hAnsi="Arial" w:cs="Arial"/>
        </w:rPr>
        <w:t xml:space="preserve"> </w:t>
      </w:r>
    </w:p>
    <w:p w14:paraId="1F7428CC" w14:textId="77777777" w:rsidR="00D213FC" w:rsidRDefault="00D213FC" w:rsidP="00CA6C6D">
      <w:pPr>
        <w:spacing w:after="0" w:line="240" w:lineRule="auto"/>
        <w:textAlignment w:val="baseline"/>
        <w:rPr>
          <w:rFonts w:ascii="Arial" w:eastAsia="Times New Roman" w:hAnsi="Arial" w:cs="Arial"/>
          <w:sz w:val="24"/>
          <w:szCs w:val="24"/>
          <w:lang w:eastAsia="en-GB"/>
        </w:rPr>
      </w:pPr>
    </w:p>
    <w:p w14:paraId="1A967D7F" w14:textId="09B6A4B6" w:rsidR="00AB4D88" w:rsidRPr="00AB4D88" w:rsidRDefault="00AB4D88" w:rsidP="00CA6C6D">
      <w:pPr>
        <w:spacing w:after="0" w:line="240" w:lineRule="auto"/>
        <w:textAlignment w:val="baseline"/>
        <w:rPr>
          <w:rFonts w:ascii="Segoe UI" w:eastAsia="Times New Roman" w:hAnsi="Segoe UI" w:cs="Segoe UI"/>
          <w:sz w:val="18"/>
          <w:szCs w:val="18"/>
          <w:lang w:eastAsia="en-GB"/>
        </w:rPr>
      </w:pPr>
    </w:p>
    <w:p w14:paraId="25B3E9D5" w14:textId="77777777" w:rsidR="00A71F7B" w:rsidRPr="00CE68F9" w:rsidRDefault="00A71F7B" w:rsidP="00057DCD">
      <w:pPr>
        <w:pStyle w:val="Heading1"/>
        <w:numPr>
          <w:ilvl w:val="0"/>
          <w:numId w:val="45"/>
        </w:numPr>
        <w:spacing w:before="0" w:line="240" w:lineRule="auto"/>
        <w:ind w:left="567" w:hanging="567"/>
      </w:pPr>
      <w:bookmarkStart w:id="2" w:name="_Toc84450576"/>
      <w:r w:rsidRPr="00CE68F9">
        <w:t>Background &amp; Strategic Context</w:t>
      </w:r>
      <w:bookmarkEnd w:id="2"/>
    </w:p>
    <w:p w14:paraId="6325E958" w14:textId="77777777" w:rsidR="008E1387" w:rsidRPr="00CE68F9" w:rsidRDefault="008E1387" w:rsidP="00CA6C6D">
      <w:pPr>
        <w:spacing w:after="0" w:line="240" w:lineRule="auto"/>
        <w:contextualSpacing/>
        <w:jc w:val="both"/>
        <w:rPr>
          <w:rFonts w:ascii="Arial" w:eastAsia="Calibri" w:hAnsi="Arial" w:cs="Arial"/>
          <w:sz w:val="24"/>
          <w:szCs w:val="24"/>
          <w:highlight w:val="cyan"/>
          <w:lang w:val="en"/>
        </w:rPr>
      </w:pPr>
    </w:p>
    <w:p w14:paraId="25FDEB5F" w14:textId="67194330" w:rsidR="00670144" w:rsidRPr="00EE00CC" w:rsidRDefault="00670144" w:rsidP="00670144">
      <w:pPr>
        <w:autoSpaceDE w:val="0"/>
        <w:autoSpaceDN w:val="0"/>
        <w:adjustRightInd w:val="0"/>
        <w:spacing w:after="0" w:line="240" w:lineRule="auto"/>
        <w:rPr>
          <w:rFonts w:ascii="Arial" w:hAnsi="Arial" w:cs="Arial"/>
          <w:sz w:val="24"/>
          <w:szCs w:val="24"/>
        </w:rPr>
      </w:pPr>
      <w:r w:rsidRPr="00EE00CC">
        <w:rPr>
          <w:rFonts w:ascii="Arial" w:hAnsi="Arial" w:cs="Arial"/>
          <w:color w:val="000000"/>
          <w:sz w:val="24"/>
          <w:szCs w:val="24"/>
        </w:rPr>
        <w:t xml:space="preserve">NTCA’s </w:t>
      </w:r>
      <w:r w:rsidRPr="00670144">
        <w:rPr>
          <w:rFonts w:ascii="Arial" w:hAnsi="Arial" w:cs="Arial"/>
          <w:color w:val="000000"/>
          <w:sz w:val="24"/>
          <w:szCs w:val="24"/>
        </w:rPr>
        <w:t>Cabine</w:t>
      </w:r>
      <w:r w:rsidR="00CE1045">
        <w:rPr>
          <w:rFonts w:ascii="Arial" w:hAnsi="Arial" w:cs="Arial"/>
          <w:color w:val="000000"/>
          <w:sz w:val="24"/>
          <w:szCs w:val="24"/>
        </w:rPr>
        <w:t>t has</w:t>
      </w:r>
      <w:r w:rsidRPr="00670144">
        <w:rPr>
          <w:rFonts w:ascii="Arial" w:hAnsi="Arial" w:cs="Arial"/>
          <w:color w:val="000000"/>
          <w:sz w:val="24"/>
          <w:szCs w:val="24"/>
        </w:rPr>
        <w:t xml:space="preserve"> agreed </w:t>
      </w:r>
      <w:r w:rsidR="00FE74FF" w:rsidRPr="00EE00CC">
        <w:rPr>
          <w:rFonts w:ascii="Arial" w:hAnsi="Arial" w:cs="Arial"/>
          <w:color w:val="000000"/>
          <w:sz w:val="24"/>
          <w:szCs w:val="24"/>
        </w:rPr>
        <w:t>a £6m</w:t>
      </w:r>
      <w:r w:rsidRPr="00EE00CC">
        <w:rPr>
          <w:rFonts w:ascii="Arial" w:hAnsi="Arial" w:cs="Arial"/>
          <w:color w:val="000000"/>
          <w:sz w:val="24"/>
          <w:szCs w:val="24"/>
        </w:rPr>
        <w:t xml:space="preserve"> i</w:t>
      </w:r>
      <w:r w:rsidRPr="00670144">
        <w:rPr>
          <w:rFonts w:ascii="Arial" w:hAnsi="Arial" w:cs="Arial"/>
          <w:color w:val="000000"/>
          <w:sz w:val="24"/>
          <w:szCs w:val="24"/>
        </w:rPr>
        <w:t>nvestment fund allocation for a Culture and Creative Programme.</w:t>
      </w:r>
      <w:r w:rsidR="00EC12AB">
        <w:rPr>
          <w:rFonts w:ascii="Arial" w:hAnsi="Arial" w:cs="Arial"/>
          <w:color w:val="000000"/>
          <w:sz w:val="24"/>
          <w:szCs w:val="24"/>
        </w:rPr>
        <w:t xml:space="preserve"> </w:t>
      </w:r>
      <w:r w:rsidRPr="00EE00CC">
        <w:rPr>
          <w:rFonts w:ascii="Arial" w:hAnsi="Arial" w:cs="Arial"/>
          <w:color w:val="000000"/>
          <w:sz w:val="24"/>
          <w:szCs w:val="24"/>
        </w:rPr>
        <w:t xml:space="preserve">£1.25m of this allocation </w:t>
      </w:r>
      <w:r w:rsidR="00EE00CC">
        <w:rPr>
          <w:rFonts w:ascii="Arial" w:hAnsi="Arial" w:cs="Arial"/>
          <w:color w:val="000000"/>
          <w:sz w:val="24"/>
          <w:szCs w:val="24"/>
        </w:rPr>
        <w:t xml:space="preserve">is a component of NTCA’s Skills for Growth fund and </w:t>
      </w:r>
      <w:r w:rsidRPr="00EE00CC">
        <w:rPr>
          <w:rFonts w:ascii="Arial" w:hAnsi="Arial" w:cs="Arial"/>
          <w:color w:val="000000"/>
          <w:sz w:val="24"/>
          <w:szCs w:val="24"/>
        </w:rPr>
        <w:t xml:space="preserve">attributed to ‘Creative People’ </w:t>
      </w:r>
      <w:r w:rsidRPr="00EE00CC">
        <w:rPr>
          <w:rFonts w:ascii="Arial" w:hAnsi="Arial" w:cs="Arial"/>
          <w:sz w:val="24"/>
          <w:szCs w:val="24"/>
        </w:rPr>
        <w:t xml:space="preserve">with </w:t>
      </w:r>
      <w:r w:rsidR="00FE74FF" w:rsidRPr="00EE00CC">
        <w:rPr>
          <w:rFonts w:ascii="Arial" w:hAnsi="Arial" w:cs="Arial"/>
          <w:sz w:val="24"/>
          <w:szCs w:val="24"/>
        </w:rPr>
        <w:t>a specific focus on</w:t>
      </w:r>
      <w:r w:rsidR="00EE547B">
        <w:rPr>
          <w:rFonts w:ascii="Arial" w:hAnsi="Arial" w:cs="Arial"/>
          <w:sz w:val="24"/>
          <w:szCs w:val="24"/>
        </w:rPr>
        <w:t xml:space="preserve"> cultural and</w:t>
      </w:r>
      <w:r w:rsidR="00FE74FF" w:rsidRPr="00EE00CC">
        <w:rPr>
          <w:rFonts w:ascii="Arial" w:hAnsi="Arial" w:cs="Arial"/>
          <w:sz w:val="24"/>
          <w:szCs w:val="24"/>
        </w:rPr>
        <w:t xml:space="preserve"> creative skills t</w:t>
      </w:r>
      <w:r w:rsidRPr="00EE00CC">
        <w:rPr>
          <w:rFonts w:ascii="Arial" w:hAnsi="Arial" w:cs="Arial"/>
          <w:sz w:val="24"/>
          <w:szCs w:val="24"/>
        </w:rPr>
        <w:t>o create a best-in-class environment for the development of skills and careers.</w:t>
      </w:r>
    </w:p>
    <w:p w14:paraId="329BB0ED" w14:textId="77777777" w:rsidR="00670144" w:rsidRPr="00670144" w:rsidRDefault="00670144" w:rsidP="00670144">
      <w:pPr>
        <w:autoSpaceDE w:val="0"/>
        <w:autoSpaceDN w:val="0"/>
        <w:adjustRightInd w:val="0"/>
        <w:spacing w:after="0" w:line="240" w:lineRule="auto"/>
        <w:rPr>
          <w:rFonts w:ascii="Arial" w:hAnsi="Arial" w:cs="Arial"/>
          <w:color w:val="000000"/>
          <w:sz w:val="24"/>
          <w:szCs w:val="24"/>
        </w:rPr>
      </w:pPr>
    </w:p>
    <w:p w14:paraId="275E96CB" w14:textId="67D0B685" w:rsidR="00782330" w:rsidRPr="00EE00CC" w:rsidRDefault="00670144" w:rsidP="00670144">
      <w:pPr>
        <w:autoSpaceDE w:val="0"/>
        <w:autoSpaceDN w:val="0"/>
        <w:adjustRightInd w:val="0"/>
        <w:spacing w:after="0" w:line="240" w:lineRule="auto"/>
        <w:rPr>
          <w:rFonts w:ascii="Arial" w:hAnsi="Arial" w:cs="Arial"/>
          <w:color w:val="000000"/>
          <w:sz w:val="24"/>
          <w:szCs w:val="24"/>
        </w:rPr>
      </w:pPr>
      <w:r w:rsidRPr="00EE00CC">
        <w:rPr>
          <w:rFonts w:ascii="Arial" w:hAnsi="Arial" w:cs="Arial"/>
          <w:color w:val="000000"/>
          <w:sz w:val="24"/>
          <w:szCs w:val="24"/>
        </w:rPr>
        <w:t xml:space="preserve">The Culture and Creative programme links directly to NTCA’s strategic priorities and is identified as a priority sector in both the </w:t>
      </w:r>
      <w:hyperlink r:id="rId13" w:history="1">
        <w:r w:rsidR="00FE74FF" w:rsidRPr="00EE00CC">
          <w:rPr>
            <w:rStyle w:val="Hyperlink"/>
            <w:rFonts w:ascii="Arial" w:hAnsi="Arial" w:cs="Arial"/>
            <w:sz w:val="24"/>
            <w:szCs w:val="24"/>
          </w:rPr>
          <w:t>North of Tyne Corporate Plan 2021-2022 - 'Jobs, Skills and A Post-COVID Economy'</w:t>
        </w:r>
      </w:hyperlink>
      <w:r w:rsidR="00EC12AB">
        <w:rPr>
          <w:rFonts w:ascii="Arial" w:hAnsi="Arial" w:cs="Arial"/>
          <w:sz w:val="24"/>
          <w:szCs w:val="24"/>
        </w:rPr>
        <w:t xml:space="preserve"> </w:t>
      </w:r>
      <w:r w:rsidRPr="00EE00CC">
        <w:rPr>
          <w:rFonts w:ascii="Arial" w:hAnsi="Arial" w:cs="Arial"/>
          <w:color w:val="000000"/>
          <w:sz w:val="24"/>
          <w:szCs w:val="24"/>
        </w:rPr>
        <w:t xml:space="preserve">and the </w:t>
      </w:r>
      <w:hyperlink r:id="rId14" w:history="1">
        <w:r w:rsidR="00FE74FF" w:rsidRPr="00EE00CC">
          <w:rPr>
            <w:rStyle w:val="Hyperlink"/>
            <w:rFonts w:ascii="Arial" w:hAnsi="Arial" w:cs="Arial"/>
            <w:sz w:val="24"/>
            <w:szCs w:val="24"/>
          </w:rPr>
          <w:t>North of Tyne Devolution Deal</w:t>
        </w:r>
      </w:hyperlink>
      <w:r w:rsidR="00FE74FF" w:rsidRPr="00EE00CC">
        <w:rPr>
          <w:rStyle w:val="Hyperlink"/>
          <w:rFonts w:ascii="Arial" w:hAnsi="Arial" w:cs="Arial"/>
          <w:sz w:val="24"/>
          <w:szCs w:val="24"/>
        </w:rPr>
        <w:t>.</w:t>
      </w:r>
      <w:r w:rsidR="00EC12AB">
        <w:rPr>
          <w:rFonts w:ascii="Arial" w:hAnsi="Arial" w:cs="Arial"/>
          <w:color w:val="000000"/>
          <w:sz w:val="24"/>
          <w:szCs w:val="24"/>
        </w:rPr>
        <w:t xml:space="preserve"> </w:t>
      </w:r>
      <w:r w:rsidRPr="00EE00CC">
        <w:rPr>
          <w:rFonts w:ascii="Arial" w:hAnsi="Arial" w:cs="Arial"/>
          <w:color w:val="000000"/>
          <w:sz w:val="24"/>
          <w:szCs w:val="24"/>
        </w:rPr>
        <w:t>The vision for the North of Tyne Culture and Creative Sector is to be renowned across the UK and globally as an exemplar for culture and creative-led inclusive growth. Culture and creative industries will be at the heart of driving North East economic growth and productivity and enhancing quality of life, wellbeing and opportunity for people and communities.</w:t>
      </w:r>
    </w:p>
    <w:p w14:paraId="7E4B7F33" w14:textId="315BBEBD" w:rsidR="00FE74FF" w:rsidRPr="00EE00CC" w:rsidRDefault="00FE74FF" w:rsidP="00670144">
      <w:pPr>
        <w:autoSpaceDE w:val="0"/>
        <w:autoSpaceDN w:val="0"/>
        <w:adjustRightInd w:val="0"/>
        <w:spacing w:after="0" w:line="240" w:lineRule="auto"/>
        <w:rPr>
          <w:rFonts w:ascii="Arial" w:hAnsi="Arial" w:cs="Arial"/>
          <w:color w:val="000000"/>
          <w:sz w:val="24"/>
          <w:szCs w:val="24"/>
        </w:rPr>
      </w:pPr>
    </w:p>
    <w:p w14:paraId="27B13234" w14:textId="5C282C97" w:rsidR="00FE74FF" w:rsidRPr="00EE00CC" w:rsidRDefault="00FE74FF" w:rsidP="00FE74FF">
      <w:pPr>
        <w:autoSpaceDE w:val="0"/>
        <w:autoSpaceDN w:val="0"/>
        <w:adjustRightInd w:val="0"/>
        <w:spacing w:after="0" w:line="240" w:lineRule="auto"/>
        <w:rPr>
          <w:rFonts w:ascii="Arial" w:hAnsi="Arial" w:cs="Arial"/>
          <w:color w:val="000000"/>
          <w:sz w:val="24"/>
          <w:szCs w:val="24"/>
        </w:rPr>
      </w:pPr>
      <w:r w:rsidRPr="00EE00CC">
        <w:rPr>
          <w:rFonts w:ascii="Arial" w:hAnsi="Arial" w:cs="Arial"/>
          <w:color w:val="000000"/>
          <w:sz w:val="24"/>
          <w:szCs w:val="24"/>
        </w:rPr>
        <w:t xml:space="preserve">Heritage, culture and events are crucial to the identity of our communities – whilst associated leisure and business tourism are a key part of our economy, providing jobs for thousands of residents. </w:t>
      </w:r>
      <w:r w:rsidR="003F747B">
        <w:rPr>
          <w:rFonts w:ascii="Arial" w:hAnsi="Arial" w:cs="Arial"/>
          <w:color w:val="000000"/>
          <w:sz w:val="24"/>
          <w:szCs w:val="24"/>
        </w:rPr>
        <w:t>P</w:t>
      </w:r>
      <w:r w:rsidRPr="00EE00CC">
        <w:rPr>
          <w:rFonts w:ascii="Arial" w:hAnsi="Arial" w:cs="Arial"/>
          <w:color w:val="000000"/>
          <w:sz w:val="24"/>
          <w:szCs w:val="24"/>
        </w:rPr>
        <w:t>re C</w:t>
      </w:r>
      <w:r w:rsidR="00EE00CC" w:rsidRPr="00EE00CC">
        <w:rPr>
          <w:rFonts w:ascii="Arial" w:hAnsi="Arial" w:cs="Arial"/>
          <w:color w:val="000000"/>
          <w:sz w:val="24"/>
          <w:szCs w:val="24"/>
        </w:rPr>
        <w:t>OVID</w:t>
      </w:r>
      <w:r w:rsidRPr="00EE00CC">
        <w:rPr>
          <w:rFonts w:ascii="Arial" w:hAnsi="Arial" w:cs="Arial"/>
          <w:color w:val="000000"/>
          <w:sz w:val="24"/>
          <w:szCs w:val="24"/>
        </w:rPr>
        <w:t>-19, the North of Tyne was home to 1,200 cultural and creative businesses, plus a further 3,800 freelancers. Pre the pandemic, the sector also employed over 9,300 people and added around £409m GVA to the North of Tyne economy in 2017, with each job generating an average of £44,000 in GVA each year.</w:t>
      </w:r>
    </w:p>
    <w:p w14:paraId="06D57217" w14:textId="45869DC5" w:rsidR="00FE74FF" w:rsidRPr="00EE00CC" w:rsidRDefault="00FE74FF" w:rsidP="00FE74FF">
      <w:pPr>
        <w:autoSpaceDE w:val="0"/>
        <w:autoSpaceDN w:val="0"/>
        <w:adjustRightInd w:val="0"/>
        <w:spacing w:after="0" w:line="240" w:lineRule="auto"/>
        <w:rPr>
          <w:rFonts w:ascii="Arial" w:hAnsi="Arial" w:cs="Arial"/>
          <w:color w:val="000000"/>
          <w:sz w:val="24"/>
          <w:szCs w:val="24"/>
        </w:rPr>
      </w:pPr>
    </w:p>
    <w:p w14:paraId="23FA063C" w14:textId="5A7BB236" w:rsidR="00FE74FF" w:rsidRPr="00EE00CC" w:rsidRDefault="00FE74FF" w:rsidP="00FE74FF">
      <w:pPr>
        <w:autoSpaceDE w:val="0"/>
        <w:autoSpaceDN w:val="0"/>
        <w:adjustRightInd w:val="0"/>
        <w:spacing w:after="0" w:line="240" w:lineRule="auto"/>
        <w:rPr>
          <w:rFonts w:ascii="Arial" w:hAnsi="Arial" w:cs="Arial"/>
          <w:sz w:val="24"/>
          <w:szCs w:val="24"/>
        </w:rPr>
      </w:pPr>
      <w:r w:rsidRPr="00EE00CC">
        <w:rPr>
          <w:rFonts w:ascii="Arial" w:hAnsi="Arial" w:cs="Arial"/>
          <w:sz w:val="24"/>
          <w:szCs w:val="24"/>
        </w:rPr>
        <w:t>The Covid-19 crisis has had a significant impact on th</w:t>
      </w:r>
      <w:r w:rsidR="003F747B">
        <w:rPr>
          <w:rFonts w:ascii="Arial" w:hAnsi="Arial" w:cs="Arial"/>
          <w:sz w:val="24"/>
          <w:szCs w:val="24"/>
        </w:rPr>
        <w:t>is</w:t>
      </w:r>
      <w:r w:rsidR="00EE00CC" w:rsidRPr="00EE00CC">
        <w:rPr>
          <w:rFonts w:ascii="Arial" w:hAnsi="Arial" w:cs="Arial"/>
          <w:sz w:val="24"/>
          <w:szCs w:val="24"/>
        </w:rPr>
        <w:t xml:space="preserve"> </w:t>
      </w:r>
      <w:r w:rsidRPr="00EE00CC">
        <w:rPr>
          <w:rFonts w:ascii="Arial" w:hAnsi="Arial" w:cs="Arial"/>
          <w:sz w:val="24"/>
          <w:szCs w:val="24"/>
        </w:rPr>
        <w:t>sector due to the sudden and massive loss of income</w:t>
      </w:r>
      <w:r w:rsidR="00EE00CC" w:rsidRPr="00EE00CC">
        <w:rPr>
          <w:rFonts w:ascii="Arial" w:hAnsi="Arial" w:cs="Arial"/>
          <w:sz w:val="24"/>
          <w:szCs w:val="24"/>
        </w:rPr>
        <w:t xml:space="preserve"> </w:t>
      </w:r>
      <w:r w:rsidRPr="00EE00CC">
        <w:rPr>
          <w:rFonts w:ascii="Arial" w:hAnsi="Arial" w:cs="Arial"/>
          <w:sz w:val="24"/>
          <w:szCs w:val="24"/>
        </w:rPr>
        <w:t>generating opportunities, especially for more fragile</w:t>
      </w:r>
      <w:r w:rsidR="00EE00CC" w:rsidRPr="00EE00CC">
        <w:rPr>
          <w:rFonts w:ascii="Arial" w:hAnsi="Arial" w:cs="Arial"/>
          <w:sz w:val="24"/>
          <w:szCs w:val="24"/>
        </w:rPr>
        <w:t xml:space="preserve"> </w:t>
      </w:r>
      <w:r w:rsidRPr="00EE00CC">
        <w:rPr>
          <w:rFonts w:ascii="Arial" w:hAnsi="Arial" w:cs="Arial"/>
          <w:sz w:val="24"/>
          <w:szCs w:val="24"/>
        </w:rPr>
        <w:t>businesses. At the same time, the importance of culture,</w:t>
      </w:r>
      <w:r w:rsidR="00EE00CC" w:rsidRPr="00EE00CC">
        <w:rPr>
          <w:rFonts w:ascii="Arial" w:hAnsi="Arial" w:cs="Arial"/>
          <w:sz w:val="24"/>
          <w:szCs w:val="24"/>
        </w:rPr>
        <w:t xml:space="preserve"> </w:t>
      </w:r>
      <w:r w:rsidRPr="00EE00CC">
        <w:rPr>
          <w:rFonts w:ascii="Arial" w:hAnsi="Arial" w:cs="Arial"/>
          <w:sz w:val="24"/>
          <w:szCs w:val="24"/>
        </w:rPr>
        <w:t>creativity and tourism for society has become even more</w:t>
      </w:r>
      <w:r w:rsidR="00EE00CC" w:rsidRPr="00EE00CC">
        <w:rPr>
          <w:rFonts w:ascii="Arial" w:hAnsi="Arial" w:cs="Arial"/>
          <w:sz w:val="24"/>
          <w:szCs w:val="24"/>
        </w:rPr>
        <w:t xml:space="preserve"> </w:t>
      </w:r>
      <w:r w:rsidRPr="00EE00CC">
        <w:rPr>
          <w:rFonts w:ascii="Arial" w:hAnsi="Arial" w:cs="Arial"/>
          <w:sz w:val="24"/>
          <w:szCs w:val="24"/>
        </w:rPr>
        <w:t>clear for our mental health and wellbeing.</w:t>
      </w:r>
      <w:r w:rsidR="00EE00CC" w:rsidRPr="00EE00CC">
        <w:rPr>
          <w:rFonts w:ascii="Arial" w:hAnsi="Arial" w:cs="Arial"/>
          <w:sz w:val="24"/>
          <w:szCs w:val="24"/>
        </w:rPr>
        <w:t xml:space="preserve"> </w:t>
      </w:r>
    </w:p>
    <w:p w14:paraId="6F2E2809" w14:textId="77777777" w:rsidR="00EE00CC" w:rsidRPr="00EE00CC" w:rsidRDefault="00EE00CC" w:rsidP="00FE74FF">
      <w:pPr>
        <w:autoSpaceDE w:val="0"/>
        <w:autoSpaceDN w:val="0"/>
        <w:adjustRightInd w:val="0"/>
        <w:spacing w:after="0" w:line="240" w:lineRule="auto"/>
        <w:rPr>
          <w:rFonts w:ascii="Arial" w:hAnsi="Arial" w:cs="Arial"/>
          <w:sz w:val="24"/>
          <w:szCs w:val="24"/>
        </w:rPr>
      </w:pPr>
    </w:p>
    <w:p w14:paraId="09BA90CA" w14:textId="3EB1B008" w:rsidR="00FE74FF" w:rsidRPr="00EE00CC" w:rsidRDefault="00FE74FF" w:rsidP="00FE74FF">
      <w:pPr>
        <w:autoSpaceDE w:val="0"/>
        <w:autoSpaceDN w:val="0"/>
        <w:adjustRightInd w:val="0"/>
        <w:spacing w:after="0" w:line="240" w:lineRule="auto"/>
        <w:rPr>
          <w:rFonts w:ascii="Arial" w:hAnsi="Arial" w:cs="Arial"/>
          <w:sz w:val="24"/>
          <w:szCs w:val="24"/>
        </w:rPr>
      </w:pPr>
      <w:r w:rsidRPr="00EE00CC">
        <w:rPr>
          <w:rFonts w:ascii="Arial" w:hAnsi="Arial" w:cs="Arial"/>
          <w:sz w:val="24"/>
          <w:szCs w:val="24"/>
        </w:rPr>
        <w:t>The reinvigoration of the events and cultural / creative</w:t>
      </w:r>
      <w:r w:rsidR="00EE00CC" w:rsidRPr="00EE00CC">
        <w:rPr>
          <w:rFonts w:ascii="Arial" w:hAnsi="Arial" w:cs="Arial"/>
          <w:sz w:val="24"/>
          <w:szCs w:val="24"/>
        </w:rPr>
        <w:t xml:space="preserve"> </w:t>
      </w:r>
      <w:r w:rsidRPr="00EE00CC">
        <w:rPr>
          <w:rFonts w:ascii="Arial" w:hAnsi="Arial" w:cs="Arial"/>
          <w:sz w:val="24"/>
          <w:szCs w:val="24"/>
        </w:rPr>
        <w:t>offer is a priority for NTCA. Our environment and heritage</w:t>
      </w:r>
      <w:r w:rsidR="00EE00CC" w:rsidRPr="00EE00CC">
        <w:rPr>
          <w:rFonts w:ascii="Arial" w:hAnsi="Arial" w:cs="Arial"/>
          <w:sz w:val="24"/>
          <w:szCs w:val="24"/>
        </w:rPr>
        <w:t xml:space="preserve"> </w:t>
      </w:r>
      <w:r w:rsidRPr="00EE00CC">
        <w:rPr>
          <w:rFonts w:ascii="Arial" w:hAnsi="Arial" w:cs="Arial"/>
          <w:sz w:val="24"/>
          <w:szCs w:val="24"/>
        </w:rPr>
        <w:t>are key economic key assets and we recognise the role</w:t>
      </w:r>
      <w:r w:rsidR="00EE00CC" w:rsidRPr="00EE00CC">
        <w:rPr>
          <w:rFonts w:ascii="Arial" w:hAnsi="Arial" w:cs="Arial"/>
          <w:sz w:val="24"/>
          <w:szCs w:val="24"/>
        </w:rPr>
        <w:t xml:space="preserve"> </w:t>
      </w:r>
      <w:r w:rsidRPr="00EE00CC">
        <w:rPr>
          <w:rFonts w:ascii="Arial" w:hAnsi="Arial" w:cs="Arial"/>
          <w:sz w:val="24"/>
          <w:szCs w:val="24"/>
        </w:rPr>
        <w:t>that the creative industries and the visitor economy</w:t>
      </w:r>
      <w:r w:rsidR="00EE00CC" w:rsidRPr="00EE00CC">
        <w:rPr>
          <w:rFonts w:ascii="Arial" w:hAnsi="Arial" w:cs="Arial"/>
          <w:sz w:val="24"/>
          <w:szCs w:val="24"/>
        </w:rPr>
        <w:t xml:space="preserve"> </w:t>
      </w:r>
      <w:r w:rsidRPr="00EE00CC">
        <w:rPr>
          <w:rFonts w:ascii="Arial" w:hAnsi="Arial" w:cs="Arial"/>
          <w:sz w:val="24"/>
          <w:szCs w:val="24"/>
        </w:rPr>
        <w:t>play in driving economic growth and job creation across</w:t>
      </w:r>
      <w:r w:rsidR="00EE00CC" w:rsidRPr="00EE00CC">
        <w:rPr>
          <w:rFonts w:ascii="Arial" w:hAnsi="Arial" w:cs="Arial"/>
          <w:sz w:val="24"/>
          <w:szCs w:val="24"/>
        </w:rPr>
        <w:t xml:space="preserve"> </w:t>
      </w:r>
      <w:r w:rsidRPr="00EE00CC">
        <w:rPr>
          <w:rFonts w:ascii="Arial" w:hAnsi="Arial" w:cs="Arial"/>
          <w:sz w:val="24"/>
          <w:szCs w:val="24"/>
        </w:rPr>
        <w:t>the region.</w:t>
      </w:r>
    </w:p>
    <w:p w14:paraId="3D485F84" w14:textId="77777777" w:rsidR="00EE00CC" w:rsidRPr="00EE00CC" w:rsidRDefault="00EE00CC" w:rsidP="00FE74FF">
      <w:pPr>
        <w:autoSpaceDE w:val="0"/>
        <w:autoSpaceDN w:val="0"/>
        <w:adjustRightInd w:val="0"/>
        <w:spacing w:after="0" w:line="240" w:lineRule="auto"/>
        <w:rPr>
          <w:rFonts w:ascii="Arial" w:hAnsi="Arial" w:cs="Arial"/>
          <w:sz w:val="24"/>
          <w:szCs w:val="24"/>
        </w:rPr>
      </w:pPr>
    </w:p>
    <w:p w14:paraId="585F57FF" w14:textId="2CDD9845" w:rsidR="00FE74FF" w:rsidRDefault="00EE00CC" w:rsidP="00FE74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£1.25m </w:t>
      </w:r>
      <w:r w:rsidR="00FE74FF" w:rsidRPr="00EE00CC">
        <w:rPr>
          <w:rFonts w:ascii="Arial" w:hAnsi="Arial" w:cs="Arial"/>
          <w:sz w:val="24"/>
          <w:szCs w:val="24"/>
        </w:rPr>
        <w:t>Investment in skills is crucial to develop more resilient</w:t>
      </w:r>
      <w:r w:rsidRPr="00EE00CC">
        <w:rPr>
          <w:rFonts w:ascii="Arial" w:hAnsi="Arial" w:cs="Arial"/>
          <w:sz w:val="24"/>
          <w:szCs w:val="24"/>
        </w:rPr>
        <w:t xml:space="preserve"> </w:t>
      </w:r>
      <w:r w:rsidR="00FE74FF" w:rsidRPr="00EE00CC">
        <w:rPr>
          <w:rFonts w:ascii="Arial" w:hAnsi="Arial" w:cs="Arial"/>
          <w:sz w:val="24"/>
          <w:szCs w:val="24"/>
        </w:rPr>
        <w:t xml:space="preserve">freelancers, </w:t>
      </w:r>
      <w:r w:rsidR="00EE547B" w:rsidRPr="00EE00CC">
        <w:rPr>
          <w:rFonts w:ascii="Arial" w:hAnsi="Arial" w:cs="Arial"/>
          <w:sz w:val="24"/>
          <w:szCs w:val="24"/>
        </w:rPr>
        <w:t>businesses,</w:t>
      </w:r>
      <w:r w:rsidR="00FE74FF" w:rsidRPr="00EE00CC">
        <w:rPr>
          <w:rFonts w:ascii="Arial" w:hAnsi="Arial" w:cs="Arial"/>
          <w:sz w:val="24"/>
          <w:szCs w:val="24"/>
        </w:rPr>
        <w:t xml:space="preserve"> and organisations, as well as ensure</w:t>
      </w:r>
      <w:r w:rsidRPr="00EE00CC">
        <w:rPr>
          <w:rFonts w:ascii="Arial" w:hAnsi="Arial" w:cs="Arial"/>
          <w:sz w:val="24"/>
          <w:szCs w:val="24"/>
        </w:rPr>
        <w:t xml:space="preserve"> </w:t>
      </w:r>
      <w:r w:rsidR="00FE74FF" w:rsidRPr="00EE00CC">
        <w:rPr>
          <w:rFonts w:ascii="Arial" w:hAnsi="Arial" w:cs="Arial"/>
          <w:sz w:val="24"/>
          <w:szCs w:val="24"/>
        </w:rPr>
        <w:t>our residents have access to the many employment</w:t>
      </w:r>
      <w:r w:rsidRPr="00EE00CC">
        <w:rPr>
          <w:rFonts w:ascii="Arial" w:hAnsi="Arial" w:cs="Arial"/>
          <w:sz w:val="24"/>
          <w:szCs w:val="24"/>
        </w:rPr>
        <w:t xml:space="preserve"> </w:t>
      </w:r>
      <w:r w:rsidR="00FE74FF" w:rsidRPr="00EE00CC">
        <w:rPr>
          <w:rFonts w:ascii="Arial" w:hAnsi="Arial" w:cs="Arial"/>
          <w:sz w:val="24"/>
          <w:szCs w:val="24"/>
        </w:rPr>
        <w:t>opportunities in this sector.</w:t>
      </w:r>
    </w:p>
    <w:p w14:paraId="4C274B3C" w14:textId="1A7E112B" w:rsidR="00EC12AB" w:rsidRDefault="00EC12AB" w:rsidP="00FE74FF">
      <w:pPr>
        <w:autoSpaceDE w:val="0"/>
        <w:autoSpaceDN w:val="0"/>
        <w:adjustRightInd w:val="0"/>
        <w:spacing w:after="0" w:line="240" w:lineRule="auto"/>
        <w:rPr>
          <w:rFonts w:ascii="Arial" w:hAnsi="Arial" w:cs="Arial"/>
          <w:sz w:val="24"/>
          <w:szCs w:val="24"/>
        </w:rPr>
      </w:pPr>
    </w:p>
    <w:p w14:paraId="71656653" w14:textId="009061B8" w:rsidR="00EC12AB" w:rsidRDefault="00EC12AB" w:rsidP="00FE74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parallel to investing in skills development of the sector, North of Tyne Combined Authority is also investing in Culture and Creative Zones. The prospectus for CCZs can be found here: </w:t>
      </w:r>
      <w:hyperlink r:id="rId15" w:history="1">
        <w:r w:rsidR="00AD1A5B" w:rsidRPr="00593EC5">
          <w:rPr>
            <w:rStyle w:val="Hyperlink"/>
            <w:rFonts w:ascii="Arial" w:hAnsi="Arial" w:cs="Arial"/>
            <w:sz w:val="24"/>
            <w:szCs w:val="24"/>
          </w:rPr>
          <w:t>https://www.northoftyne-ca.gov.uk/wp-content/uploads/2021/08/NTCA-Culture-and-Creative-Zone-Prospectus.pdf</w:t>
        </w:r>
      </w:hyperlink>
    </w:p>
    <w:p w14:paraId="4417DBDC" w14:textId="3E016D97" w:rsidR="00AD1A5B" w:rsidRDefault="00AD1A5B" w:rsidP="00FE74FF">
      <w:pPr>
        <w:autoSpaceDE w:val="0"/>
        <w:autoSpaceDN w:val="0"/>
        <w:adjustRightInd w:val="0"/>
        <w:spacing w:after="0" w:line="240" w:lineRule="auto"/>
        <w:rPr>
          <w:rFonts w:ascii="Arial" w:hAnsi="Arial" w:cs="Arial"/>
          <w:sz w:val="24"/>
          <w:szCs w:val="24"/>
        </w:rPr>
      </w:pPr>
    </w:p>
    <w:p w14:paraId="57D617F7" w14:textId="7A49EC70" w:rsidR="00AD1A5B" w:rsidRPr="00EE00CC" w:rsidRDefault="00AD1A5B" w:rsidP="00FE74FF">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It is expected that proposals take into consideration alignment to the purpose and vision of the Culture and Creative Zones</w:t>
      </w:r>
      <w:r w:rsidR="00184592">
        <w:rPr>
          <w:rFonts w:ascii="Arial" w:hAnsi="Arial" w:cs="Arial"/>
          <w:sz w:val="24"/>
          <w:szCs w:val="24"/>
        </w:rPr>
        <w:t xml:space="preserve">, </w:t>
      </w:r>
      <w:r w:rsidR="00D60078">
        <w:rPr>
          <w:rFonts w:ascii="Arial" w:hAnsi="Arial" w:cs="Arial"/>
          <w:sz w:val="24"/>
          <w:szCs w:val="24"/>
        </w:rPr>
        <w:t xml:space="preserve">though are not required to focus on identical </w:t>
      </w:r>
      <w:r w:rsidR="00984738">
        <w:rPr>
          <w:rFonts w:ascii="Arial" w:hAnsi="Arial" w:cs="Arial"/>
          <w:sz w:val="24"/>
          <w:szCs w:val="24"/>
        </w:rPr>
        <w:t>sub-</w:t>
      </w:r>
      <w:r w:rsidR="00D60078">
        <w:rPr>
          <w:rFonts w:ascii="Arial" w:hAnsi="Arial" w:cs="Arial"/>
          <w:sz w:val="24"/>
          <w:szCs w:val="24"/>
        </w:rPr>
        <w:t>geographical areas</w:t>
      </w:r>
      <w:r w:rsidR="00984738">
        <w:rPr>
          <w:rFonts w:ascii="Arial" w:hAnsi="Arial" w:cs="Arial"/>
          <w:sz w:val="24"/>
          <w:szCs w:val="24"/>
        </w:rPr>
        <w:t xml:space="preserve"> as these are </w:t>
      </w:r>
      <w:r w:rsidR="00C62F21">
        <w:rPr>
          <w:rFonts w:ascii="Arial" w:hAnsi="Arial" w:cs="Arial"/>
          <w:sz w:val="24"/>
          <w:szCs w:val="24"/>
        </w:rPr>
        <w:t>to be confirmed</w:t>
      </w:r>
      <w:r w:rsidR="00D60078">
        <w:rPr>
          <w:rFonts w:ascii="Arial" w:hAnsi="Arial" w:cs="Arial"/>
          <w:sz w:val="24"/>
          <w:szCs w:val="24"/>
        </w:rPr>
        <w:t>.</w:t>
      </w:r>
    </w:p>
    <w:p w14:paraId="6041D69E" w14:textId="464DD946" w:rsidR="00FE74FF" w:rsidRDefault="00FE74FF" w:rsidP="00670144">
      <w:pPr>
        <w:autoSpaceDE w:val="0"/>
        <w:autoSpaceDN w:val="0"/>
        <w:adjustRightInd w:val="0"/>
        <w:spacing w:after="0" w:line="240" w:lineRule="auto"/>
        <w:rPr>
          <w:rFonts w:ascii="Arial" w:hAnsi="Arial" w:cs="Arial"/>
          <w:sz w:val="24"/>
          <w:szCs w:val="24"/>
        </w:rPr>
      </w:pPr>
    </w:p>
    <w:p w14:paraId="339530FE" w14:textId="77777777" w:rsidR="00D213FC" w:rsidRPr="00401A05" w:rsidRDefault="00D213FC" w:rsidP="00670144">
      <w:pPr>
        <w:autoSpaceDE w:val="0"/>
        <w:autoSpaceDN w:val="0"/>
        <w:adjustRightInd w:val="0"/>
        <w:spacing w:after="0" w:line="240" w:lineRule="auto"/>
        <w:rPr>
          <w:rFonts w:ascii="Arial" w:hAnsi="Arial" w:cs="Arial"/>
          <w:sz w:val="24"/>
          <w:szCs w:val="24"/>
        </w:rPr>
      </w:pPr>
    </w:p>
    <w:p w14:paraId="1B83BB30" w14:textId="1C2A684E" w:rsidR="00C275E7" w:rsidRPr="00CA6C6D" w:rsidRDefault="00511347" w:rsidP="00057DCD">
      <w:pPr>
        <w:pStyle w:val="Heading1"/>
        <w:numPr>
          <w:ilvl w:val="0"/>
          <w:numId w:val="45"/>
        </w:numPr>
        <w:spacing w:before="0" w:line="240" w:lineRule="auto"/>
        <w:ind w:left="567" w:hanging="567"/>
      </w:pPr>
      <w:bookmarkStart w:id="3" w:name="_Toc84450577"/>
      <w:r>
        <w:t>Skills for the Culture</w:t>
      </w:r>
      <w:r w:rsidR="00AC4FBD">
        <w:t xml:space="preserve">, </w:t>
      </w:r>
      <w:r>
        <w:t>Creative</w:t>
      </w:r>
      <w:r w:rsidR="00260822">
        <w:t xml:space="preserve"> and Tourism</w:t>
      </w:r>
      <w:r>
        <w:t xml:space="preserve"> Sector</w:t>
      </w:r>
      <w:bookmarkEnd w:id="3"/>
      <w:r w:rsidR="00EC12AB">
        <w:t xml:space="preserve"> </w:t>
      </w:r>
    </w:p>
    <w:p w14:paraId="2A347AB8" w14:textId="77777777" w:rsidR="00586945" w:rsidRPr="00C275E7" w:rsidRDefault="00586945" w:rsidP="00CA6C6D">
      <w:pPr>
        <w:pStyle w:val="ListParagraph"/>
        <w:autoSpaceDE w:val="0"/>
        <w:autoSpaceDN w:val="0"/>
        <w:adjustRightInd w:val="0"/>
        <w:spacing w:after="0" w:line="240" w:lineRule="auto"/>
        <w:ind w:left="360"/>
        <w:rPr>
          <w:rFonts w:ascii="Arial" w:hAnsi="Arial" w:cs="Arial"/>
          <w:color w:val="000000"/>
          <w:sz w:val="24"/>
          <w:szCs w:val="24"/>
        </w:rPr>
      </w:pPr>
    </w:p>
    <w:p w14:paraId="7B47C275" w14:textId="2D41D91E" w:rsidR="00F53A7B" w:rsidRDefault="00F53A7B" w:rsidP="00511347">
      <w:pPr>
        <w:spacing w:after="0" w:line="240" w:lineRule="auto"/>
        <w:rPr>
          <w:rFonts w:ascii="Arial" w:hAnsi="Arial" w:cs="Arial"/>
          <w:sz w:val="24"/>
          <w:szCs w:val="24"/>
        </w:rPr>
      </w:pPr>
      <w:r w:rsidRPr="00511347">
        <w:rPr>
          <w:rFonts w:ascii="Arial" w:hAnsi="Arial" w:cs="Arial"/>
          <w:sz w:val="24"/>
          <w:szCs w:val="24"/>
        </w:rPr>
        <w:t>The Culture and Creative sector is defined as covering:</w:t>
      </w:r>
      <w:r w:rsidR="00EC12AB">
        <w:rPr>
          <w:rFonts w:ascii="Arial" w:hAnsi="Arial" w:cs="Arial"/>
          <w:sz w:val="24"/>
          <w:szCs w:val="24"/>
        </w:rPr>
        <w:t xml:space="preserve"> </w:t>
      </w:r>
      <w:r w:rsidRPr="00511347">
        <w:rPr>
          <w:rFonts w:ascii="Arial" w:hAnsi="Arial" w:cs="Arial"/>
          <w:sz w:val="24"/>
          <w:szCs w:val="24"/>
        </w:rPr>
        <w:t>Architecture; Crafts; Design (product, graphic &amp; fashion); Film, TV, video, radio and photo; IT, software &amp; computer services; Museums, galleries &amp; libraries; Music, performing &amp; visual arts; Publishing; and Advertising &amp; marketing. This is a diverse and important sector.</w:t>
      </w:r>
      <w:r w:rsidR="00EC12AB">
        <w:rPr>
          <w:rFonts w:ascii="Arial" w:hAnsi="Arial" w:cs="Arial"/>
          <w:sz w:val="24"/>
          <w:szCs w:val="24"/>
        </w:rPr>
        <w:t xml:space="preserve"> </w:t>
      </w:r>
      <w:r w:rsidRPr="00511347">
        <w:rPr>
          <w:rFonts w:ascii="Arial" w:hAnsi="Arial" w:cs="Arial"/>
          <w:sz w:val="24"/>
          <w:szCs w:val="24"/>
        </w:rPr>
        <w:t>It creates jobs directly, but it also supports jobs and productivity in other sectors such as tourism, digital and the wide range of economic activities that rely on creativity and design.</w:t>
      </w:r>
      <w:r w:rsidR="00EC12AB">
        <w:rPr>
          <w:rFonts w:ascii="Arial" w:hAnsi="Arial" w:cs="Arial"/>
          <w:sz w:val="24"/>
          <w:szCs w:val="24"/>
        </w:rPr>
        <w:t xml:space="preserve"> </w:t>
      </w:r>
    </w:p>
    <w:p w14:paraId="078AAEF5" w14:textId="77777777" w:rsidR="00511347" w:rsidRPr="00511347" w:rsidRDefault="00511347" w:rsidP="00511347">
      <w:pPr>
        <w:spacing w:after="0"/>
        <w:rPr>
          <w:rFonts w:ascii="Arial" w:hAnsi="Arial" w:cs="Arial"/>
          <w:sz w:val="24"/>
          <w:szCs w:val="24"/>
        </w:rPr>
      </w:pPr>
    </w:p>
    <w:p w14:paraId="60D4E59A" w14:textId="0D2FC2B6" w:rsidR="003F747B" w:rsidRPr="003F747B" w:rsidRDefault="00F53A7B" w:rsidP="003F747B">
      <w:pPr>
        <w:pStyle w:val="Default"/>
        <w:jc w:val="both"/>
      </w:pPr>
      <w:r w:rsidRPr="003F747B">
        <w:rPr>
          <w:color w:val="auto"/>
        </w:rPr>
        <w:t>The sector makes a huge contribution to the</w:t>
      </w:r>
      <w:r w:rsidR="00511347" w:rsidRPr="003F747B">
        <w:t xml:space="preserve"> NTCA</w:t>
      </w:r>
      <w:r w:rsidRPr="003F747B">
        <w:rPr>
          <w:color w:val="auto"/>
        </w:rPr>
        <w:t xml:space="preserve"> region, not just economically, but also in terms of our sense of place, </w:t>
      </w:r>
      <w:r w:rsidR="00725578" w:rsidRPr="003F747B">
        <w:rPr>
          <w:color w:val="auto"/>
        </w:rPr>
        <w:t>identity,</w:t>
      </w:r>
      <w:r w:rsidRPr="003F747B">
        <w:rPr>
          <w:color w:val="auto"/>
        </w:rPr>
        <w:t xml:space="preserve"> and our wider well-being.</w:t>
      </w:r>
      <w:r w:rsidR="00EC12AB">
        <w:rPr>
          <w:color w:val="auto"/>
        </w:rPr>
        <w:t xml:space="preserve"> </w:t>
      </w:r>
      <w:r w:rsidR="003F747B" w:rsidRPr="003F747B">
        <w:t xml:space="preserve">Skills are integral to continued recovery and growth within the </w:t>
      </w:r>
      <w:r w:rsidR="00725578">
        <w:t xml:space="preserve">Culture and Creative </w:t>
      </w:r>
      <w:r w:rsidR="003F747B" w:rsidRPr="003F747B">
        <w:t>sector as they underpin productivity and innovation.</w:t>
      </w:r>
    </w:p>
    <w:p w14:paraId="5CB5AA25" w14:textId="5444CB4C" w:rsidR="003F747B" w:rsidRDefault="003F747B" w:rsidP="003F747B">
      <w:pPr>
        <w:autoSpaceDE w:val="0"/>
        <w:autoSpaceDN w:val="0"/>
        <w:adjustRightInd w:val="0"/>
        <w:spacing w:after="0" w:line="240" w:lineRule="auto"/>
        <w:rPr>
          <w:rFonts w:ascii="FSAlbert-Light" w:hAnsi="FSAlbert-Light" w:cs="FSAlbert-Light"/>
        </w:rPr>
      </w:pPr>
    </w:p>
    <w:p w14:paraId="6E380ECE" w14:textId="2C15B1F9" w:rsidR="003F747B" w:rsidRPr="003F747B" w:rsidRDefault="003F747B" w:rsidP="003F747B">
      <w:pPr>
        <w:autoSpaceDE w:val="0"/>
        <w:autoSpaceDN w:val="0"/>
        <w:adjustRightInd w:val="0"/>
        <w:spacing w:after="0" w:line="240" w:lineRule="auto"/>
        <w:rPr>
          <w:rFonts w:ascii="Arial" w:hAnsi="Arial" w:cs="Arial"/>
          <w:sz w:val="24"/>
          <w:szCs w:val="24"/>
        </w:rPr>
      </w:pPr>
      <w:r>
        <w:rPr>
          <w:rFonts w:ascii="Arial" w:hAnsi="Arial" w:cs="Arial"/>
          <w:sz w:val="24"/>
          <w:szCs w:val="24"/>
        </w:rPr>
        <w:t>The sector is</w:t>
      </w:r>
      <w:r w:rsidRPr="003F747B">
        <w:rPr>
          <w:rFonts w:ascii="Arial" w:hAnsi="Arial" w:cs="Arial"/>
          <w:sz w:val="24"/>
          <w:szCs w:val="24"/>
        </w:rPr>
        <w:t xml:space="preserve"> operating in an increasingly global and competitive marketplace.</w:t>
      </w:r>
      <w:r w:rsidR="00EC12AB">
        <w:rPr>
          <w:rFonts w:ascii="Arial" w:hAnsi="Arial" w:cs="Arial"/>
          <w:sz w:val="24"/>
          <w:szCs w:val="24"/>
        </w:rPr>
        <w:t xml:space="preserve"> </w:t>
      </w:r>
      <w:r w:rsidRPr="003F747B">
        <w:rPr>
          <w:rFonts w:ascii="Arial" w:hAnsi="Arial" w:cs="Arial"/>
          <w:sz w:val="24"/>
          <w:szCs w:val="24"/>
        </w:rPr>
        <w:t xml:space="preserve">Digital technologies are breaking down the barriers between creator, curator and consumer and impacting on the ways in which organisations interact with their existing customers and reach new audiences. High level digital skills </w:t>
      </w:r>
      <w:r w:rsidR="003C1D88">
        <w:rPr>
          <w:rFonts w:ascii="Arial" w:hAnsi="Arial" w:cs="Arial"/>
          <w:sz w:val="24"/>
          <w:szCs w:val="24"/>
        </w:rPr>
        <w:t xml:space="preserve">are </w:t>
      </w:r>
      <w:r w:rsidRPr="003F747B">
        <w:rPr>
          <w:rFonts w:ascii="Arial" w:hAnsi="Arial" w:cs="Arial"/>
          <w:sz w:val="24"/>
          <w:szCs w:val="24"/>
        </w:rPr>
        <w:t xml:space="preserve">required to enable businesses </w:t>
      </w:r>
      <w:r w:rsidR="00725578">
        <w:rPr>
          <w:rFonts w:ascii="Arial" w:hAnsi="Arial" w:cs="Arial"/>
          <w:sz w:val="24"/>
          <w:szCs w:val="24"/>
        </w:rPr>
        <w:t xml:space="preserve">to </w:t>
      </w:r>
      <w:r w:rsidRPr="003F747B">
        <w:rPr>
          <w:rFonts w:ascii="Arial" w:hAnsi="Arial" w:cs="Arial"/>
          <w:sz w:val="24"/>
          <w:szCs w:val="24"/>
        </w:rPr>
        <w:t>develop their capacity to operate across a range of platforms and take advantage of new and emerging markets and global supply networks</w:t>
      </w:r>
    </w:p>
    <w:p w14:paraId="6E2D4131" w14:textId="57288215" w:rsidR="003F747B" w:rsidRDefault="003F747B" w:rsidP="003F747B">
      <w:pPr>
        <w:autoSpaceDE w:val="0"/>
        <w:autoSpaceDN w:val="0"/>
        <w:adjustRightInd w:val="0"/>
        <w:spacing w:after="0" w:line="240" w:lineRule="auto"/>
        <w:rPr>
          <w:rFonts w:ascii="Arial" w:hAnsi="Arial" w:cs="Arial"/>
          <w:sz w:val="24"/>
          <w:szCs w:val="24"/>
        </w:rPr>
      </w:pPr>
    </w:p>
    <w:p w14:paraId="210AD625" w14:textId="5DD4195B" w:rsidR="00005118" w:rsidRDefault="00005118" w:rsidP="00005118">
      <w:pPr>
        <w:autoSpaceDE w:val="0"/>
        <w:autoSpaceDN w:val="0"/>
        <w:adjustRightInd w:val="0"/>
        <w:spacing w:after="0" w:line="240" w:lineRule="auto"/>
        <w:rPr>
          <w:rFonts w:ascii="Arial" w:hAnsi="Arial" w:cs="Arial"/>
          <w:sz w:val="24"/>
          <w:szCs w:val="24"/>
        </w:rPr>
      </w:pPr>
      <w:r w:rsidRPr="00725578">
        <w:rPr>
          <w:rFonts w:ascii="Arial" w:hAnsi="Arial" w:cs="Arial"/>
          <w:sz w:val="24"/>
          <w:szCs w:val="24"/>
        </w:rPr>
        <w:t>Effective leadership and management</w:t>
      </w:r>
      <w:r w:rsidR="00F701FB" w:rsidRPr="00725578">
        <w:rPr>
          <w:rFonts w:ascii="Arial" w:hAnsi="Arial" w:cs="Arial"/>
          <w:sz w:val="24"/>
          <w:szCs w:val="24"/>
        </w:rPr>
        <w:t xml:space="preserve"> skills are also k</w:t>
      </w:r>
      <w:r w:rsidRPr="00725578">
        <w:rPr>
          <w:rFonts w:ascii="Arial" w:hAnsi="Arial" w:cs="Arial"/>
          <w:sz w:val="24"/>
          <w:szCs w:val="24"/>
        </w:rPr>
        <w:t>ey to the sustainability and growth of</w:t>
      </w:r>
      <w:r w:rsidR="00F701FB" w:rsidRPr="00725578">
        <w:rPr>
          <w:rFonts w:ascii="Arial" w:hAnsi="Arial" w:cs="Arial"/>
          <w:sz w:val="24"/>
          <w:szCs w:val="24"/>
        </w:rPr>
        <w:t xml:space="preserve"> the Culture and Creative Sector.</w:t>
      </w:r>
      <w:r w:rsidR="00EC12AB">
        <w:rPr>
          <w:rFonts w:ascii="Arial" w:hAnsi="Arial" w:cs="Arial"/>
          <w:sz w:val="24"/>
          <w:szCs w:val="24"/>
        </w:rPr>
        <w:t xml:space="preserve"> </w:t>
      </w:r>
      <w:r w:rsidR="00F701FB" w:rsidRPr="00725578">
        <w:rPr>
          <w:rFonts w:ascii="Arial" w:hAnsi="Arial" w:cs="Arial"/>
          <w:sz w:val="24"/>
          <w:szCs w:val="24"/>
        </w:rPr>
        <w:t>A range of skills are required including leading people, strategic planning, vision setting, lobbying, advocacy and influencing, effecting organisational change, and developing partnership and stakeholder relationships.</w:t>
      </w:r>
      <w:r w:rsidR="00EC12AB">
        <w:rPr>
          <w:rFonts w:ascii="Arial" w:hAnsi="Arial" w:cs="Arial"/>
          <w:sz w:val="24"/>
          <w:szCs w:val="24"/>
        </w:rPr>
        <w:t xml:space="preserve"> </w:t>
      </w:r>
      <w:r w:rsidR="00F701FB" w:rsidRPr="00725578">
        <w:rPr>
          <w:rFonts w:ascii="Arial" w:hAnsi="Arial" w:cs="Arial"/>
          <w:sz w:val="24"/>
          <w:szCs w:val="24"/>
        </w:rPr>
        <w:t>Research also identifies a requirement for g</w:t>
      </w:r>
      <w:r w:rsidRPr="00725578">
        <w:rPr>
          <w:rFonts w:ascii="Arial" w:hAnsi="Arial" w:cs="Arial"/>
          <w:sz w:val="24"/>
          <w:szCs w:val="24"/>
        </w:rPr>
        <w:t>eneric, transferable business skills</w:t>
      </w:r>
      <w:r w:rsidR="00F701FB" w:rsidRPr="00725578">
        <w:rPr>
          <w:rFonts w:ascii="Arial" w:hAnsi="Arial" w:cs="Arial"/>
          <w:sz w:val="24"/>
          <w:szCs w:val="24"/>
        </w:rPr>
        <w:t xml:space="preserve"> </w:t>
      </w:r>
      <w:r w:rsidRPr="00725578">
        <w:rPr>
          <w:rFonts w:ascii="Arial" w:hAnsi="Arial" w:cs="Arial"/>
          <w:sz w:val="24"/>
          <w:szCs w:val="24"/>
        </w:rPr>
        <w:t>in particular, marketing</w:t>
      </w:r>
      <w:r w:rsidR="00F701FB" w:rsidRPr="00725578">
        <w:rPr>
          <w:rFonts w:ascii="Arial" w:hAnsi="Arial" w:cs="Arial"/>
          <w:sz w:val="24"/>
          <w:szCs w:val="24"/>
        </w:rPr>
        <w:t xml:space="preserve"> </w:t>
      </w:r>
      <w:r w:rsidRPr="00725578">
        <w:rPr>
          <w:rFonts w:ascii="Arial" w:hAnsi="Arial" w:cs="Arial"/>
          <w:sz w:val="24"/>
          <w:szCs w:val="24"/>
        </w:rPr>
        <w:t xml:space="preserve">and communication, digital </w:t>
      </w:r>
      <w:r w:rsidR="00F701FB" w:rsidRPr="00725578">
        <w:rPr>
          <w:rFonts w:ascii="Arial" w:hAnsi="Arial" w:cs="Arial"/>
          <w:sz w:val="24"/>
          <w:szCs w:val="24"/>
        </w:rPr>
        <w:t>skills,</w:t>
      </w:r>
      <w:r w:rsidRPr="00725578">
        <w:rPr>
          <w:rFonts w:ascii="Arial" w:hAnsi="Arial" w:cs="Arial"/>
          <w:sz w:val="24"/>
          <w:szCs w:val="24"/>
        </w:rPr>
        <w:t xml:space="preserve"> and financial skills such as fundraising. There</w:t>
      </w:r>
      <w:r w:rsidR="00F701FB" w:rsidRPr="00725578">
        <w:rPr>
          <w:rFonts w:ascii="Arial" w:hAnsi="Arial" w:cs="Arial"/>
          <w:sz w:val="24"/>
          <w:szCs w:val="24"/>
        </w:rPr>
        <w:t xml:space="preserve"> is also concern over the </w:t>
      </w:r>
      <w:r w:rsidRPr="00725578">
        <w:rPr>
          <w:rFonts w:ascii="Arial" w:hAnsi="Arial" w:cs="Arial"/>
          <w:sz w:val="24"/>
          <w:szCs w:val="24"/>
        </w:rPr>
        <w:t>future sustainability of ‘master crafts’ as</w:t>
      </w:r>
      <w:r w:rsidR="00F701FB" w:rsidRPr="00725578">
        <w:rPr>
          <w:rFonts w:ascii="Arial" w:hAnsi="Arial" w:cs="Arial"/>
          <w:sz w:val="24"/>
          <w:szCs w:val="24"/>
        </w:rPr>
        <w:t xml:space="preserve"> </w:t>
      </w:r>
      <w:r w:rsidRPr="00725578">
        <w:rPr>
          <w:rFonts w:ascii="Arial" w:hAnsi="Arial" w:cs="Arial"/>
          <w:sz w:val="24"/>
          <w:szCs w:val="24"/>
        </w:rPr>
        <w:t>experienced workers age and leave the sector.</w:t>
      </w:r>
    </w:p>
    <w:p w14:paraId="1A08219C" w14:textId="44FE1F9C" w:rsidR="00725578" w:rsidRDefault="00725578" w:rsidP="00005118">
      <w:pPr>
        <w:autoSpaceDE w:val="0"/>
        <w:autoSpaceDN w:val="0"/>
        <w:adjustRightInd w:val="0"/>
        <w:spacing w:after="0" w:line="240" w:lineRule="auto"/>
        <w:rPr>
          <w:rFonts w:ascii="Arial" w:hAnsi="Arial" w:cs="Arial"/>
          <w:sz w:val="24"/>
          <w:szCs w:val="24"/>
        </w:rPr>
      </w:pPr>
    </w:p>
    <w:p w14:paraId="640F7784" w14:textId="65DAFE41" w:rsidR="00725578" w:rsidRPr="00725578" w:rsidRDefault="00725578" w:rsidP="00725578">
      <w:pPr>
        <w:autoSpaceDE w:val="0"/>
        <w:autoSpaceDN w:val="0"/>
        <w:adjustRightInd w:val="0"/>
        <w:spacing w:after="0" w:line="240" w:lineRule="auto"/>
        <w:rPr>
          <w:rFonts w:ascii="Arial" w:hAnsi="Arial" w:cs="Arial"/>
          <w:sz w:val="24"/>
          <w:szCs w:val="24"/>
        </w:rPr>
      </w:pPr>
      <w:r w:rsidRPr="00725578">
        <w:rPr>
          <w:rFonts w:ascii="Arial" w:hAnsi="Arial" w:cs="Arial"/>
          <w:sz w:val="24"/>
          <w:szCs w:val="24"/>
        </w:rPr>
        <w:t xml:space="preserve">Demand for </w:t>
      </w:r>
      <w:r w:rsidR="00EE547B">
        <w:rPr>
          <w:rFonts w:ascii="Arial" w:hAnsi="Arial" w:cs="Arial"/>
          <w:sz w:val="24"/>
          <w:szCs w:val="24"/>
        </w:rPr>
        <w:t xml:space="preserve">leadership, </w:t>
      </w:r>
      <w:r w:rsidRPr="00725578">
        <w:rPr>
          <w:rFonts w:ascii="Arial" w:hAnsi="Arial" w:cs="Arial"/>
          <w:sz w:val="24"/>
          <w:szCs w:val="24"/>
        </w:rPr>
        <w:t>marketing and communication, digital and financial skills such as fundraising is set to increase. This underscores the importance of addressing the current gaps and shortages identified in these areas.</w:t>
      </w:r>
    </w:p>
    <w:p w14:paraId="5F0B9AC8" w14:textId="5B3DDFC5" w:rsidR="00005118" w:rsidRPr="00725578" w:rsidRDefault="00005118" w:rsidP="00005118">
      <w:pPr>
        <w:autoSpaceDE w:val="0"/>
        <w:autoSpaceDN w:val="0"/>
        <w:adjustRightInd w:val="0"/>
        <w:spacing w:after="0" w:line="240" w:lineRule="auto"/>
        <w:rPr>
          <w:rFonts w:ascii="Arial" w:hAnsi="Arial" w:cs="Arial"/>
          <w:color w:val="9D418F"/>
          <w:sz w:val="24"/>
          <w:szCs w:val="24"/>
        </w:rPr>
      </w:pPr>
    </w:p>
    <w:p w14:paraId="36937E0A" w14:textId="3DE7A5DA" w:rsidR="00725578" w:rsidRPr="00725578" w:rsidRDefault="00725578" w:rsidP="00725578">
      <w:pPr>
        <w:autoSpaceDE w:val="0"/>
        <w:autoSpaceDN w:val="0"/>
        <w:adjustRightInd w:val="0"/>
        <w:spacing w:after="0" w:line="240" w:lineRule="auto"/>
        <w:rPr>
          <w:rFonts w:ascii="Arial" w:hAnsi="Arial" w:cs="Arial"/>
          <w:sz w:val="24"/>
          <w:szCs w:val="24"/>
        </w:rPr>
      </w:pPr>
      <w:r w:rsidRPr="00725578">
        <w:rPr>
          <w:rFonts w:ascii="Arial" w:eastAsia="Times New Roman" w:hAnsi="Arial" w:cs="Arial"/>
          <w:sz w:val="24"/>
          <w:szCs w:val="24"/>
          <w:lang w:eastAsia="en-GB"/>
        </w:rPr>
        <w:t xml:space="preserve">Retraining, upskilling or reskilling </w:t>
      </w:r>
      <w:r w:rsidRPr="00725578">
        <w:rPr>
          <w:rFonts w:ascii="Arial" w:hAnsi="Arial" w:cs="Arial"/>
          <w:sz w:val="24"/>
          <w:szCs w:val="24"/>
        </w:rPr>
        <w:t xml:space="preserve">staff in the existing workforce provides a mechanism for addressing these skills gaps and shortages. However, the Culture and Creative sector is characterised by a high proportion of small and medium enterprises (SMEs) and sole traders. </w:t>
      </w:r>
      <w:r>
        <w:rPr>
          <w:rFonts w:ascii="Arial" w:hAnsi="Arial" w:cs="Arial"/>
          <w:sz w:val="24"/>
          <w:szCs w:val="24"/>
        </w:rPr>
        <w:t xml:space="preserve">who </w:t>
      </w:r>
      <w:r w:rsidRPr="00725578">
        <w:rPr>
          <w:rFonts w:ascii="Arial" w:hAnsi="Arial" w:cs="Arial"/>
          <w:sz w:val="24"/>
          <w:szCs w:val="24"/>
        </w:rPr>
        <w:t xml:space="preserve">face a number of challenges when accessing training, including time and </w:t>
      </w:r>
      <w:proofErr w:type="gramStart"/>
      <w:r w:rsidRPr="00725578">
        <w:rPr>
          <w:rFonts w:ascii="Arial" w:hAnsi="Arial" w:cs="Arial"/>
          <w:sz w:val="24"/>
          <w:szCs w:val="24"/>
        </w:rPr>
        <w:t>cost.</w:t>
      </w:r>
      <w:proofErr w:type="gramEnd"/>
    </w:p>
    <w:p w14:paraId="4FA17F2A" w14:textId="77777777" w:rsidR="00725578" w:rsidRDefault="00725578" w:rsidP="00005118">
      <w:pPr>
        <w:autoSpaceDE w:val="0"/>
        <w:autoSpaceDN w:val="0"/>
        <w:adjustRightInd w:val="0"/>
        <w:spacing w:after="0" w:line="240" w:lineRule="auto"/>
        <w:rPr>
          <w:rFonts w:ascii="FSAlbert-Bold" w:hAnsi="FSAlbert-Bold" w:cs="FSAlbert-Bold"/>
          <w:b/>
          <w:bCs/>
        </w:rPr>
      </w:pPr>
    </w:p>
    <w:p w14:paraId="268FAF70" w14:textId="5B674F79" w:rsidR="00725578" w:rsidRPr="00EE547B" w:rsidRDefault="00725578" w:rsidP="00725578">
      <w:pPr>
        <w:autoSpaceDE w:val="0"/>
        <w:autoSpaceDN w:val="0"/>
        <w:adjustRightInd w:val="0"/>
        <w:spacing w:after="0" w:line="240" w:lineRule="auto"/>
        <w:rPr>
          <w:rFonts w:ascii="Arial" w:hAnsi="Arial" w:cs="Arial"/>
          <w:sz w:val="24"/>
          <w:szCs w:val="24"/>
        </w:rPr>
      </w:pPr>
      <w:r w:rsidRPr="00EE547B">
        <w:rPr>
          <w:rFonts w:ascii="Arial" w:hAnsi="Arial" w:cs="Arial"/>
          <w:sz w:val="24"/>
          <w:szCs w:val="24"/>
        </w:rPr>
        <w:t>Training, including apprenticeship, is also key to addressing skills gaps in the Culture and Creative Sector.</w:t>
      </w:r>
      <w:r w:rsidR="00EC12AB">
        <w:rPr>
          <w:rFonts w:ascii="Arial" w:hAnsi="Arial" w:cs="Arial"/>
          <w:sz w:val="24"/>
          <w:szCs w:val="24"/>
        </w:rPr>
        <w:t xml:space="preserve"> </w:t>
      </w:r>
      <w:r w:rsidRPr="00EE547B">
        <w:rPr>
          <w:rFonts w:ascii="Arial" w:hAnsi="Arial" w:cs="Arial"/>
          <w:sz w:val="24"/>
          <w:szCs w:val="24"/>
        </w:rPr>
        <w:t xml:space="preserve">Apprenticeships are regarded by some employers, particularly those that </w:t>
      </w:r>
      <w:r w:rsidRPr="00EE547B">
        <w:rPr>
          <w:rFonts w:ascii="Arial" w:hAnsi="Arial" w:cs="Arial"/>
          <w:sz w:val="24"/>
          <w:szCs w:val="24"/>
        </w:rPr>
        <w:lastRenderedPageBreak/>
        <w:t>employ apprentices, as important for addressing skills shortages as well as tackling skills gaps among existing staff and increasing the diversity of the workforce. However, more needs to be done to develop the infrastructure.</w:t>
      </w:r>
    </w:p>
    <w:p w14:paraId="6910D74D" w14:textId="77777777" w:rsidR="00725578" w:rsidRPr="00EE547B" w:rsidRDefault="00725578" w:rsidP="00725578">
      <w:pPr>
        <w:autoSpaceDE w:val="0"/>
        <w:autoSpaceDN w:val="0"/>
        <w:adjustRightInd w:val="0"/>
        <w:spacing w:after="0" w:line="240" w:lineRule="auto"/>
        <w:rPr>
          <w:rFonts w:ascii="Arial" w:hAnsi="Arial" w:cs="Arial"/>
          <w:sz w:val="24"/>
          <w:szCs w:val="24"/>
        </w:rPr>
      </w:pPr>
    </w:p>
    <w:p w14:paraId="023D3342" w14:textId="0B266288" w:rsidR="00725578" w:rsidRPr="00EE547B" w:rsidRDefault="00725578" w:rsidP="00725578">
      <w:pPr>
        <w:autoSpaceDE w:val="0"/>
        <w:autoSpaceDN w:val="0"/>
        <w:adjustRightInd w:val="0"/>
        <w:spacing w:after="0" w:line="240" w:lineRule="auto"/>
        <w:rPr>
          <w:rFonts w:ascii="Arial" w:hAnsi="Arial" w:cs="Arial"/>
          <w:sz w:val="24"/>
          <w:szCs w:val="24"/>
        </w:rPr>
      </w:pPr>
      <w:r w:rsidRPr="00EE547B">
        <w:rPr>
          <w:rFonts w:ascii="Arial" w:hAnsi="Arial" w:cs="Arial"/>
          <w:sz w:val="24"/>
          <w:szCs w:val="24"/>
        </w:rPr>
        <w:t xml:space="preserve">Educating future generations and encouraging people from </w:t>
      </w:r>
      <w:r w:rsidR="005A0DC2">
        <w:rPr>
          <w:rFonts w:ascii="Arial" w:hAnsi="Arial" w:cs="Arial"/>
          <w:sz w:val="24"/>
          <w:szCs w:val="24"/>
        </w:rPr>
        <w:t xml:space="preserve">all ages and </w:t>
      </w:r>
      <w:r w:rsidRPr="00EE547B">
        <w:rPr>
          <w:rFonts w:ascii="Arial" w:hAnsi="Arial" w:cs="Arial"/>
          <w:sz w:val="24"/>
          <w:szCs w:val="24"/>
        </w:rPr>
        <w:t xml:space="preserve">diverse backgrounds to aspire to a career in the </w:t>
      </w:r>
      <w:r w:rsidR="005A0DC2">
        <w:rPr>
          <w:rFonts w:ascii="Arial" w:hAnsi="Arial" w:cs="Arial"/>
          <w:sz w:val="24"/>
          <w:szCs w:val="24"/>
        </w:rPr>
        <w:t xml:space="preserve">Culture and Creative </w:t>
      </w:r>
      <w:r w:rsidRPr="00EE547B">
        <w:rPr>
          <w:rFonts w:ascii="Arial" w:hAnsi="Arial" w:cs="Arial"/>
          <w:sz w:val="24"/>
          <w:szCs w:val="24"/>
        </w:rPr>
        <w:t xml:space="preserve">sector will help to ensure a pipeline of talent with the appropriate skills. </w:t>
      </w:r>
      <w:r w:rsidR="00EE547B" w:rsidRPr="00EE547B">
        <w:rPr>
          <w:rFonts w:ascii="Arial" w:hAnsi="Arial" w:cs="Arial"/>
          <w:sz w:val="24"/>
          <w:szCs w:val="24"/>
        </w:rPr>
        <w:t xml:space="preserve">Effective links between </w:t>
      </w:r>
      <w:r w:rsidRPr="00EE547B">
        <w:rPr>
          <w:rFonts w:ascii="Arial" w:hAnsi="Arial" w:cs="Arial"/>
          <w:sz w:val="24"/>
          <w:szCs w:val="24"/>
        </w:rPr>
        <w:t>business and schools, colleges and higher education providers</w:t>
      </w:r>
      <w:r w:rsidR="00EE547B" w:rsidRPr="00EE547B">
        <w:rPr>
          <w:rFonts w:ascii="Arial" w:hAnsi="Arial" w:cs="Arial"/>
          <w:sz w:val="24"/>
          <w:szCs w:val="24"/>
        </w:rPr>
        <w:t xml:space="preserve"> </w:t>
      </w:r>
      <w:r w:rsidR="005A0DC2">
        <w:rPr>
          <w:rFonts w:ascii="Arial" w:hAnsi="Arial" w:cs="Arial"/>
          <w:sz w:val="24"/>
          <w:szCs w:val="24"/>
        </w:rPr>
        <w:t>will</w:t>
      </w:r>
      <w:r w:rsidRPr="00EE547B">
        <w:rPr>
          <w:rFonts w:ascii="Arial" w:hAnsi="Arial" w:cs="Arial"/>
          <w:sz w:val="24"/>
          <w:szCs w:val="24"/>
        </w:rPr>
        <w:t xml:space="preserve"> help to ensure that </w:t>
      </w:r>
      <w:r w:rsidR="005A0DC2">
        <w:rPr>
          <w:rFonts w:ascii="Arial" w:hAnsi="Arial" w:cs="Arial"/>
          <w:sz w:val="24"/>
          <w:szCs w:val="24"/>
        </w:rPr>
        <w:t xml:space="preserve">provision is </w:t>
      </w:r>
      <w:r w:rsidRPr="00EE547B">
        <w:rPr>
          <w:rFonts w:ascii="Arial" w:hAnsi="Arial" w:cs="Arial"/>
          <w:sz w:val="24"/>
          <w:szCs w:val="24"/>
        </w:rPr>
        <w:t>tailored to the skills needs of the sector in the</w:t>
      </w:r>
      <w:r w:rsidR="00EE547B" w:rsidRPr="00EE547B">
        <w:rPr>
          <w:rFonts w:ascii="Arial" w:hAnsi="Arial" w:cs="Arial"/>
          <w:sz w:val="24"/>
          <w:szCs w:val="24"/>
        </w:rPr>
        <w:t xml:space="preserve"> </w:t>
      </w:r>
      <w:r w:rsidRPr="00EE547B">
        <w:rPr>
          <w:rFonts w:ascii="Arial" w:hAnsi="Arial" w:cs="Arial"/>
          <w:sz w:val="24"/>
          <w:szCs w:val="24"/>
        </w:rPr>
        <w:t>future.</w:t>
      </w:r>
    </w:p>
    <w:p w14:paraId="4A85B395" w14:textId="6BADCB4E" w:rsidR="00725578" w:rsidRPr="00EE547B" w:rsidRDefault="00725578" w:rsidP="00005118">
      <w:pPr>
        <w:autoSpaceDE w:val="0"/>
        <w:autoSpaceDN w:val="0"/>
        <w:adjustRightInd w:val="0"/>
        <w:spacing w:after="0" w:line="240" w:lineRule="auto"/>
        <w:rPr>
          <w:rFonts w:ascii="Arial" w:hAnsi="Arial" w:cs="Arial"/>
          <w:b/>
          <w:bCs/>
          <w:sz w:val="24"/>
          <w:szCs w:val="24"/>
        </w:rPr>
      </w:pPr>
    </w:p>
    <w:p w14:paraId="609C07D6" w14:textId="6C7E06CE" w:rsidR="00F16CD6" w:rsidRPr="00CA6C6D" w:rsidRDefault="00F16CD6" w:rsidP="00057DCD">
      <w:pPr>
        <w:pStyle w:val="Heading1"/>
        <w:numPr>
          <w:ilvl w:val="0"/>
          <w:numId w:val="45"/>
        </w:numPr>
        <w:ind w:left="567" w:hanging="567"/>
      </w:pPr>
      <w:bookmarkStart w:id="4" w:name="_Toc84450578"/>
      <w:r w:rsidRPr="00CA6C6D">
        <w:t>Call Details: Overarching Principles</w:t>
      </w:r>
      <w:bookmarkEnd w:id="4"/>
      <w:r w:rsidR="00C270E4" w:rsidRPr="00CA6C6D">
        <w:t xml:space="preserve"> </w:t>
      </w:r>
    </w:p>
    <w:p w14:paraId="39D80F23" w14:textId="77777777" w:rsidR="00586945" w:rsidRPr="00586945" w:rsidRDefault="00586945" w:rsidP="00586945">
      <w:pPr>
        <w:pStyle w:val="ListParagraph"/>
        <w:spacing w:after="0" w:line="240" w:lineRule="auto"/>
        <w:ind w:left="360"/>
        <w:jc w:val="both"/>
        <w:rPr>
          <w:rFonts w:ascii="Arial" w:eastAsia="Times New Roman" w:hAnsi="Arial" w:cs="Arial"/>
          <w:b/>
          <w:sz w:val="24"/>
          <w:szCs w:val="24"/>
        </w:rPr>
      </w:pPr>
    </w:p>
    <w:p w14:paraId="52FA1803" w14:textId="0AC246E7" w:rsidR="00EE547B" w:rsidRDefault="00F16CD6" w:rsidP="00EE547B">
      <w:pPr>
        <w:shd w:val="clear" w:color="auto" w:fill="FFFFFF"/>
        <w:spacing w:after="0" w:line="240" w:lineRule="auto"/>
        <w:rPr>
          <w:rFonts w:ascii="Arial" w:eastAsia="Batang" w:hAnsi="Arial" w:cs="Arial"/>
          <w:sz w:val="24"/>
          <w:szCs w:val="24"/>
        </w:rPr>
      </w:pPr>
      <w:r w:rsidRPr="000F0D8B">
        <w:rPr>
          <w:rFonts w:ascii="Arial" w:eastAsia="Batang" w:hAnsi="Arial" w:cs="Arial"/>
          <w:sz w:val="24"/>
          <w:szCs w:val="24"/>
        </w:rPr>
        <w:t xml:space="preserve">This funding call presents an opportunity for a range of organisations and partnerships to come forward with ideas for projects, collaborations and proposals for co-investment </w:t>
      </w:r>
      <w:r w:rsidR="003818AE" w:rsidRPr="000F0D8B">
        <w:rPr>
          <w:rFonts w:ascii="Arial" w:eastAsia="Batang" w:hAnsi="Arial" w:cs="Arial"/>
          <w:sz w:val="24"/>
          <w:szCs w:val="24"/>
        </w:rPr>
        <w:t xml:space="preserve">in skills interventions that </w:t>
      </w:r>
      <w:r w:rsidR="00EE547B">
        <w:rPr>
          <w:rFonts w:ascii="Arial" w:eastAsia="Batang" w:hAnsi="Arial" w:cs="Arial"/>
          <w:sz w:val="24"/>
          <w:szCs w:val="24"/>
        </w:rPr>
        <w:t>will support recovery and growth in the Culture, Creative and Tourism sector.</w:t>
      </w:r>
      <w:r w:rsidR="00EC12AB">
        <w:rPr>
          <w:rFonts w:ascii="Arial" w:eastAsia="Batang" w:hAnsi="Arial" w:cs="Arial"/>
          <w:sz w:val="24"/>
          <w:szCs w:val="24"/>
        </w:rPr>
        <w:t xml:space="preserve"> </w:t>
      </w:r>
    </w:p>
    <w:p w14:paraId="6B78B2FC" w14:textId="77777777" w:rsidR="00F16CD6" w:rsidRPr="00CE68F9" w:rsidRDefault="00F16CD6" w:rsidP="003B3C7D">
      <w:pPr>
        <w:spacing w:after="0" w:line="240" w:lineRule="auto"/>
        <w:rPr>
          <w:rFonts w:ascii="Arial" w:eastAsia="Batang" w:hAnsi="Arial" w:cs="Arial"/>
          <w:b/>
          <w:bCs/>
          <w:sz w:val="24"/>
          <w:szCs w:val="24"/>
        </w:rPr>
      </w:pPr>
    </w:p>
    <w:p w14:paraId="10776EA7" w14:textId="23A0A0DD" w:rsidR="00F16CD6" w:rsidRPr="006A6AD2" w:rsidRDefault="00F16CD6" w:rsidP="003B3C7D">
      <w:pPr>
        <w:spacing w:after="0" w:line="240" w:lineRule="auto"/>
        <w:rPr>
          <w:rFonts w:ascii="Arial" w:hAnsi="Arial" w:cs="Arial"/>
          <w:sz w:val="24"/>
          <w:szCs w:val="24"/>
        </w:rPr>
      </w:pPr>
      <w:r w:rsidRPr="006A6AD2">
        <w:rPr>
          <w:rFonts w:ascii="Arial" w:eastAsia="Batang" w:hAnsi="Arial" w:cs="Arial"/>
          <w:sz w:val="24"/>
          <w:szCs w:val="24"/>
        </w:rPr>
        <w:t xml:space="preserve">The </w:t>
      </w:r>
      <w:r w:rsidR="006A6AD2" w:rsidRPr="006A6AD2">
        <w:rPr>
          <w:rFonts w:ascii="Arial" w:eastAsia="Batang" w:hAnsi="Arial" w:cs="Arial"/>
          <w:sz w:val="24"/>
          <w:szCs w:val="24"/>
        </w:rPr>
        <w:t>o</w:t>
      </w:r>
      <w:r w:rsidRPr="006A6AD2">
        <w:rPr>
          <w:rFonts w:ascii="Arial" w:eastAsia="Batang" w:hAnsi="Arial" w:cs="Arial"/>
          <w:sz w:val="24"/>
          <w:szCs w:val="24"/>
        </w:rPr>
        <w:t xml:space="preserve">verarching </w:t>
      </w:r>
      <w:r w:rsidR="006A6AD2" w:rsidRPr="006A6AD2">
        <w:rPr>
          <w:rFonts w:ascii="Arial" w:eastAsia="Batang" w:hAnsi="Arial" w:cs="Arial"/>
          <w:sz w:val="24"/>
          <w:szCs w:val="24"/>
        </w:rPr>
        <w:t>p</w:t>
      </w:r>
      <w:r w:rsidRPr="006A6AD2">
        <w:rPr>
          <w:rFonts w:ascii="Arial" w:eastAsia="Batang" w:hAnsi="Arial" w:cs="Arial"/>
          <w:sz w:val="24"/>
          <w:szCs w:val="24"/>
        </w:rPr>
        <w:t xml:space="preserve">rinciples for this call are that proposals submitted should be: </w:t>
      </w:r>
    </w:p>
    <w:p w14:paraId="50DCAEF2" w14:textId="77777777" w:rsidR="00F16CD6" w:rsidRPr="00CE68F9" w:rsidRDefault="00F16CD6" w:rsidP="003B3C7D">
      <w:pPr>
        <w:spacing w:after="0" w:line="240" w:lineRule="auto"/>
        <w:rPr>
          <w:rFonts w:ascii="Arial" w:eastAsia="Batang" w:hAnsi="Arial" w:cs="Arial"/>
          <w:sz w:val="24"/>
          <w:szCs w:val="24"/>
        </w:rPr>
      </w:pPr>
    </w:p>
    <w:p w14:paraId="3D304F2F" w14:textId="7B225841" w:rsidR="00F16CD6" w:rsidRDefault="00F16CD6" w:rsidP="003B3C7D">
      <w:pPr>
        <w:numPr>
          <w:ilvl w:val="0"/>
          <w:numId w:val="6"/>
        </w:numPr>
        <w:spacing w:after="0" w:line="240" w:lineRule="auto"/>
        <w:ind w:left="714" w:hanging="357"/>
        <w:rPr>
          <w:rFonts w:ascii="Arial" w:eastAsia="Times New Roman" w:hAnsi="Arial" w:cs="Arial"/>
          <w:sz w:val="24"/>
          <w:szCs w:val="24"/>
        </w:rPr>
      </w:pPr>
      <w:r w:rsidRPr="00D81ED1">
        <w:rPr>
          <w:rFonts w:ascii="Arial" w:eastAsia="Times New Roman" w:hAnsi="Arial" w:cs="Arial"/>
          <w:sz w:val="24"/>
          <w:szCs w:val="24"/>
        </w:rPr>
        <w:t>Evidence led and clearly demonstrate need, complementarity to existing support/investment, and strong strategic fit with local and national policy objectives</w:t>
      </w:r>
      <w:r w:rsidR="00572746">
        <w:rPr>
          <w:rFonts w:ascii="Arial" w:eastAsia="Times New Roman" w:hAnsi="Arial" w:cs="Arial"/>
          <w:sz w:val="24"/>
          <w:szCs w:val="24"/>
        </w:rPr>
        <w:t xml:space="preserve"> related to </w:t>
      </w:r>
      <w:r w:rsidR="00EE547B">
        <w:rPr>
          <w:rFonts w:ascii="Arial" w:eastAsia="Times New Roman" w:hAnsi="Arial" w:cs="Arial"/>
          <w:sz w:val="24"/>
          <w:szCs w:val="24"/>
        </w:rPr>
        <w:t>the Culture and Creative Sector.</w:t>
      </w:r>
      <w:r w:rsidR="00EC12AB">
        <w:rPr>
          <w:rFonts w:ascii="Arial" w:eastAsia="Times New Roman" w:hAnsi="Arial" w:cs="Arial"/>
          <w:sz w:val="24"/>
          <w:szCs w:val="24"/>
        </w:rPr>
        <w:t xml:space="preserve"> </w:t>
      </w:r>
    </w:p>
    <w:p w14:paraId="75DF21FE" w14:textId="77777777" w:rsidR="003B3C7D" w:rsidRDefault="003B3C7D" w:rsidP="003B3C7D">
      <w:pPr>
        <w:spacing w:after="0" w:line="240" w:lineRule="auto"/>
        <w:ind w:left="714"/>
        <w:rPr>
          <w:rFonts w:ascii="Arial" w:eastAsia="Times New Roman" w:hAnsi="Arial" w:cs="Arial"/>
          <w:sz w:val="24"/>
          <w:szCs w:val="24"/>
        </w:rPr>
      </w:pPr>
    </w:p>
    <w:p w14:paraId="2919F556" w14:textId="1D49C331" w:rsidR="00AA1862" w:rsidRDefault="00AA1862" w:rsidP="003B3C7D">
      <w:pPr>
        <w:pStyle w:val="Default"/>
        <w:numPr>
          <w:ilvl w:val="0"/>
          <w:numId w:val="6"/>
        </w:numPr>
      </w:pPr>
      <w:r>
        <w:t>Linked to inward investment and job opportunities in the NTCA region.</w:t>
      </w:r>
      <w:r w:rsidR="00EC12AB">
        <w:t xml:space="preserve"> </w:t>
      </w:r>
      <w:r>
        <w:t>We aim to</w:t>
      </w:r>
      <w:r w:rsidRPr="00C270E4">
        <w:t xml:space="preserve"> invest in skills and training </w:t>
      </w:r>
      <w:r>
        <w:t xml:space="preserve">projects that are designed </w:t>
      </w:r>
      <w:r w:rsidRPr="00C270E4">
        <w:t>in collaboration with project developers</w:t>
      </w:r>
      <w:r>
        <w:t xml:space="preserve"> and </w:t>
      </w:r>
      <w:r w:rsidRPr="00C270E4">
        <w:t xml:space="preserve">existing local </w:t>
      </w:r>
      <w:r w:rsidR="005A0DC2">
        <w:t xml:space="preserve">businesses </w:t>
      </w:r>
      <w:r w:rsidRPr="00C270E4">
        <w:t xml:space="preserve">operating in </w:t>
      </w:r>
      <w:r>
        <w:t xml:space="preserve">our region. </w:t>
      </w:r>
    </w:p>
    <w:p w14:paraId="10071C55" w14:textId="77777777" w:rsidR="00AA1862" w:rsidRPr="00AA1862" w:rsidRDefault="00AA1862" w:rsidP="003B3C7D">
      <w:pPr>
        <w:pStyle w:val="Default"/>
        <w:ind w:left="720"/>
      </w:pPr>
    </w:p>
    <w:p w14:paraId="735E23E5" w14:textId="77777777" w:rsidR="003B3C7D" w:rsidRDefault="00F16CD6" w:rsidP="003B3C7D">
      <w:pPr>
        <w:numPr>
          <w:ilvl w:val="0"/>
          <w:numId w:val="6"/>
        </w:numPr>
        <w:spacing w:after="0" w:line="240" w:lineRule="auto"/>
        <w:ind w:left="714" w:hanging="357"/>
        <w:rPr>
          <w:rFonts w:ascii="Arial" w:eastAsia="Times New Roman" w:hAnsi="Arial" w:cs="Arial"/>
          <w:sz w:val="24"/>
          <w:szCs w:val="24"/>
        </w:rPr>
      </w:pPr>
      <w:r w:rsidRPr="00D81ED1">
        <w:rPr>
          <w:rFonts w:ascii="Arial" w:eastAsia="Times New Roman" w:hAnsi="Arial" w:cs="Arial"/>
          <w:sz w:val="24"/>
          <w:szCs w:val="24"/>
        </w:rPr>
        <w:t xml:space="preserve">Collaborative, partnership based and, where possible, </w:t>
      </w:r>
      <w:r w:rsidR="008D4923">
        <w:rPr>
          <w:rFonts w:ascii="Arial" w:eastAsia="Times New Roman" w:hAnsi="Arial" w:cs="Arial"/>
          <w:sz w:val="24"/>
          <w:szCs w:val="24"/>
        </w:rPr>
        <w:t>employer</w:t>
      </w:r>
      <w:r w:rsidRPr="00D81ED1">
        <w:rPr>
          <w:rFonts w:ascii="Arial" w:eastAsia="Times New Roman" w:hAnsi="Arial" w:cs="Arial"/>
          <w:sz w:val="24"/>
          <w:szCs w:val="24"/>
        </w:rPr>
        <w:t xml:space="preserve"> led or backed. This might, for example, include formalised consortia approaches where appropriate</w:t>
      </w:r>
      <w:r>
        <w:rPr>
          <w:rFonts w:ascii="Arial" w:eastAsia="Times New Roman" w:hAnsi="Arial" w:cs="Arial"/>
          <w:sz w:val="24"/>
          <w:szCs w:val="24"/>
        </w:rPr>
        <w:t>.</w:t>
      </w:r>
      <w:r w:rsidRPr="00D81ED1">
        <w:rPr>
          <w:rFonts w:ascii="Arial" w:eastAsia="Times New Roman" w:hAnsi="Arial" w:cs="Arial"/>
          <w:sz w:val="24"/>
          <w:szCs w:val="24"/>
        </w:rPr>
        <w:t xml:space="preserve"> </w:t>
      </w:r>
    </w:p>
    <w:p w14:paraId="061F441F" w14:textId="16B68841" w:rsidR="00067736" w:rsidRPr="005A0DC2" w:rsidRDefault="00F16CD6" w:rsidP="005A0DC2">
      <w:pPr>
        <w:spacing w:after="0" w:line="240" w:lineRule="auto"/>
        <w:ind w:left="714"/>
        <w:rPr>
          <w:rFonts w:ascii="Arial" w:eastAsia="Times New Roman" w:hAnsi="Arial" w:cs="Arial"/>
          <w:sz w:val="24"/>
          <w:szCs w:val="24"/>
        </w:rPr>
      </w:pPr>
      <w:r w:rsidRPr="00D81ED1">
        <w:rPr>
          <w:rFonts w:ascii="Arial" w:eastAsia="Times New Roman" w:hAnsi="Arial" w:cs="Arial"/>
          <w:sz w:val="24"/>
          <w:szCs w:val="24"/>
        </w:rPr>
        <w:t xml:space="preserve"> </w:t>
      </w:r>
    </w:p>
    <w:p w14:paraId="3C0B0C48" w14:textId="5D35C034" w:rsidR="00745A7B" w:rsidRPr="005A0DC2" w:rsidRDefault="00067736" w:rsidP="00B63806">
      <w:pPr>
        <w:pStyle w:val="ListParagraph"/>
        <w:numPr>
          <w:ilvl w:val="0"/>
          <w:numId w:val="6"/>
        </w:numPr>
        <w:spacing w:after="0" w:line="240" w:lineRule="auto"/>
        <w:rPr>
          <w:rFonts w:ascii="Arial" w:hAnsi="Arial" w:cs="Arial"/>
          <w:b/>
          <w:bCs/>
          <w:sz w:val="24"/>
          <w:szCs w:val="24"/>
        </w:rPr>
      </w:pPr>
      <w:r w:rsidRPr="005A0DC2">
        <w:rPr>
          <w:rFonts w:ascii="Arial" w:hAnsi="Arial" w:cs="Arial"/>
          <w:sz w:val="24"/>
          <w:szCs w:val="24"/>
        </w:rPr>
        <w:t xml:space="preserve">Providing skills/training in areas for which there is </w:t>
      </w:r>
      <w:r w:rsidR="00D55425" w:rsidRPr="005A0DC2">
        <w:rPr>
          <w:rFonts w:ascii="Arial" w:hAnsi="Arial" w:cs="Arial"/>
          <w:sz w:val="24"/>
          <w:szCs w:val="24"/>
        </w:rPr>
        <w:t xml:space="preserve">anticipated </w:t>
      </w:r>
      <w:r w:rsidRPr="005A0DC2">
        <w:rPr>
          <w:rFonts w:ascii="Arial" w:hAnsi="Arial" w:cs="Arial"/>
          <w:sz w:val="24"/>
          <w:szCs w:val="24"/>
        </w:rPr>
        <w:t xml:space="preserve">demand. </w:t>
      </w:r>
      <w:r w:rsidR="005A0DC2" w:rsidRPr="005A0DC2">
        <w:rPr>
          <w:rFonts w:ascii="Arial" w:hAnsi="Arial" w:cs="Arial"/>
          <w:sz w:val="24"/>
          <w:szCs w:val="24"/>
        </w:rPr>
        <w:t>Leadership, marketing and communication, digital and financial skills such as fundraising are set to increase. These skills are integral to continued recovery and growth within the Culture and Creative sector.</w:t>
      </w:r>
      <w:r w:rsidR="00EC12AB">
        <w:rPr>
          <w:rFonts w:ascii="Arial" w:hAnsi="Arial" w:cs="Arial"/>
          <w:sz w:val="24"/>
          <w:szCs w:val="24"/>
        </w:rPr>
        <w:t xml:space="preserve"> </w:t>
      </w:r>
    </w:p>
    <w:p w14:paraId="70CE69AF" w14:textId="77777777" w:rsidR="005A0DC2" w:rsidRPr="005A0DC2" w:rsidRDefault="005A0DC2" w:rsidP="005A0DC2">
      <w:pPr>
        <w:pStyle w:val="ListParagraph"/>
        <w:spacing w:after="0" w:line="240" w:lineRule="auto"/>
        <w:rPr>
          <w:rFonts w:ascii="Arial" w:hAnsi="Arial" w:cs="Arial"/>
          <w:b/>
          <w:bCs/>
          <w:sz w:val="24"/>
          <w:szCs w:val="24"/>
        </w:rPr>
      </w:pPr>
    </w:p>
    <w:p w14:paraId="32358679" w14:textId="01007156" w:rsidR="003B3C7D" w:rsidRPr="005A0DC2" w:rsidRDefault="00FC73D5" w:rsidP="00027DCC">
      <w:pPr>
        <w:pStyle w:val="ListParagraph"/>
        <w:numPr>
          <w:ilvl w:val="0"/>
          <w:numId w:val="6"/>
        </w:numPr>
        <w:autoSpaceDE w:val="0"/>
        <w:autoSpaceDN w:val="0"/>
        <w:adjustRightInd w:val="0"/>
        <w:spacing w:after="0" w:line="240" w:lineRule="auto"/>
        <w:ind w:left="714" w:hanging="357"/>
        <w:rPr>
          <w:rFonts w:ascii="Arial" w:eastAsia="Times New Roman" w:hAnsi="Arial" w:cs="Arial"/>
          <w:sz w:val="24"/>
          <w:szCs w:val="24"/>
        </w:rPr>
      </w:pPr>
      <w:r>
        <w:rPr>
          <w:rFonts w:ascii="Arial" w:hAnsi="Arial" w:cs="Arial"/>
          <w:color w:val="000000"/>
          <w:sz w:val="24"/>
          <w:szCs w:val="24"/>
        </w:rPr>
        <w:t>Inclusive - e</w:t>
      </w:r>
      <w:r w:rsidR="00D55425" w:rsidRPr="005A0DC2">
        <w:rPr>
          <w:rFonts w:ascii="Arial" w:hAnsi="Arial" w:cs="Arial"/>
          <w:color w:val="000000"/>
          <w:sz w:val="24"/>
          <w:szCs w:val="24"/>
        </w:rPr>
        <w:t xml:space="preserve">nsuring </w:t>
      </w:r>
      <w:r w:rsidR="005A0DC2" w:rsidRPr="005A0DC2">
        <w:rPr>
          <w:rFonts w:ascii="Arial" w:hAnsi="Arial" w:cs="Arial"/>
          <w:color w:val="000000"/>
          <w:sz w:val="24"/>
          <w:szCs w:val="24"/>
        </w:rPr>
        <w:t xml:space="preserve">skills and employment opportunities in the Culture and Creative sector </w:t>
      </w:r>
      <w:r w:rsidR="00D55425" w:rsidRPr="005A0DC2">
        <w:rPr>
          <w:rFonts w:ascii="Arial" w:hAnsi="Arial" w:cs="Arial"/>
          <w:color w:val="000000"/>
          <w:sz w:val="24"/>
          <w:szCs w:val="24"/>
        </w:rPr>
        <w:t>are open to all, promoting d</w:t>
      </w:r>
      <w:r w:rsidR="00A46B4E" w:rsidRPr="005A0DC2">
        <w:rPr>
          <w:rFonts w:ascii="Arial" w:hAnsi="Arial" w:cs="Arial"/>
          <w:sz w:val="24"/>
          <w:szCs w:val="24"/>
        </w:rPr>
        <w:t xml:space="preserve">iversity and </w:t>
      </w:r>
      <w:r w:rsidR="00D55425" w:rsidRPr="005A0DC2">
        <w:rPr>
          <w:rFonts w:ascii="Arial" w:hAnsi="Arial" w:cs="Arial"/>
          <w:sz w:val="24"/>
          <w:szCs w:val="24"/>
        </w:rPr>
        <w:t xml:space="preserve">addressing </w:t>
      </w:r>
      <w:r w:rsidR="00A46B4E" w:rsidRPr="005A0DC2">
        <w:rPr>
          <w:rFonts w:ascii="Arial" w:hAnsi="Arial" w:cs="Arial"/>
          <w:sz w:val="24"/>
          <w:szCs w:val="24"/>
        </w:rPr>
        <w:t>economic inclusion issues</w:t>
      </w:r>
      <w:r w:rsidR="00D55425" w:rsidRPr="005A0DC2">
        <w:rPr>
          <w:rFonts w:ascii="Arial" w:hAnsi="Arial" w:cs="Arial"/>
          <w:sz w:val="24"/>
          <w:szCs w:val="24"/>
        </w:rPr>
        <w:t>.</w:t>
      </w:r>
      <w:r w:rsidR="00EC12AB">
        <w:rPr>
          <w:rFonts w:ascii="Arial" w:hAnsi="Arial" w:cs="Arial"/>
          <w:sz w:val="24"/>
          <w:szCs w:val="24"/>
        </w:rPr>
        <w:t xml:space="preserve"> </w:t>
      </w:r>
      <w:r w:rsidR="00D55425" w:rsidRPr="005A0DC2">
        <w:rPr>
          <w:rFonts w:ascii="Arial" w:hAnsi="Arial" w:cs="Arial"/>
          <w:sz w:val="24"/>
          <w:szCs w:val="24"/>
        </w:rPr>
        <w:t>Proposals should</w:t>
      </w:r>
      <w:r w:rsidR="00F16CD6" w:rsidRPr="005A0DC2">
        <w:rPr>
          <w:rFonts w:ascii="Arial" w:eastAsia="Times New Roman" w:hAnsi="Arial" w:cs="Arial"/>
          <w:sz w:val="24"/>
          <w:szCs w:val="24"/>
        </w:rPr>
        <w:t xml:space="preserve"> </w:t>
      </w:r>
      <w:r w:rsidR="00745A7B" w:rsidRPr="005A0DC2">
        <w:rPr>
          <w:rFonts w:ascii="Arial" w:hAnsi="Arial" w:cs="Arial"/>
          <w:sz w:val="24"/>
          <w:szCs w:val="24"/>
        </w:rPr>
        <w:t>tackle barriers to retraining and upskilling</w:t>
      </w:r>
      <w:r w:rsidR="005A0DC2" w:rsidRPr="005A0DC2">
        <w:rPr>
          <w:rFonts w:ascii="Arial" w:hAnsi="Arial" w:cs="Arial"/>
          <w:sz w:val="24"/>
          <w:szCs w:val="24"/>
        </w:rPr>
        <w:t xml:space="preserve"> the existing workforce as well as encouraging people of all ages from diverse backgrounds to aspire to a career in the Culture and Creative sector.</w:t>
      </w:r>
      <w:r w:rsidR="00EC12AB">
        <w:rPr>
          <w:rFonts w:ascii="Arial" w:hAnsi="Arial" w:cs="Arial"/>
          <w:sz w:val="24"/>
          <w:szCs w:val="24"/>
        </w:rPr>
        <w:t xml:space="preserve"> </w:t>
      </w:r>
    </w:p>
    <w:p w14:paraId="7628D8ED" w14:textId="77777777" w:rsidR="005A0DC2" w:rsidRPr="00D55425" w:rsidRDefault="005A0DC2" w:rsidP="005A0DC2">
      <w:pPr>
        <w:pStyle w:val="ListParagraph"/>
        <w:autoSpaceDE w:val="0"/>
        <w:autoSpaceDN w:val="0"/>
        <w:adjustRightInd w:val="0"/>
        <w:spacing w:after="0" w:line="240" w:lineRule="auto"/>
        <w:ind w:left="714"/>
        <w:rPr>
          <w:rFonts w:ascii="Arial" w:eastAsia="Times New Roman" w:hAnsi="Arial" w:cs="Arial"/>
          <w:sz w:val="24"/>
          <w:szCs w:val="24"/>
        </w:rPr>
      </w:pPr>
    </w:p>
    <w:p w14:paraId="62C81041" w14:textId="4322EA0B" w:rsidR="00F16CD6" w:rsidRDefault="00572746" w:rsidP="003B3C7D">
      <w:pPr>
        <w:numPr>
          <w:ilvl w:val="0"/>
          <w:numId w:val="6"/>
        </w:numPr>
        <w:spacing w:after="0" w:line="240" w:lineRule="auto"/>
        <w:ind w:left="714" w:hanging="357"/>
        <w:rPr>
          <w:rFonts w:ascii="Arial" w:eastAsia="Times New Roman" w:hAnsi="Arial" w:cs="Arial"/>
          <w:sz w:val="24"/>
          <w:szCs w:val="24"/>
        </w:rPr>
      </w:pPr>
      <w:r w:rsidRPr="00D55425">
        <w:rPr>
          <w:rFonts w:ascii="Arial" w:eastAsia="Times New Roman" w:hAnsi="Arial" w:cs="Arial"/>
          <w:sz w:val="24"/>
          <w:szCs w:val="24"/>
        </w:rPr>
        <w:t>A</w:t>
      </w:r>
      <w:r w:rsidR="00F16CD6" w:rsidRPr="00D55425">
        <w:rPr>
          <w:rFonts w:ascii="Arial" w:eastAsia="Times New Roman" w:hAnsi="Arial" w:cs="Arial"/>
          <w:sz w:val="24"/>
          <w:szCs w:val="24"/>
        </w:rPr>
        <w:t>dding value to a wide range of other support and not duplicating existing activity.</w:t>
      </w:r>
      <w:r w:rsidR="00D55425" w:rsidRPr="00D55425">
        <w:rPr>
          <w:rFonts w:ascii="Arial" w:eastAsia="Times New Roman" w:hAnsi="Arial" w:cs="Arial"/>
          <w:sz w:val="24"/>
          <w:szCs w:val="24"/>
        </w:rPr>
        <w:t xml:space="preserve"> </w:t>
      </w:r>
      <w:r w:rsidR="003818AE" w:rsidRPr="00D55425">
        <w:rPr>
          <w:rFonts w:ascii="Arial" w:eastAsia="Times New Roman" w:hAnsi="Arial" w:cs="Arial"/>
          <w:sz w:val="24"/>
          <w:szCs w:val="24"/>
        </w:rPr>
        <w:t>L</w:t>
      </w:r>
      <w:r w:rsidR="00F16CD6" w:rsidRPr="00D55425">
        <w:rPr>
          <w:rFonts w:ascii="Arial" w:eastAsia="Times New Roman" w:hAnsi="Arial" w:cs="Arial"/>
          <w:sz w:val="24"/>
          <w:szCs w:val="24"/>
        </w:rPr>
        <w:t>evering other funding where possible.</w:t>
      </w:r>
    </w:p>
    <w:p w14:paraId="2D79916C" w14:textId="77777777" w:rsidR="006A6AD2" w:rsidRDefault="006A6AD2" w:rsidP="006A6AD2">
      <w:pPr>
        <w:spacing w:after="0" w:line="240" w:lineRule="auto"/>
        <w:ind w:left="714"/>
        <w:rPr>
          <w:rFonts w:ascii="Arial" w:eastAsia="Times New Roman" w:hAnsi="Arial" w:cs="Arial"/>
          <w:sz w:val="24"/>
          <w:szCs w:val="24"/>
        </w:rPr>
      </w:pPr>
    </w:p>
    <w:p w14:paraId="0CE87055" w14:textId="5ED10744" w:rsidR="00F16CD6" w:rsidRDefault="00572746" w:rsidP="00C03DDE">
      <w:pPr>
        <w:numPr>
          <w:ilvl w:val="0"/>
          <w:numId w:val="6"/>
        </w:numPr>
        <w:spacing w:after="0" w:line="240" w:lineRule="auto"/>
        <w:ind w:left="714" w:hanging="357"/>
        <w:jc w:val="both"/>
        <w:rPr>
          <w:rFonts w:ascii="Arial" w:eastAsia="Times New Roman" w:hAnsi="Arial" w:cs="Arial"/>
          <w:sz w:val="24"/>
          <w:szCs w:val="24"/>
        </w:rPr>
      </w:pPr>
      <w:r>
        <w:rPr>
          <w:rFonts w:ascii="Arial" w:eastAsia="Times New Roman" w:hAnsi="Arial" w:cs="Arial"/>
          <w:sz w:val="24"/>
          <w:szCs w:val="24"/>
        </w:rPr>
        <w:t>C</w:t>
      </w:r>
      <w:r w:rsidR="00F16CD6" w:rsidRPr="00D81ED1">
        <w:rPr>
          <w:rFonts w:ascii="Arial" w:eastAsia="Times New Roman" w:hAnsi="Arial" w:cs="Arial"/>
          <w:sz w:val="24"/>
          <w:szCs w:val="24"/>
        </w:rPr>
        <w:t>onsistent with wider NTCA values, including around a Social and inclusive economy and sustainability objectives.</w:t>
      </w:r>
    </w:p>
    <w:p w14:paraId="54DBD714" w14:textId="10D7105B" w:rsidR="006A6AD2" w:rsidRDefault="006A6AD2" w:rsidP="00C03DDE">
      <w:pPr>
        <w:spacing w:after="0" w:line="240" w:lineRule="auto"/>
        <w:jc w:val="both"/>
        <w:rPr>
          <w:rFonts w:ascii="Arial" w:eastAsia="Times New Roman" w:hAnsi="Arial" w:cs="Arial"/>
          <w:sz w:val="24"/>
          <w:szCs w:val="24"/>
        </w:rPr>
      </w:pPr>
    </w:p>
    <w:p w14:paraId="259B30BA" w14:textId="3C0BB068" w:rsidR="006A6AD2" w:rsidRPr="009E1F96" w:rsidRDefault="007E4CF7" w:rsidP="00C03DDE">
      <w:pPr>
        <w:spacing w:after="0" w:line="240" w:lineRule="auto"/>
        <w:jc w:val="both"/>
        <w:rPr>
          <w:rFonts w:ascii="Arial" w:eastAsia="Times New Roman" w:hAnsi="Arial" w:cs="Arial"/>
          <w:b/>
          <w:bCs/>
          <w:sz w:val="24"/>
          <w:szCs w:val="24"/>
        </w:rPr>
      </w:pPr>
      <w:r w:rsidRPr="007E4CF7">
        <w:rPr>
          <w:rFonts w:ascii="Arial" w:eastAsia="Times New Roman" w:hAnsi="Arial" w:cs="Arial"/>
          <w:b/>
          <w:bCs/>
          <w:sz w:val="24"/>
          <w:szCs w:val="24"/>
        </w:rPr>
        <w:t>Note:</w:t>
      </w:r>
      <w:r>
        <w:rPr>
          <w:rFonts w:ascii="Arial" w:eastAsia="Times New Roman" w:hAnsi="Arial" w:cs="Arial"/>
          <w:sz w:val="24"/>
          <w:szCs w:val="24"/>
        </w:rPr>
        <w:t xml:space="preserve"> </w:t>
      </w:r>
      <w:r w:rsidR="001775D2" w:rsidRPr="009E1F96">
        <w:rPr>
          <w:rFonts w:ascii="Arial" w:eastAsia="Times New Roman" w:hAnsi="Arial" w:cs="Arial"/>
          <w:b/>
          <w:bCs/>
          <w:sz w:val="24"/>
          <w:szCs w:val="24"/>
        </w:rPr>
        <w:t xml:space="preserve">For further detail on the funding </w:t>
      </w:r>
      <w:r w:rsidRPr="009E1F96">
        <w:rPr>
          <w:rFonts w:ascii="Arial" w:eastAsia="Times New Roman" w:hAnsi="Arial" w:cs="Arial"/>
          <w:b/>
          <w:bCs/>
          <w:sz w:val="24"/>
          <w:szCs w:val="24"/>
        </w:rPr>
        <w:t>parameters</w:t>
      </w:r>
      <w:r w:rsidR="001775D2" w:rsidRPr="009E1F96">
        <w:rPr>
          <w:rFonts w:ascii="Arial" w:eastAsia="Times New Roman" w:hAnsi="Arial" w:cs="Arial"/>
          <w:b/>
          <w:bCs/>
          <w:sz w:val="24"/>
          <w:szCs w:val="24"/>
        </w:rPr>
        <w:t xml:space="preserve"> please refer to Annex </w:t>
      </w:r>
      <w:r w:rsidR="006305AD" w:rsidRPr="009E1F96">
        <w:rPr>
          <w:rFonts w:ascii="Arial" w:eastAsia="Times New Roman" w:hAnsi="Arial" w:cs="Arial"/>
          <w:b/>
          <w:bCs/>
          <w:sz w:val="24"/>
          <w:szCs w:val="24"/>
        </w:rPr>
        <w:t>A</w:t>
      </w:r>
      <w:r w:rsidRPr="009E1F96">
        <w:rPr>
          <w:rFonts w:ascii="Arial" w:eastAsia="Times New Roman" w:hAnsi="Arial" w:cs="Arial"/>
          <w:b/>
          <w:bCs/>
          <w:sz w:val="24"/>
          <w:szCs w:val="24"/>
        </w:rPr>
        <w:t xml:space="preserve">. </w:t>
      </w:r>
    </w:p>
    <w:p w14:paraId="6AB83491" w14:textId="37C59FDA" w:rsidR="006A6AD2" w:rsidRDefault="006A6AD2" w:rsidP="00C03DDE">
      <w:pPr>
        <w:spacing w:after="0" w:line="240" w:lineRule="auto"/>
        <w:jc w:val="both"/>
        <w:rPr>
          <w:rFonts w:ascii="Arial" w:eastAsia="Times New Roman" w:hAnsi="Arial" w:cs="Arial"/>
          <w:sz w:val="24"/>
          <w:szCs w:val="24"/>
        </w:rPr>
      </w:pPr>
    </w:p>
    <w:p w14:paraId="3149BB4E" w14:textId="6E4BADF9" w:rsidR="00F16CD6" w:rsidRPr="00057DCD" w:rsidRDefault="00F16CD6" w:rsidP="00057DCD">
      <w:pPr>
        <w:pStyle w:val="Heading1"/>
        <w:numPr>
          <w:ilvl w:val="0"/>
          <w:numId w:val="45"/>
        </w:numPr>
        <w:ind w:left="567" w:hanging="567"/>
      </w:pPr>
      <w:bookmarkStart w:id="5" w:name="_Toc84450579"/>
      <w:r w:rsidRPr="00057DCD">
        <w:t xml:space="preserve">Funding </w:t>
      </w:r>
      <w:r w:rsidR="00A54615" w:rsidRPr="00057DCD">
        <w:t>p</w:t>
      </w:r>
      <w:r w:rsidRPr="00057DCD">
        <w:t>riorities</w:t>
      </w:r>
      <w:bookmarkEnd w:id="5"/>
    </w:p>
    <w:p w14:paraId="332E7E01" w14:textId="77777777" w:rsidR="00AB59DC" w:rsidRDefault="00AB59DC" w:rsidP="006A6AD2">
      <w:pPr>
        <w:autoSpaceDE w:val="0"/>
        <w:autoSpaceDN w:val="0"/>
        <w:adjustRightInd w:val="0"/>
        <w:spacing w:after="0" w:line="240" w:lineRule="auto"/>
        <w:rPr>
          <w:rFonts w:ascii="DMSans-Regular" w:hAnsi="DMSans-Regular" w:cs="DMSans-Regular"/>
          <w:sz w:val="17"/>
          <w:szCs w:val="17"/>
        </w:rPr>
      </w:pPr>
    </w:p>
    <w:p w14:paraId="55909B16" w14:textId="30E08A7D" w:rsidR="006A6AD2" w:rsidRPr="00CE68F9" w:rsidRDefault="006A6AD2" w:rsidP="006A6AD2">
      <w:pPr>
        <w:pStyle w:val="Default"/>
        <w:jc w:val="both"/>
      </w:pPr>
      <w:r>
        <w:lastRenderedPageBreak/>
        <w:t xml:space="preserve">This funding will support </w:t>
      </w:r>
      <w:r w:rsidRPr="006A6AD2">
        <w:t>skills</w:t>
      </w:r>
      <w:r>
        <w:t>/training</w:t>
      </w:r>
      <w:r w:rsidRPr="006A6AD2">
        <w:t xml:space="preserve"> activity that is explicitly </w:t>
      </w:r>
      <w:r w:rsidR="005A0DC2">
        <w:rPr>
          <w:rFonts w:eastAsia="Times New Roman"/>
        </w:rPr>
        <w:t>employer</w:t>
      </w:r>
      <w:r w:rsidR="005A0DC2" w:rsidRPr="00D81ED1">
        <w:rPr>
          <w:rFonts w:eastAsia="Times New Roman"/>
        </w:rPr>
        <w:t xml:space="preserve"> led or backed</w:t>
      </w:r>
      <w:r w:rsidR="005A0DC2">
        <w:rPr>
          <w:b/>
          <w:bCs/>
        </w:rPr>
        <w:t>.</w:t>
      </w:r>
      <w:r w:rsidR="00EC12AB">
        <w:rPr>
          <w:b/>
          <w:bCs/>
        </w:rPr>
        <w:t xml:space="preserve"> </w:t>
      </w:r>
      <w:r>
        <w:t xml:space="preserve">We are seeking innovation in </w:t>
      </w:r>
      <w:r w:rsidR="00563897">
        <w:t>provision;</w:t>
      </w:r>
      <w:r>
        <w:t xml:space="preserve"> this could include non-accredited training and support and/or accredited programmes </w:t>
      </w:r>
      <w:r w:rsidRPr="00CE68F9">
        <w:t xml:space="preserve">to address the high-level and technical skills needs of </w:t>
      </w:r>
      <w:r w:rsidR="00563897">
        <w:t xml:space="preserve">the key </w:t>
      </w:r>
      <w:r w:rsidRPr="00CE68F9">
        <w:t xml:space="preserve">sectors. </w:t>
      </w:r>
    </w:p>
    <w:p w14:paraId="445A23E0" w14:textId="77777777" w:rsidR="00C03DDE" w:rsidRPr="00CE68F9" w:rsidRDefault="00C03DDE" w:rsidP="006A6AD2">
      <w:pPr>
        <w:pStyle w:val="Default"/>
        <w:jc w:val="both"/>
      </w:pPr>
    </w:p>
    <w:p w14:paraId="7B754BD1" w14:textId="40F30E66" w:rsidR="00C03DDE" w:rsidRDefault="00C03DDE" w:rsidP="006A6AD2">
      <w:pPr>
        <w:spacing w:after="0" w:line="240" w:lineRule="auto"/>
        <w:jc w:val="both"/>
        <w:rPr>
          <w:rFonts w:ascii="Arial" w:eastAsia="Batang" w:hAnsi="Arial" w:cs="Arial"/>
          <w:sz w:val="24"/>
          <w:szCs w:val="24"/>
        </w:rPr>
      </w:pPr>
      <w:r>
        <w:rPr>
          <w:rFonts w:ascii="Arial" w:eastAsia="Batang" w:hAnsi="Arial" w:cs="Arial"/>
          <w:sz w:val="24"/>
          <w:szCs w:val="24"/>
        </w:rPr>
        <w:t>Any p</w:t>
      </w:r>
      <w:r w:rsidRPr="00CE68F9">
        <w:rPr>
          <w:rFonts w:ascii="Arial" w:eastAsia="Batang" w:hAnsi="Arial" w:cs="Arial"/>
          <w:sz w:val="24"/>
          <w:szCs w:val="24"/>
        </w:rPr>
        <w:t xml:space="preserve">roposals submitted should </w:t>
      </w:r>
      <w:r>
        <w:rPr>
          <w:rFonts w:ascii="Arial" w:eastAsia="Batang" w:hAnsi="Arial" w:cs="Arial"/>
          <w:sz w:val="24"/>
          <w:szCs w:val="24"/>
        </w:rPr>
        <w:t>clearly contribute to one or more of the following:</w:t>
      </w:r>
      <w:r w:rsidR="00EC12AB">
        <w:rPr>
          <w:rFonts w:ascii="Arial" w:eastAsia="Batang" w:hAnsi="Arial" w:cs="Arial"/>
          <w:sz w:val="24"/>
          <w:szCs w:val="24"/>
        </w:rPr>
        <w:t xml:space="preserve"> </w:t>
      </w:r>
    </w:p>
    <w:p w14:paraId="0C3B8064" w14:textId="77777777" w:rsidR="00C03DDE" w:rsidRPr="00CE68F9" w:rsidRDefault="00C03DDE" w:rsidP="006A6AD2">
      <w:pPr>
        <w:spacing w:after="0" w:line="240" w:lineRule="auto"/>
        <w:jc w:val="both"/>
        <w:rPr>
          <w:rFonts w:ascii="Arial" w:eastAsia="Batang" w:hAnsi="Arial" w:cs="Arial"/>
          <w:sz w:val="24"/>
          <w:szCs w:val="24"/>
        </w:rPr>
      </w:pPr>
    </w:p>
    <w:p w14:paraId="7C5E7F54" w14:textId="531BC068" w:rsidR="00D55425" w:rsidRPr="00633007" w:rsidRDefault="00D55425" w:rsidP="006A6AD2">
      <w:pPr>
        <w:pStyle w:val="ListParagraph"/>
        <w:numPr>
          <w:ilvl w:val="0"/>
          <w:numId w:val="41"/>
        </w:numPr>
        <w:spacing w:after="0" w:line="240" w:lineRule="auto"/>
        <w:textAlignment w:val="baseline"/>
        <w:rPr>
          <w:rFonts w:ascii="Arial" w:eastAsia="Times New Roman" w:hAnsi="Arial" w:cs="Arial"/>
          <w:sz w:val="24"/>
          <w:szCs w:val="24"/>
          <w:lang w:eastAsia="en-GB"/>
        </w:rPr>
      </w:pPr>
      <w:r w:rsidRPr="00633007">
        <w:rPr>
          <w:rFonts w:ascii="Arial" w:eastAsia="Times New Roman" w:hAnsi="Arial" w:cs="Arial"/>
          <w:b/>
          <w:bCs/>
          <w:sz w:val="24"/>
          <w:szCs w:val="24"/>
          <w:lang w:eastAsia="en-GB"/>
        </w:rPr>
        <w:t>Secure better outcomes for young people</w:t>
      </w:r>
      <w:r w:rsidRPr="00633007">
        <w:rPr>
          <w:rFonts w:ascii="Arial" w:eastAsia="Times New Roman" w:hAnsi="Arial" w:cs="Arial"/>
          <w:sz w:val="24"/>
          <w:szCs w:val="24"/>
          <w:lang w:eastAsia="en-GB"/>
        </w:rPr>
        <w:t> </w:t>
      </w:r>
    </w:p>
    <w:p w14:paraId="16BF76C8" w14:textId="77777777" w:rsidR="00C03DDE" w:rsidRPr="00D55425" w:rsidRDefault="00C03DDE" w:rsidP="006A6AD2">
      <w:pPr>
        <w:spacing w:after="0" w:line="240" w:lineRule="auto"/>
        <w:textAlignment w:val="baseline"/>
        <w:rPr>
          <w:rFonts w:ascii="Segoe UI" w:eastAsia="Times New Roman" w:hAnsi="Segoe UI" w:cs="Segoe UI"/>
          <w:sz w:val="18"/>
          <w:szCs w:val="18"/>
          <w:lang w:eastAsia="en-GB"/>
        </w:rPr>
      </w:pPr>
    </w:p>
    <w:p w14:paraId="1DFA7B42" w14:textId="743FE286" w:rsidR="00040B17" w:rsidRPr="00B74BF9" w:rsidRDefault="00C03DDE" w:rsidP="00040B17">
      <w:pPr>
        <w:spacing w:after="0" w:line="240" w:lineRule="auto"/>
        <w:textAlignment w:val="baseline"/>
        <w:rPr>
          <w:rFonts w:ascii="Arial" w:hAnsi="Arial" w:cs="Arial"/>
          <w:sz w:val="24"/>
          <w:szCs w:val="24"/>
        </w:rPr>
      </w:pPr>
      <w:r w:rsidRPr="00B74BF9">
        <w:rPr>
          <w:rFonts w:ascii="Arial" w:hAnsi="Arial" w:cs="Arial"/>
          <w:sz w:val="24"/>
          <w:szCs w:val="24"/>
        </w:rPr>
        <w:t>We would welcome proposals that target young people with</w:t>
      </w:r>
      <w:r w:rsidR="00040B17" w:rsidRPr="00B74BF9">
        <w:rPr>
          <w:rFonts w:ascii="Arial" w:hAnsi="Arial" w:cs="Arial"/>
          <w:sz w:val="24"/>
          <w:szCs w:val="24"/>
        </w:rPr>
        <w:t xml:space="preserve"> </w:t>
      </w:r>
      <w:r w:rsidR="001327C1" w:rsidRPr="00B74BF9">
        <w:rPr>
          <w:rFonts w:ascii="Arial" w:hAnsi="Arial" w:cs="Arial"/>
          <w:sz w:val="24"/>
          <w:szCs w:val="24"/>
        </w:rPr>
        <w:t>creative art and design education</w:t>
      </w:r>
      <w:r w:rsidR="00040B17" w:rsidRPr="00B74BF9">
        <w:rPr>
          <w:rFonts w:ascii="Arial" w:hAnsi="Arial" w:cs="Arial"/>
          <w:sz w:val="24"/>
          <w:szCs w:val="24"/>
        </w:rPr>
        <w:t xml:space="preserve"> </w:t>
      </w:r>
      <w:r w:rsidR="00B74BF9" w:rsidRPr="00B74BF9">
        <w:rPr>
          <w:rFonts w:ascii="Arial" w:hAnsi="Arial" w:cs="Arial"/>
          <w:sz w:val="24"/>
          <w:szCs w:val="24"/>
        </w:rPr>
        <w:t>that equips</w:t>
      </w:r>
      <w:r w:rsidR="001327C1" w:rsidRPr="00B74BF9">
        <w:rPr>
          <w:rFonts w:ascii="Arial" w:hAnsi="Arial" w:cs="Arial"/>
          <w:sz w:val="24"/>
          <w:szCs w:val="24"/>
        </w:rPr>
        <w:t xml:space="preserve"> </w:t>
      </w:r>
      <w:r w:rsidR="00040B17" w:rsidRPr="00B74BF9">
        <w:rPr>
          <w:rFonts w:ascii="Arial" w:hAnsi="Arial" w:cs="Arial"/>
          <w:sz w:val="24"/>
          <w:szCs w:val="24"/>
        </w:rPr>
        <w:t xml:space="preserve">them </w:t>
      </w:r>
      <w:r w:rsidR="001327C1" w:rsidRPr="00B74BF9">
        <w:rPr>
          <w:rFonts w:ascii="Arial" w:hAnsi="Arial" w:cs="Arial"/>
          <w:sz w:val="24"/>
          <w:szCs w:val="24"/>
        </w:rPr>
        <w:t>with the fundamental</w:t>
      </w:r>
      <w:r w:rsidR="00040B17" w:rsidRPr="00B74BF9">
        <w:rPr>
          <w:rFonts w:ascii="Arial" w:hAnsi="Arial" w:cs="Arial"/>
          <w:sz w:val="24"/>
          <w:szCs w:val="24"/>
        </w:rPr>
        <w:t xml:space="preserve"> </w:t>
      </w:r>
      <w:r w:rsidR="001327C1" w:rsidRPr="00B74BF9">
        <w:rPr>
          <w:rFonts w:ascii="Arial" w:hAnsi="Arial" w:cs="Arial"/>
          <w:sz w:val="24"/>
          <w:szCs w:val="24"/>
        </w:rPr>
        <w:t xml:space="preserve">technical skills they need to </w:t>
      </w:r>
      <w:r w:rsidR="00040B17" w:rsidRPr="00B74BF9">
        <w:rPr>
          <w:rFonts w:ascii="Arial" w:hAnsi="Arial" w:cs="Arial"/>
          <w:sz w:val="24"/>
          <w:szCs w:val="24"/>
        </w:rPr>
        <w:t xml:space="preserve">access employment opportunities </w:t>
      </w:r>
      <w:r w:rsidR="001327C1" w:rsidRPr="00B74BF9">
        <w:rPr>
          <w:rFonts w:ascii="Arial" w:hAnsi="Arial" w:cs="Arial"/>
          <w:sz w:val="24"/>
          <w:szCs w:val="24"/>
        </w:rPr>
        <w:t>in the creative and cultural sector.</w:t>
      </w:r>
    </w:p>
    <w:p w14:paraId="08EBB9AB" w14:textId="77777777" w:rsidR="00040B17" w:rsidRDefault="00040B17" w:rsidP="00040B17">
      <w:pPr>
        <w:spacing w:after="0" w:line="240" w:lineRule="auto"/>
        <w:textAlignment w:val="baseline"/>
        <w:rPr>
          <w:rFonts w:ascii="FSAlbert-Light" w:hAnsi="FSAlbert-Light" w:cs="FSAlbert-Light"/>
        </w:rPr>
      </w:pPr>
    </w:p>
    <w:p w14:paraId="1A2C8A75" w14:textId="0BDCFCE1" w:rsidR="00B74BF9" w:rsidRPr="00B74BF9" w:rsidRDefault="0012147E" w:rsidP="00B74BF9">
      <w:pPr>
        <w:pStyle w:val="Default"/>
        <w:jc w:val="both"/>
      </w:pPr>
      <w:r w:rsidRPr="00B74BF9">
        <w:rPr>
          <w:color w:val="auto"/>
        </w:rPr>
        <w:t>Consideration will be given to proposals that are co-designed with employers at</w:t>
      </w:r>
      <w:r w:rsidR="00633007" w:rsidRPr="00B74BF9">
        <w:rPr>
          <w:color w:val="auto"/>
        </w:rPr>
        <w:t xml:space="preserve"> the</w:t>
      </w:r>
      <w:r w:rsidRPr="00B74BF9">
        <w:rPr>
          <w:color w:val="auto"/>
        </w:rPr>
        <w:t xml:space="preserve"> helm to provide local training </w:t>
      </w:r>
      <w:r w:rsidR="00040B17" w:rsidRPr="00B74BF9">
        <w:t>opportunities with i</w:t>
      </w:r>
      <w:r w:rsidRPr="00B74BF9">
        <w:rPr>
          <w:color w:val="auto"/>
        </w:rPr>
        <w:t xml:space="preserve">nsight into the </w:t>
      </w:r>
      <w:r w:rsidR="00040B17" w:rsidRPr="00B74BF9">
        <w:t xml:space="preserve">skills demand and shortages in the sector. </w:t>
      </w:r>
      <w:r w:rsidR="00B74BF9" w:rsidRPr="00B74BF9">
        <w:t>Proposals could include work placement and apprenticeship schemes to support young people to gain experience in the arts, heritage and tourism sectors (building capacity and employment skills and stimulating the labour market)</w:t>
      </w:r>
      <w:r w:rsidR="00B74BF9">
        <w:t>.</w:t>
      </w:r>
    </w:p>
    <w:p w14:paraId="76CB6B59" w14:textId="39C87B5A" w:rsidR="00040B17" w:rsidRDefault="00040B17" w:rsidP="00040B17">
      <w:pPr>
        <w:spacing w:after="0" w:line="240" w:lineRule="auto"/>
        <w:textAlignment w:val="baseline"/>
        <w:rPr>
          <w:rFonts w:ascii="Arial" w:hAnsi="Arial" w:cs="Arial"/>
          <w:sz w:val="24"/>
          <w:szCs w:val="24"/>
        </w:rPr>
      </w:pPr>
    </w:p>
    <w:p w14:paraId="603ABCCD" w14:textId="01D66F6E" w:rsidR="0012147E" w:rsidRPr="001327C1" w:rsidRDefault="00B74BF9" w:rsidP="00040B17">
      <w:pPr>
        <w:spacing w:after="0" w:line="240" w:lineRule="auto"/>
        <w:textAlignment w:val="baseline"/>
        <w:rPr>
          <w:rFonts w:ascii="Arial" w:hAnsi="Arial" w:cs="Arial"/>
          <w:b/>
          <w:bCs/>
          <w:sz w:val="24"/>
          <w:szCs w:val="24"/>
        </w:rPr>
      </w:pPr>
      <w:r>
        <w:rPr>
          <w:rFonts w:ascii="Arial" w:hAnsi="Arial" w:cs="Arial"/>
          <w:sz w:val="24"/>
          <w:szCs w:val="24"/>
        </w:rPr>
        <w:t xml:space="preserve">Proposals that provide innovative solutions for SME’s to access apprentices to support </w:t>
      </w:r>
      <w:r w:rsidR="0012147E" w:rsidRPr="001327C1">
        <w:rPr>
          <w:rFonts w:ascii="Arial" w:hAnsi="Arial" w:cs="Arial"/>
          <w:sz w:val="24"/>
          <w:szCs w:val="24"/>
        </w:rPr>
        <w:t xml:space="preserve">new </w:t>
      </w:r>
      <w:r>
        <w:rPr>
          <w:rFonts w:ascii="Arial" w:hAnsi="Arial" w:cs="Arial"/>
          <w:sz w:val="24"/>
          <w:szCs w:val="24"/>
        </w:rPr>
        <w:t>talent in the sector would also be welcomed.</w:t>
      </w:r>
      <w:r w:rsidR="00EC12AB">
        <w:rPr>
          <w:rFonts w:ascii="Arial" w:hAnsi="Arial" w:cs="Arial"/>
          <w:sz w:val="24"/>
          <w:szCs w:val="24"/>
        </w:rPr>
        <w:t xml:space="preserve"> </w:t>
      </w:r>
      <w:r>
        <w:rPr>
          <w:rFonts w:ascii="Arial" w:hAnsi="Arial" w:cs="Arial"/>
          <w:sz w:val="24"/>
          <w:szCs w:val="24"/>
        </w:rPr>
        <w:t>This may include links to the new ‘shared apprenticeship scheme’.</w:t>
      </w:r>
    </w:p>
    <w:p w14:paraId="48B21E86" w14:textId="77777777" w:rsidR="002540F5" w:rsidRPr="00D55425" w:rsidRDefault="002540F5" w:rsidP="006A6AD2">
      <w:pPr>
        <w:spacing w:after="0" w:line="240" w:lineRule="auto"/>
        <w:textAlignment w:val="baseline"/>
        <w:rPr>
          <w:rFonts w:ascii="Segoe UI" w:eastAsia="Times New Roman" w:hAnsi="Segoe UI" w:cs="Segoe UI"/>
          <w:sz w:val="18"/>
          <w:szCs w:val="18"/>
          <w:lang w:eastAsia="en-GB"/>
        </w:rPr>
      </w:pPr>
    </w:p>
    <w:p w14:paraId="70E8A4EA" w14:textId="6E8DB6D4" w:rsidR="00D55425" w:rsidRPr="00633007" w:rsidRDefault="00D55425" w:rsidP="006A6AD2">
      <w:pPr>
        <w:pStyle w:val="ListParagraph"/>
        <w:numPr>
          <w:ilvl w:val="0"/>
          <w:numId w:val="40"/>
        </w:numPr>
        <w:spacing w:after="0" w:line="240" w:lineRule="auto"/>
        <w:textAlignment w:val="baseline"/>
        <w:rPr>
          <w:rFonts w:ascii="Arial" w:eastAsia="Times New Roman" w:hAnsi="Arial" w:cs="Arial"/>
          <w:sz w:val="24"/>
          <w:szCs w:val="24"/>
          <w:lang w:eastAsia="en-GB"/>
        </w:rPr>
      </w:pPr>
      <w:r w:rsidRPr="00633007">
        <w:rPr>
          <w:rFonts w:ascii="Arial" w:eastAsia="Times New Roman" w:hAnsi="Arial" w:cs="Arial"/>
          <w:b/>
          <w:bCs/>
          <w:sz w:val="24"/>
          <w:szCs w:val="24"/>
          <w:lang w:eastAsia="en-GB"/>
        </w:rPr>
        <w:t>Investment in skills to support the local economy</w:t>
      </w:r>
      <w:r w:rsidRPr="00633007">
        <w:rPr>
          <w:rFonts w:ascii="Arial" w:eastAsia="Times New Roman" w:hAnsi="Arial" w:cs="Arial"/>
          <w:sz w:val="24"/>
          <w:szCs w:val="24"/>
          <w:lang w:eastAsia="en-GB"/>
        </w:rPr>
        <w:t> </w:t>
      </w:r>
    </w:p>
    <w:p w14:paraId="50457BCD" w14:textId="77777777" w:rsidR="00E81A90" w:rsidRPr="00D55425" w:rsidRDefault="00E81A90" w:rsidP="006A6AD2">
      <w:pPr>
        <w:spacing w:after="0" w:line="240" w:lineRule="auto"/>
        <w:ind w:left="720" w:hanging="720"/>
        <w:textAlignment w:val="baseline"/>
        <w:rPr>
          <w:rFonts w:ascii="Segoe UI" w:eastAsia="Times New Roman" w:hAnsi="Segoe UI" w:cs="Segoe UI"/>
          <w:sz w:val="18"/>
          <w:szCs w:val="18"/>
          <w:lang w:eastAsia="en-GB"/>
        </w:rPr>
      </w:pPr>
    </w:p>
    <w:p w14:paraId="1F5245D6" w14:textId="21B9B72F" w:rsidR="009A19A3" w:rsidRPr="00BD5B58" w:rsidRDefault="00D55425" w:rsidP="006A6AD2">
      <w:pPr>
        <w:pStyle w:val="paragraph"/>
        <w:spacing w:before="0" w:beforeAutospacing="0" w:after="0" w:afterAutospacing="0"/>
        <w:textAlignment w:val="baseline"/>
        <w:rPr>
          <w:rFonts w:ascii="Arial" w:hAnsi="Arial" w:cs="Arial"/>
        </w:rPr>
      </w:pPr>
      <w:r w:rsidRPr="00BD5B58">
        <w:rPr>
          <w:rFonts w:ascii="Arial" w:hAnsi="Arial" w:cs="Arial"/>
        </w:rPr>
        <w:t xml:space="preserve">We would welcome innovative proposals that demonstrate collaboration between </w:t>
      </w:r>
      <w:r w:rsidR="00B74BF9" w:rsidRPr="00BD5B58">
        <w:rPr>
          <w:rFonts w:ascii="Arial" w:hAnsi="Arial" w:cs="Arial"/>
        </w:rPr>
        <w:t xml:space="preserve">businesses and </w:t>
      </w:r>
      <w:r w:rsidRPr="00BD5B58">
        <w:rPr>
          <w:rFonts w:ascii="Arial" w:hAnsi="Arial" w:cs="Arial"/>
        </w:rPr>
        <w:t xml:space="preserve">skills providers to address </w:t>
      </w:r>
      <w:r w:rsidR="00B74BF9" w:rsidRPr="00BD5B58">
        <w:rPr>
          <w:rFonts w:ascii="Arial" w:hAnsi="Arial" w:cs="Arial"/>
        </w:rPr>
        <w:t>workforce development in the Culture and Creative Sector.</w:t>
      </w:r>
      <w:r w:rsidR="00EC12AB">
        <w:rPr>
          <w:rFonts w:ascii="Arial" w:hAnsi="Arial" w:cs="Arial"/>
        </w:rPr>
        <w:t xml:space="preserve"> </w:t>
      </w:r>
      <w:r w:rsidR="00B74BF9" w:rsidRPr="00BD5B58">
        <w:rPr>
          <w:rFonts w:ascii="Arial" w:hAnsi="Arial" w:cs="Arial"/>
        </w:rPr>
        <w:t xml:space="preserve">Proposals may seek to address </w:t>
      </w:r>
      <w:r w:rsidRPr="00BD5B58">
        <w:rPr>
          <w:rFonts w:ascii="Arial" w:hAnsi="Arial" w:cs="Arial"/>
        </w:rPr>
        <w:t>skills shortages</w:t>
      </w:r>
      <w:r w:rsidR="00B74BF9" w:rsidRPr="00BD5B58">
        <w:rPr>
          <w:rFonts w:ascii="Arial" w:hAnsi="Arial" w:cs="Arial"/>
        </w:rPr>
        <w:t xml:space="preserve"> in the workforce such as digital capability, leadership, marketing and communication, and financial skills such as fundraising.</w:t>
      </w:r>
      <w:r w:rsidR="00EC12AB">
        <w:rPr>
          <w:rFonts w:ascii="Arial" w:hAnsi="Arial" w:cs="Arial"/>
        </w:rPr>
        <w:t xml:space="preserve"> </w:t>
      </w:r>
    </w:p>
    <w:p w14:paraId="07EAEDEF" w14:textId="77777777" w:rsidR="009A19A3" w:rsidRPr="00BD5B58" w:rsidRDefault="009A19A3" w:rsidP="006A6AD2">
      <w:pPr>
        <w:spacing w:after="0" w:line="240" w:lineRule="auto"/>
        <w:textAlignment w:val="baseline"/>
        <w:rPr>
          <w:rFonts w:ascii="Arial" w:eastAsia="Times New Roman" w:hAnsi="Arial" w:cs="Arial"/>
          <w:sz w:val="24"/>
          <w:szCs w:val="24"/>
          <w:lang w:eastAsia="en-GB"/>
        </w:rPr>
      </w:pPr>
    </w:p>
    <w:p w14:paraId="58C0D1E5" w14:textId="4AF139B0" w:rsidR="00B74BF9" w:rsidRPr="00BD5B58" w:rsidRDefault="00D55425" w:rsidP="00BD5B58">
      <w:pPr>
        <w:rPr>
          <w:rFonts w:ascii="Arial" w:hAnsi="Arial" w:cs="Arial"/>
          <w:sz w:val="24"/>
          <w:szCs w:val="24"/>
        </w:rPr>
      </w:pPr>
      <w:r w:rsidRPr="00BD5B58">
        <w:rPr>
          <w:rFonts w:ascii="Arial" w:eastAsia="Times New Roman" w:hAnsi="Arial" w:cs="Arial"/>
          <w:sz w:val="24"/>
          <w:szCs w:val="24"/>
          <w:lang w:eastAsia="en-GB"/>
        </w:rPr>
        <w:t xml:space="preserve">Projects </w:t>
      </w:r>
      <w:r w:rsidR="00B74BF9" w:rsidRPr="00BD5B58">
        <w:rPr>
          <w:rFonts w:ascii="Arial" w:eastAsia="Times New Roman" w:hAnsi="Arial" w:cs="Arial"/>
          <w:sz w:val="24"/>
          <w:szCs w:val="24"/>
          <w:lang w:eastAsia="en-GB"/>
        </w:rPr>
        <w:t xml:space="preserve">that seek to address challenges that </w:t>
      </w:r>
      <w:r w:rsidR="00B74BF9" w:rsidRPr="00BD5B58">
        <w:rPr>
          <w:rFonts w:ascii="Arial" w:hAnsi="Arial" w:cs="Arial"/>
          <w:sz w:val="24"/>
          <w:szCs w:val="24"/>
        </w:rPr>
        <w:t>small and medium enterprises (SMEs) and sole</w:t>
      </w:r>
      <w:r w:rsidR="00BD5B58" w:rsidRPr="00BD5B58">
        <w:rPr>
          <w:rFonts w:ascii="Arial" w:hAnsi="Arial" w:cs="Arial"/>
          <w:sz w:val="24"/>
          <w:szCs w:val="24"/>
        </w:rPr>
        <w:t xml:space="preserve"> </w:t>
      </w:r>
      <w:r w:rsidR="00B74BF9" w:rsidRPr="00BD5B58">
        <w:rPr>
          <w:rFonts w:ascii="Arial" w:hAnsi="Arial" w:cs="Arial"/>
          <w:sz w:val="24"/>
          <w:szCs w:val="24"/>
        </w:rPr>
        <w:t>traders face in accessing training are also welcomed</w:t>
      </w:r>
      <w:r w:rsidR="00BD5B58" w:rsidRPr="00BD5B58">
        <w:rPr>
          <w:rFonts w:ascii="Arial" w:hAnsi="Arial" w:cs="Arial"/>
          <w:sz w:val="24"/>
          <w:szCs w:val="24"/>
        </w:rPr>
        <w:t xml:space="preserve"> with creative ways to overcome time and resource constraints. </w:t>
      </w:r>
      <w:r w:rsidR="00B74BF9" w:rsidRPr="00BD5B58">
        <w:rPr>
          <w:rFonts w:ascii="Arial" w:hAnsi="Arial" w:cs="Arial"/>
          <w:sz w:val="24"/>
          <w:szCs w:val="24"/>
        </w:rPr>
        <w:t>This may include</w:t>
      </w:r>
      <w:r w:rsidR="00BD5B58" w:rsidRPr="00BD5B58">
        <w:rPr>
          <w:rFonts w:ascii="Arial" w:hAnsi="Arial" w:cs="Arial"/>
          <w:sz w:val="24"/>
          <w:szCs w:val="24"/>
        </w:rPr>
        <w:t xml:space="preserve"> creating ‘training hubs’ to support </w:t>
      </w:r>
      <w:r w:rsidR="00B74BF9" w:rsidRPr="00BD5B58">
        <w:rPr>
          <w:rFonts w:ascii="Arial" w:hAnsi="Arial" w:cs="Arial"/>
          <w:sz w:val="24"/>
          <w:szCs w:val="24"/>
        </w:rPr>
        <w:t xml:space="preserve">culture </w:t>
      </w:r>
      <w:r w:rsidR="00BD5B58" w:rsidRPr="00BD5B58">
        <w:rPr>
          <w:rFonts w:ascii="Arial" w:hAnsi="Arial" w:cs="Arial"/>
          <w:sz w:val="24"/>
          <w:szCs w:val="24"/>
        </w:rPr>
        <w:t xml:space="preserve">and creative </w:t>
      </w:r>
      <w:r w:rsidR="00B74BF9" w:rsidRPr="00BD5B58">
        <w:rPr>
          <w:rFonts w:ascii="Arial" w:hAnsi="Arial" w:cs="Arial"/>
          <w:sz w:val="24"/>
          <w:szCs w:val="24"/>
        </w:rPr>
        <w:t xml:space="preserve">sector sole-traders, artists, freelancers to </w:t>
      </w:r>
      <w:r w:rsidR="00BD5B58" w:rsidRPr="00BD5B58">
        <w:rPr>
          <w:rFonts w:ascii="Arial" w:hAnsi="Arial" w:cs="Arial"/>
          <w:sz w:val="24"/>
          <w:szCs w:val="24"/>
        </w:rPr>
        <w:t xml:space="preserve">jointly access skills opportunities related to </w:t>
      </w:r>
      <w:r w:rsidR="00B74BF9" w:rsidRPr="00BD5B58">
        <w:rPr>
          <w:rFonts w:ascii="Arial" w:hAnsi="Arial" w:cs="Arial"/>
          <w:sz w:val="24"/>
          <w:szCs w:val="24"/>
        </w:rPr>
        <w:t xml:space="preserve">business development, </w:t>
      </w:r>
      <w:r w:rsidR="00BD5B58" w:rsidRPr="00BD5B58">
        <w:rPr>
          <w:rFonts w:ascii="Arial" w:hAnsi="Arial" w:cs="Arial"/>
          <w:sz w:val="24"/>
          <w:szCs w:val="24"/>
        </w:rPr>
        <w:t>training,</w:t>
      </w:r>
      <w:r w:rsidR="00B74BF9" w:rsidRPr="00BD5B58">
        <w:rPr>
          <w:rFonts w:ascii="Arial" w:hAnsi="Arial" w:cs="Arial"/>
          <w:sz w:val="24"/>
          <w:szCs w:val="24"/>
        </w:rPr>
        <w:t xml:space="preserve"> and fundraising</w:t>
      </w:r>
      <w:r w:rsidR="00BD5B58" w:rsidRPr="00BD5B58">
        <w:rPr>
          <w:rFonts w:ascii="Arial" w:hAnsi="Arial" w:cs="Arial"/>
          <w:sz w:val="24"/>
          <w:szCs w:val="24"/>
        </w:rPr>
        <w:t xml:space="preserve">. </w:t>
      </w:r>
    </w:p>
    <w:p w14:paraId="2DDA4ADC" w14:textId="77777777" w:rsidR="006C5922" w:rsidRDefault="00D55425" w:rsidP="006A6AD2">
      <w:pPr>
        <w:spacing w:after="0" w:line="240" w:lineRule="auto"/>
        <w:textAlignment w:val="baseline"/>
        <w:rPr>
          <w:rFonts w:ascii="Arial" w:hAnsi="Arial" w:cs="Arial"/>
          <w:sz w:val="24"/>
          <w:szCs w:val="24"/>
        </w:rPr>
      </w:pPr>
      <w:r w:rsidRPr="00E214A9">
        <w:rPr>
          <w:rFonts w:ascii="Arial" w:eastAsia="Times New Roman" w:hAnsi="Arial" w:cs="Arial"/>
          <w:sz w:val="24"/>
          <w:szCs w:val="24"/>
          <w:lang w:eastAsia="en-GB"/>
        </w:rPr>
        <w:t xml:space="preserve">Provision may also be designed to </w:t>
      </w:r>
      <w:r w:rsidR="009A19A3" w:rsidRPr="00E214A9">
        <w:rPr>
          <w:rFonts w:ascii="Arial" w:eastAsia="Times New Roman" w:hAnsi="Arial" w:cs="Arial"/>
          <w:sz w:val="24"/>
          <w:szCs w:val="24"/>
          <w:lang w:eastAsia="en-GB"/>
        </w:rPr>
        <w:t>address</w:t>
      </w:r>
      <w:r w:rsidR="00E214A9" w:rsidRPr="00E214A9">
        <w:rPr>
          <w:rFonts w:ascii="Arial" w:eastAsia="Times New Roman" w:hAnsi="Arial" w:cs="Arial"/>
          <w:sz w:val="24"/>
          <w:szCs w:val="24"/>
          <w:lang w:eastAsia="en-GB"/>
        </w:rPr>
        <w:t xml:space="preserve"> </w:t>
      </w:r>
      <w:r w:rsidR="00E214A9" w:rsidRPr="00E214A9">
        <w:rPr>
          <w:rFonts w:ascii="Arial" w:hAnsi="Arial" w:cs="Arial"/>
          <w:sz w:val="24"/>
          <w:szCs w:val="24"/>
        </w:rPr>
        <w:t xml:space="preserve">future and current skills gaps, providing the skills, knowledge, and behaviours required for people to move into </w:t>
      </w:r>
      <w:r w:rsidR="00BD5B58">
        <w:rPr>
          <w:rFonts w:ascii="Arial" w:hAnsi="Arial" w:cs="Arial"/>
          <w:sz w:val="24"/>
          <w:szCs w:val="24"/>
        </w:rPr>
        <w:t>the Culture and Creative sector.</w:t>
      </w:r>
    </w:p>
    <w:p w14:paraId="266536D1" w14:textId="77777777" w:rsidR="006C5922" w:rsidRDefault="006C5922" w:rsidP="006A6AD2">
      <w:pPr>
        <w:spacing w:after="0" w:line="240" w:lineRule="auto"/>
        <w:textAlignment w:val="baseline"/>
        <w:rPr>
          <w:rFonts w:ascii="Arial" w:hAnsi="Arial" w:cs="Arial"/>
          <w:sz w:val="24"/>
          <w:szCs w:val="24"/>
        </w:rPr>
      </w:pPr>
    </w:p>
    <w:p w14:paraId="6F13C226" w14:textId="7A954C62" w:rsidR="00CE1045" w:rsidRDefault="006C5922" w:rsidP="006A6AD2">
      <w:pPr>
        <w:spacing w:after="0" w:line="240" w:lineRule="auto"/>
        <w:textAlignment w:val="baseline"/>
        <w:rPr>
          <w:rFonts w:ascii="Arial" w:hAnsi="Arial" w:cs="Arial"/>
          <w:sz w:val="24"/>
          <w:szCs w:val="24"/>
        </w:rPr>
      </w:pPr>
      <w:r>
        <w:rPr>
          <w:rFonts w:ascii="Arial" w:hAnsi="Arial" w:cs="Arial"/>
          <w:sz w:val="24"/>
          <w:szCs w:val="24"/>
        </w:rPr>
        <w:t>We expect proposals in this area</w:t>
      </w:r>
      <w:r w:rsidR="00CE1045">
        <w:rPr>
          <w:rFonts w:ascii="Arial" w:hAnsi="Arial" w:cs="Arial"/>
          <w:sz w:val="24"/>
          <w:szCs w:val="24"/>
        </w:rPr>
        <w:t xml:space="preserve"> to provide one or more of the following:</w:t>
      </w:r>
    </w:p>
    <w:p w14:paraId="4CA04E20" w14:textId="3CE20BA6" w:rsidR="00665953" w:rsidRDefault="00665953" w:rsidP="006A6AD2">
      <w:pPr>
        <w:spacing w:after="0" w:line="240" w:lineRule="auto"/>
        <w:textAlignment w:val="baseline"/>
        <w:rPr>
          <w:rFonts w:ascii="Arial" w:hAnsi="Arial" w:cs="Arial"/>
          <w:sz w:val="24"/>
          <w:szCs w:val="24"/>
        </w:rPr>
      </w:pPr>
    </w:p>
    <w:p w14:paraId="761C30B0" w14:textId="77777777" w:rsidR="00665953" w:rsidRPr="002E3AA1" w:rsidRDefault="00665953" w:rsidP="00665953">
      <w:pPr>
        <w:pStyle w:val="paragraph"/>
        <w:numPr>
          <w:ilvl w:val="0"/>
          <w:numId w:val="49"/>
        </w:numPr>
        <w:spacing w:before="0" w:beforeAutospacing="0" w:after="0" w:afterAutospacing="0"/>
        <w:textAlignment w:val="baseline"/>
        <w:rPr>
          <w:rFonts w:ascii="Arial" w:hAnsi="Arial" w:cs="Arial"/>
        </w:rPr>
      </w:pPr>
      <w:r w:rsidRPr="002E3AA1">
        <w:rPr>
          <w:rFonts w:ascii="Arial" w:hAnsi="Arial" w:cs="Arial"/>
          <w:b/>
          <w:bCs/>
        </w:rPr>
        <w:t>Skills for Business Growth</w:t>
      </w:r>
      <w:r w:rsidRPr="002E3AA1">
        <w:rPr>
          <w:rFonts w:ascii="Arial" w:hAnsi="Arial" w:cs="Arial"/>
        </w:rPr>
        <w:t xml:space="preserve"> – supporting the skills needs and pipeline of companies locating and growing in the North of Tyne</w:t>
      </w:r>
    </w:p>
    <w:p w14:paraId="3284C8B9" w14:textId="77777777" w:rsidR="00665953" w:rsidRPr="002E3AA1" w:rsidRDefault="00665953" w:rsidP="00665953">
      <w:pPr>
        <w:pStyle w:val="Default"/>
        <w:numPr>
          <w:ilvl w:val="0"/>
          <w:numId w:val="49"/>
        </w:numPr>
        <w:adjustRightInd/>
        <w:rPr>
          <w:rFonts w:eastAsia="Times New Roman"/>
          <w:color w:val="auto"/>
        </w:rPr>
      </w:pPr>
      <w:r w:rsidRPr="002E3AA1">
        <w:rPr>
          <w:rFonts w:eastAsia="Times New Roman"/>
          <w:b/>
          <w:bCs/>
          <w:color w:val="auto"/>
        </w:rPr>
        <w:t>Skills for Business Resilience</w:t>
      </w:r>
      <w:r w:rsidRPr="002E3AA1">
        <w:rPr>
          <w:rFonts w:eastAsia="Times New Roman"/>
          <w:color w:val="auto"/>
        </w:rPr>
        <w:t xml:space="preserve"> – digital skills for business resilience i.e. automation; and responses to post-Brexit skills needs</w:t>
      </w:r>
    </w:p>
    <w:p w14:paraId="2B15338E" w14:textId="7E5434C0" w:rsidR="00665953" w:rsidRPr="002E3AA1" w:rsidRDefault="00665953" w:rsidP="00665953">
      <w:pPr>
        <w:pStyle w:val="paragraph"/>
        <w:numPr>
          <w:ilvl w:val="0"/>
          <w:numId w:val="49"/>
        </w:numPr>
        <w:spacing w:before="0" w:beforeAutospacing="0" w:after="0" w:afterAutospacing="0"/>
        <w:jc w:val="both"/>
        <w:textAlignment w:val="baseline"/>
        <w:rPr>
          <w:rFonts w:ascii="Arial" w:hAnsi="Arial" w:cs="Arial"/>
        </w:rPr>
      </w:pPr>
      <w:r w:rsidRPr="002E3AA1">
        <w:rPr>
          <w:rFonts w:ascii="Arial" w:hAnsi="Arial" w:cs="Arial"/>
          <w:b/>
          <w:bCs/>
        </w:rPr>
        <w:t xml:space="preserve">Upskilling, in-work progression, and re-training - </w:t>
      </w:r>
      <w:r w:rsidRPr="002E3AA1">
        <w:rPr>
          <w:rFonts w:ascii="Arial" w:hAnsi="Arial" w:cs="Arial"/>
        </w:rPr>
        <w:t>proposals that support upskilling members of a workforce lacking digital competencies to meet the needs of a local employer will be considered, as well as re-training support (response to redundancy).</w:t>
      </w:r>
    </w:p>
    <w:p w14:paraId="3DBBEB78" w14:textId="70671756" w:rsidR="002540F5" w:rsidRPr="001327C1" w:rsidRDefault="002540F5" w:rsidP="006A6AD2">
      <w:pPr>
        <w:spacing w:after="0" w:line="240" w:lineRule="auto"/>
        <w:ind w:left="720" w:hanging="720"/>
        <w:textAlignment w:val="baseline"/>
        <w:rPr>
          <w:rFonts w:ascii="Segoe UI" w:eastAsia="Times New Roman" w:hAnsi="Segoe UI" w:cs="Segoe UI"/>
          <w:sz w:val="18"/>
          <w:szCs w:val="18"/>
          <w:lang w:eastAsia="en-GB"/>
        </w:rPr>
      </w:pPr>
    </w:p>
    <w:p w14:paraId="3163D38C" w14:textId="2043EE59" w:rsidR="00D55425" w:rsidRPr="001327C1" w:rsidRDefault="00D55425" w:rsidP="006A6AD2">
      <w:pPr>
        <w:pStyle w:val="ListParagraph"/>
        <w:numPr>
          <w:ilvl w:val="0"/>
          <w:numId w:val="39"/>
        </w:numPr>
        <w:spacing w:after="0" w:line="240" w:lineRule="auto"/>
        <w:textAlignment w:val="baseline"/>
        <w:rPr>
          <w:rFonts w:ascii="Arial" w:eastAsia="Times New Roman" w:hAnsi="Arial" w:cs="Arial"/>
          <w:sz w:val="24"/>
          <w:szCs w:val="24"/>
          <w:lang w:eastAsia="en-GB"/>
        </w:rPr>
      </w:pPr>
      <w:r w:rsidRPr="001327C1">
        <w:rPr>
          <w:rFonts w:ascii="Arial" w:eastAsia="Times New Roman" w:hAnsi="Arial" w:cs="Arial"/>
          <w:b/>
          <w:bCs/>
          <w:sz w:val="24"/>
          <w:szCs w:val="24"/>
          <w:shd w:val="clear" w:color="auto" w:fill="FFFFFF"/>
          <w:lang w:eastAsia="en-GB"/>
        </w:rPr>
        <w:t>Help people progress into work</w:t>
      </w:r>
      <w:r w:rsidRPr="001327C1">
        <w:rPr>
          <w:rFonts w:ascii="Arial" w:eastAsia="Times New Roman" w:hAnsi="Arial" w:cs="Arial"/>
          <w:sz w:val="24"/>
          <w:szCs w:val="24"/>
          <w:lang w:eastAsia="en-GB"/>
        </w:rPr>
        <w:t> </w:t>
      </w:r>
    </w:p>
    <w:p w14:paraId="08B34EB6" w14:textId="77777777" w:rsidR="00E81A90" w:rsidRPr="00D55425" w:rsidRDefault="00E81A90" w:rsidP="006A6AD2">
      <w:pPr>
        <w:spacing w:after="0" w:line="240" w:lineRule="auto"/>
        <w:ind w:left="720" w:hanging="720"/>
        <w:textAlignment w:val="baseline"/>
        <w:rPr>
          <w:rFonts w:ascii="Segoe UI" w:eastAsia="Times New Roman" w:hAnsi="Segoe UI" w:cs="Segoe UI"/>
          <w:sz w:val="18"/>
          <w:szCs w:val="18"/>
          <w:lang w:eastAsia="en-GB"/>
        </w:rPr>
      </w:pPr>
    </w:p>
    <w:p w14:paraId="24CA4418" w14:textId="65B447BE" w:rsidR="00E214A9" w:rsidRDefault="00F84C45" w:rsidP="006A6AD2">
      <w:pPr>
        <w:spacing w:after="0" w:line="240" w:lineRule="auto"/>
        <w:rPr>
          <w:rFonts w:ascii="Arial" w:hAnsi="Arial" w:cs="Arial"/>
          <w:sz w:val="24"/>
          <w:szCs w:val="24"/>
        </w:rPr>
      </w:pPr>
      <w:r w:rsidRPr="00633007">
        <w:rPr>
          <w:rFonts w:ascii="Arial" w:hAnsi="Arial" w:cs="Arial"/>
          <w:sz w:val="24"/>
          <w:szCs w:val="24"/>
        </w:rPr>
        <w:t xml:space="preserve">NTCA is interested in skills and training proposals that maximise opportunities for </w:t>
      </w:r>
      <w:r w:rsidR="00E214A9" w:rsidRPr="00633007">
        <w:rPr>
          <w:rFonts w:ascii="Arial" w:hAnsi="Arial" w:cs="Arial"/>
          <w:sz w:val="24"/>
          <w:szCs w:val="24"/>
        </w:rPr>
        <w:t xml:space="preserve">unemployed </w:t>
      </w:r>
      <w:r w:rsidRPr="00633007">
        <w:rPr>
          <w:rFonts w:ascii="Arial" w:hAnsi="Arial" w:cs="Arial"/>
          <w:sz w:val="24"/>
          <w:szCs w:val="24"/>
        </w:rPr>
        <w:t xml:space="preserve">residents to access </w:t>
      </w:r>
      <w:r w:rsidR="00BD5B58">
        <w:rPr>
          <w:rFonts w:ascii="Arial" w:hAnsi="Arial" w:cs="Arial"/>
          <w:sz w:val="24"/>
          <w:szCs w:val="24"/>
        </w:rPr>
        <w:t xml:space="preserve">job opportunities in the Culture and Creative sector. </w:t>
      </w:r>
      <w:r w:rsidR="00E214A9" w:rsidRPr="00633007">
        <w:rPr>
          <w:rFonts w:ascii="Arial" w:hAnsi="Arial" w:cs="Arial"/>
          <w:sz w:val="24"/>
          <w:szCs w:val="24"/>
        </w:rPr>
        <w:t>Projects targeting people who have been unemployed for three or more months, build</w:t>
      </w:r>
      <w:r w:rsidR="0012147E" w:rsidRPr="00633007">
        <w:rPr>
          <w:rFonts w:ascii="Arial" w:hAnsi="Arial" w:cs="Arial"/>
          <w:sz w:val="24"/>
          <w:szCs w:val="24"/>
        </w:rPr>
        <w:t>ing</w:t>
      </w:r>
      <w:r w:rsidR="00E214A9" w:rsidRPr="00633007">
        <w:rPr>
          <w:rFonts w:ascii="Arial" w:hAnsi="Arial" w:cs="Arial"/>
          <w:sz w:val="24"/>
          <w:szCs w:val="24"/>
        </w:rPr>
        <w:t xml:space="preserve"> on unemployment schemes to help more people into </w:t>
      </w:r>
      <w:r w:rsidR="0012147E" w:rsidRPr="00633007">
        <w:rPr>
          <w:rFonts w:ascii="Arial" w:hAnsi="Arial" w:cs="Arial"/>
          <w:sz w:val="24"/>
          <w:szCs w:val="24"/>
        </w:rPr>
        <w:t xml:space="preserve">jobs. </w:t>
      </w:r>
    </w:p>
    <w:p w14:paraId="6B5EE3FD" w14:textId="77777777" w:rsidR="00563897" w:rsidRPr="00633007" w:rsidRDefault="00563897" w:rsidP="006A6AD2">
      <w:pPr>
        <w:spacing w:after="0" w:line="240" w:lineRule="auto"/>
        <w:rPr>
          <w:rFonts w:ascii="Arial" w:hAnsi="Arial" w:cs="Arial"/>
          <w:sz w:val="24"/>
          <w:szCs w:val="24"/>
        </w:rPr>
      </w:pPr>
    </w:p>
    <w:p w14:paraId="340C0D01" w14:textId="4CB57F9C" w:rsidR="00E53785" w:rsidRDefault="00E214A9" w:rsidP="00BD5B58">
      <w:pPr>
        <w:spacing w:after="0" w:line="240" w:lineRule="auto"/>
        <w:rPr>
          <w:rFonts w:ascii="Arial" w:hAnsi="Arial" w:cs="Arial"/>
          <w:sz w:val="24"/>
          <w:szCs w:val="24"/>
        </w:rPr>
      </w:pPr>
      <w:r w:rsidRPr="00633007">
        <w:rPr>
          <w:rFonts w:ascii="Arial" w:eastAsia="Times New Roman" w:hAnsi="Arial" w:cs="Arial"/>
          <w:sz w:val="24"/>
          <w:szCs w:val="24"/>
          <w:lang w:eastAsia="en-GB"/>
        </w:rPr>
        <w:t>W</w:t>
      </w:r>
      <w:r w:rsidR="00D55425" w:rsidRPr="00633007">
        <w:rPr>
          <w:rFonts w:ascii="Arial" w:eastAsia="Times New Roman" w:hAnsi="Arial" w:cs="Arial"/>
          <w:sz w:val="24"/>
          <w:szCs w:val="24"/>
          <w:lang w:eastAsia="en-GB"/>
        </w:rPr>
        <w:t xml:space="preserve">e </w:t>
      </w:r>
      <w:r w:rsidR="00633007" w:rsidRPr="00633007">
        <w:rPr>
          <w:rFonts w:ascii="Arial" w:eastAsia="Times New Roman" w:hAnsi="Arial" w:cs="Arial"/>
          <w:sz w:val="24"/>
          <w:szCs w:val="24"/>
          <w:lang w:eastAsia="en-GB"/>
        </w:rPr>
        <w:t xml:space="preserve">welcome </w:t>
      </w:r>
      <w:r w:rsidR="00D55425" w:rsidRPr="00633007">
        <w:rPr>
          <w:rFonts w:ascii="Arial" w:eastAsia="Times New Roman" w:hAnsi="Arial" w:cs="Arial"/>
          <w:sz w:val="24"/>
          <w:szCs w:val="24"/>
          <w:lang w:eastAsia="en-GB"/>
        </w:rPr>
        <w:t xml:space="preserve">proposals </w:t>
      </w:r>
      <w:r w:rsidRPr="00633007">
        <w:rPr>
          <w:rFonts w:ascii="Arial" w:hAnsi="Arial" w:cs="Arial"/>
          <w:sz w:val="24"/>
          <w:szCs w:val="24"/>
        </w:rPr>
        <w:t xml:space="preserve">which </w:t>
      </w:r>
      <w:r w:rsidR="00BD5B58" w:rsidRPr="00EE547B">
        <w:rPr>
          <w:rFonts w:ascii="Arial" w:hAnsi="Arial" w:cs="Arial"/>
          <w:sz w:val="24"/>
          <w:szCs w:val="24"/>
        </w:rPr>
        <w:t>encourag</w:t>
      </w:r>
      <w:r w:rsidR="00BD5B58">
        <w:rPr>
          <w:rFonts w:ascii="Arial" w:hAnsi="Arial" w:cs="Arial"/>
          <w:sz w:val="24"/>
          <w:szCs w:val="24"/>
        </w:rPr>
        <w:t>e</w:t>
      </w:r>
      <w:r w:rsidR="00BD5B58" w:rsidRPr="00EE547B">
        <w:rPr>
          <w:rFonts w:ascii="Arial" w:hAnsi="Arial" w:cs="Arial"/>
          <w:sz w:val="24"/>
          <w:szCs w:val="24"/>
        </w:rPr>
        <w:t xml:space="preserve"> people from </w:t>
      </w:r>
      <w:r w:rsidR="00BD5B58">
        <w:rPr>
          <w:rFonts w:ascii="Arial" w:hAnsi="Arial" w:cs="Arial"/>
          <w:sz w:val="24"/>
          <w:szCs w:val="24"/>
        </w:rPr>
        <w:t xml:space="preserve">all ages and </w:t>
      </w:r>
      <w:r w:rsidR="00BD5B58" w:rsidRPr="00EE547B">
        <w:rPr>
          <w:rFonts w:ascii="Arial" w:hAnsi="Arial" w:cs="Arial"/>
          <w:sz w:val="24"/>
          <w:szCs w:val="24"/>
        </w:rPr>
        <w:t xml:space="preserve">diverse backgrounds to aspire to a career in the </w:t>
      </w:r>
      <w:r w:rsidR="00BD5B58">
        <w:rPr>
          <w:rFonts w:ascii="Arial" w:hAnsi="Arial" w:cs="Arial"/>
          <w:sz w:val="24"/>
          <w:szCs w:val="24"/>
        </w:rPr>
        <w:t xml:space="preserve">Culture and Creative </w:t>
      </w:r>
      <w:r w:rsidR="00BD5B58" w:rsidRPr="00EE547B">
        <w:rPr>
          <w:rFonts w:ascii="Arial" w:hAnsi="Arial" w:cs="Arial"/>
          <w:sz w:val="24"/>
          <w:szCs w:val="24"/>
        </w:rPr>
        <w:t xml:space="preserve">sector will help to ensure a pipeline of talent with the appropriate skills. </w:t>
      </w:r>
    </w:p>
    <w:p w14:paraId="6DE4FF2F" w14:textId="7D853C96" w:rsidR="00E53785" w:rsidRDefault="00E53785" w:rsidP="00751F73">
      <w:pPr>
        <w:pStyle w:val="Default"/>
      </w:pPr>
    </w:p>
    <w:p w14:paraId="7B724F28" w14:textId="77777777" w:rsidR="00D213FC" w:rsidRDefault="00D213FC" w:rsidP="00751F73">
      <w:pPr>
        <w:pStyle w:val="Default"/>
      </w:pPr>
    </w:p>
    <w:p w14:paraId="0BEAB2C7" w14:textId="2FF1E740" w:rsidR="000C28CF" w:rsidRPr="00563897" w:rsidRDefault="00EF5127" w:rsidP="00057DCD">
      <w:pPr>
        <w:pStyle w:val="Heading1"/>
        <w:numPr>
          <w:ilvl w:val="0"/>
          <w:numId w:val="45"/>
        </w:numPr>
        <w:spacing w:before="0" w:line="240" w:lineRule="auto"/>
        <w:ind w:left="567" w:hanging="567"/>
      </w:pPr>
      <w:bookmarkStart w:id="6" w:name="_Toc84450580"/>
      <w:r w:rsidRPr="00563897">
        <w:t>Outcomes</w:t>
      </w:r>
      <w:bookmarkEnd w:id="6"/>
      <w:r w:rsidRPr="00563897">
        <w:t xml:space="preserve"> </w:t>
      </w:r>
    </w:p>
    <w:p w14:paraId="36A8DA25" w14:textId="73665905" w:rsidR="000C28CF" w:rsidRPr="00563897" w:rsidRDefault="000C28CF" w:rsidP="00057DCD">
      <w:pPr>
        <w:pStyle w:val="Default"/>
      </w:pPr>
    </w:p>
    <w:p w14:paraId="11EB2455" w14:textId="77777777" w:rsidR="00EF5127" w:rsidRPr="00563897" w:rsidRDefault="00EF5127" w:rsidP="00057DCD">
      <w:pPr>
        <w:spacing w:after="0" w:line="240" w:lineRule="auto"/>
        <w:jc w:val="both"/>
        <w:rPr>
          <w:rFonts w:ascii="Arial" w:eastAsia="Batang" w:hAnsi="Arial" w:cs="Arial"/>
          <w:sz w:val="24"/>
          <w:szCs w:val="24"/>
        </w:rPr>
      </w:pPr>
      <w:r w:rsidRPr="00563897">
        <w:rPr>
          <w:rFonts w:ascii="Arial" w:eastAsia="Batang" w:hAnsi="Arial" w:cs="Arial"/>
          <w:sz w:val="24"/>
          <w:szCs w:val="24"/>
        </w:rPr>
        <w:t xml:space="preserve">The following are examples of </w:t>
      </w:r>
      <w:r w:rsidRPr="00563897">
        <w:rPr>
          <w:rFonts w:ascii="Arial" w:eastAsia="Batang" w:hAnsi="Arial" w:cs="Arial"/>
          <w:b/>
          <w:bCs/>
          <w:sz w:val="24"/>
          <w:szCs w:val="24"/>
        </w:rPr>
        <w:t xml:space="preserve">outcomes </w:t>
      </w:r>
      <w:r w:rsidRPr="00563897">
        <w:rPr>
          <w:rFonts w:ascii="Arial" w:eastAsia="Batang" w:hAnsi="Arial" w:cs="Arial"/>
          <w:sz w:val="24"/>
          <w:szCs w:val="24"/>
        </w:rPr>
        <w:t xml:space="preserve">that the NTCA expects </w:t>
      </w:r>
      <w:proofErr w:type="gramStart"/>
      <w:r w:rsidRPr="00563897">
        <w:rPr>
          <w:rFonts w:ascii="Arial" w:eastAsia="Batang" w:hAnsi="Arial" w:cs="Arial"/>
          <w:sz w:val="24"/>
          <w:szCs w:val="24"/>
        </w:rPr>
        <w:t>as a result of</w:t>
      </w:r>
      <w:proofErr w:type="gramEnd"/>
      <w:r w:rsidRPr="00563897">
        <w:rPr>
          <w:rFonts w:ascii="Arial" w:eastAsia="Batang" w:hAnsi="Arial" w:cs="Arial"/>
          <w:sz w:val="24"/>
          <w:szCs w:val="24"/>
        </w:rPr>
        <w:t xml:space="preserve"> activity funded through this call:</w:t>
      </w:r>
    </w:p>
    <w:p w14:paraId="04DD8E06" w14:textId="77777777" w:rsidR="00EF5127" w:rsidRPr="00563897" w:rsidRDefault="00EF5127" w:rsidP="00057DCD">
      <w:pPr>
        <w:spacing w:after="0" w:line="240" w:lineRule="auto"/>
        <w:jc w:val="both"/>
        <w:rPr>
          <w:rFonts w:ascii="Arial" w:eastAsia="Batang" w:hAnsi="Arial" w:cs="Arial"/>
          <w:sz w:val="24"/>
          <w:szCs w:val="24"/>
        </w:rPr>
      </w:pPr>
    </w:p>
    <w:p w14:paraId="429E380C" w14:textId="26756A76" w:rsidR="00EF5127" w:rsidRPr="00563897" w:rsidRDefault="00E4507B" w:rsidP="00057DCD">
      <w:pPr>
        <w:pStyle w:val="ListParagraph"/>
        <w:numPr>
          <w:ilvl w:val="0"/>
          <w:numId w:val="21"/>
        </w:numPr>
        <w:spacing w:after="0" w:line="240" w:lineRule="auto"/>
        <w:ind w:left="720"/>
        <w:contextualSpacing w:val="0"/>
        <w:jc w:val="both"/>
        <w:rPr>
          <w:rFonts w:ascii="Arial" w:hAnsi="Arial" w:cs="Arial"/>
          <w:bCs/>
          <w:sz w:val="24"/>
          <w:szCs w:val="24"/>
        </w:rPr>
      </w:pPr>
      <w:r>
        <w:rPr>
          <w:rFonts w:ascii="Arial" w:hAnsi="Arial" w:cs="Arial"/>
          <w:bCs/>
          <w:sz w:val="24"/>
          <w:szCs w:val="24"/>
        </w:rPr>
        <w:t>T</w:t>
      </w:r>
      <w:r w:rsidR="00EF5127" w:rsidRPr="00563897">
        <w:rPr>
          <w:rFonts w:ascii="Arial" w:hAnsi="Arial" w:cs="Arial"/>
          <w:bCs/>
          <w:sz w:val="24"/>
          <w:szCs w:val="24"/>
        </w:rPr>
        <w:t xml:space="preserve">he primary intent of the investment will be to directly </w:t>
      </w:r>
      <w:r w:rsidR="00F32E7F" w:rsidRPr="00563897">
        <w:rPr>
          <w:rFonts w:ascii="Arial" w:hAnsi="Arial" w:cs="Arial"/>
          <w:bCs/>
          <w:sz w:val="24"/>
          <w:szCs w:val="24"/>
        </w:rPr>
        <w:t xml:space="preserve">support skills and training provision </w:t>
      </w:r>
      <w:r w:rsidR="00563897">
        <w:rPr>
          <w:rFonts w:ascii="Arial" w:hAnsi="Arial" w:cs="Arial"/>
          <w:bCs/>
          <w:sz w:val="24"/>
          <w:szCs w:val="24"/>
        </w:rPr>
        <w:t xml:space="preserve">related to the </w:t>
      </w:r>
      <w:r w:rsidR="00BD5B58">
        <w:rPr>
          <w:rFonts w:ascii="Arial" w:hAnsi="Arial" w:cs="Arial"/>
          <w:bCs/>
          <w:sz w:val="24"/>
          <w:szCs w:val="24"/>
        </w:rPr>
        <w:t>Culture and Creative sector -</w:t>
      </w:r>
      <w:r w:rsidR="00EF5127" w:rsidRPr="00563897">
        <w:rPr>
          <w:rFonts w:ascii="Arial" w:hAnsi="Arial" w:cs="Arial"/>
          <w:bCs/>
          <w:sz w:val="24"/>
          <w:szCs w:val="24"/>
        </w:rPr>
        <w:t xml:space="preserve"> therefore significant out</w:t>
      </w:r>
      <w:r w:rsidR="002D61BE">
        <w:rPr>
          <w:rFonts w:ascii="Arial" w:hAnsi="Arial" w:cs="Arial"/>
          <w:bCs/>
          <w:sz w:val="24"/>
          <w:szCs w:val="24"/>
        </w:rPr>
        <w:t>comes</w:t>
      </w:r>
      <w:r w:rsidR="00EF5127" w:rsidRPr="00563897">
        <w:rPr>
          <w:rFonts w:ascii="Arial" w:hAnsi="Arial" w:cs="Arial"/>
          <w:bCs/>
          <w:sz w:val="24"/>
          <w:szCs w:val="24"/>
        </w:rPr>
        <w:t xml:space="preserve"> in relation to </w:t>
      </w:r>
      <w:r w:rsidR="0070299A">
        <w:rPr>
          <w:rFonts w:ascii="Arial" w:hAnsi="Arial" w:cs="Arial"/>
          <w:bCs/>
          <w:sz w:val="24"/>
          <w:szCs w:val="24"/>
        </w:rPr>
        <w:t xml:space="preserve">skills </w:t>
      </w:r>
      <w:r w:rsidR="00563897">
        <w:rPr>
          <w:rFonts w:ascii="Arial" w:hAnsi="Arial" w:cs="Arial"/>
          <w:bCs/>
          <w:sz w:val="24"/>
          <w:szCs w:val="24"/>
        </w:rPr>
        <w:t xml:space="preserve">and </w:t>
      </w:r>
      <w:r w:rsidR="00EF5127" w:rsidRPr="00563897">
        <w:rPr>
          <w:rFonts w:ascii="Arial" w:hAnsi="Arial" w:cs="Arial"/>
          <w:bCs/>
          <w:sz w:val="24"/>
          <w:szCs w:val="24"/>
        </w:rPr>
        <w:t xml:space="preserve">employment gained (or safeguarded or progression secured) are expected. </w:t>
      </w:r>
    </w:p>
    <w:p w14:paraId="41B93EA7" w14:textId="77777777" w:rsidR="00F32E7F" w:rsidRPr="00563897" w:rsidRDefault="00F32E7F" w:rsidP="00057DCD">
      <w:pPr>
        <w:pStyle w:val="ListParagraph"/>
        <w:spacing w:after="0" w:line="240" w:lineRule="auto"/>
        <w:contextualSpacing w:val="0"/>
        <w:jc w:val="both"/>
        <w:rPr>
          <w:rFonts w:ascii="Arial" w:hAnsi="Arial" w:cs="Arial"/>
          <w:bCs/>
          <w:sz w:val="24"/>
          <w:szCs w:val="24"/>
        </w:rPr>
      </w:pPr>
    </w:p>
    <w:p w14:paraId="4AD90338" w14:textId="27F796DD" w:rsidR="00EF5127" w:rsidRPr="00563897" w:rsidRDefault="00EF5127" w:rsidP="00057DCD">
      <w:pPr>
        <w:pStyle w:val="ListParagraph"/>
        <w:numPr>
          <w:ilvl w:val="0"/>
          <w:numId w:val="21"/>
        </w:numPr>
        <w:spacing w:after="0" w:line="240" w:lineRule="auto"/>
        <w:ind w:left="720"/>
        <w:jc w:val="both"/>
        <w:rPr>
          <w:rFonts w:ascii="Arial" w:eastAsia="Batang" w:hAnsi="Arial" w:cs="Arial"/>
          <w:b/>
          <w:sz w:val="24"/>
          <w:szCs w:val="24"/>
        </w:rPr>
      </w:pPr>
      <w:r w:rsidRPr="00563897">
        <w:rPr>
          <w:rFonts w:ascii="Arial" w:hAnsi="Arial" w:cs="Arial"/>
          <w:sz w:val="24"/>
          <w:szCs w:val="24"/>
        </w:rPr>
        <w:t xml:space="preserve">A small proportion of activity (~&lt;20%) could relate to improvements in the responsiveness or quality of the skills system in North of Tyne </w:t>
      </w:r>
      <w:r w:rsidR="00F32E7F" w:rsidRPr="00563897">
        <w:rPr>
          <w:rFonts w:ascii="Arial" w:hAnsi="Arial" w:cs="Arial"/>
          <w:sz w:val="24"/>
          <w:szCs w:val="24"/>
        </w:rPr>
        <w:t xml:space="preserve">to the </w:t>
      </w:r>
      <w:r w:rsidR="00BD5B58">
        <w:rPr>
          <w:rFonts w:ascii="Arial" w:hAnsi="Arial" w:cs="Arial"/>
          <w:sz w:val="24"/>
          <w:szCs w:val="24"/>
        </w:rPr>
        <w:t xml:space="preserve">Culture and Creative Sector. </w:t>
      </w:r>
      <w:r w:rsidR="00F32E7F" w:rsidRPr="00563897">
        <w:rPr>
          <w:rFonts w:ascii="Arial" w:hAnsi="Arial" w:cs="Arial"/>
          <w:sz w:val="24"/>
          <w:szCs w:val="24"/>
        </w:rPr>
        <w:t>Therefore,</w:t>
      </w:r>
      <w:r w:rsidRPr="00563897">
        <w:rPr>
          <w:rFonts w:ascii="Arial" w:hAnsi="Arial" w:cs="Arial"/>
          <w:sz w:val="24"/>
          <w:szCs w:val="24"/>
        </w:rPr>
        <w:t xml:space="preserve"> have limited direct outputs using NTCA standard definitions. Should business cases for this type of activity come forward they will be expected to clearly articulate their rationale, impact, and value for money.</w:t>
      </w:r>
    </w:p>
    <w:p w14:paraId="025D538A" w14:textId="180BF3F0" w:rsidR="00EF5127" w:rsidRDefault="00EF5127" w:rsidP="00057DCD">
      <w:pPr>
        <w:spacing w:after="0" w:line="240" w:lineRule="auto"/>
        <w:jc w:val="both"/>
        <w:textAlignment w:val="baseline"/>
        <w:rPr>
          <w:rFonts w:ascii="Arial" w:eastAsia="Batang" w:hAnsi="Arial" w:cs="Arial"/>
          <w:sz w:val="24"/>
          <w:szCs w:val="24"/>
          <w:lang w:eastAsia="en-GB"/>
        </w:rPr>
      </w:pPr>
    </w:p>
    <w:p w14:paraId="1D99FE7A" w14:textId="77777777" w:rsidR="00D213FC" w:rsidRPr="00563897" w:rsidRDefault="00D213FC" w:rsidP="00057DCD">
      <w:pPr>
        <w:spacing w:after="0" w:line="240" w:lineRule="auto"/>
        <w:jc w:val="both"/>
        <w:textAlignment w:val="baseline"/>
        <w:rPr>
          <w:rFonts w:ascii="Arial" w:eastAsia="Batang" w:hAnsi="Arial" w:cs="Arial"/>
          <w:sz w:val="24"/>
          <w:szCs w:val="24"/>
          <w:lang w:eastAsia="en-GB"/>
        </w:rPr>
      </w:pPr>
    </w:p>
    <w:p w14:paraId="3D968E0A" w14:textId="736BACE5" w:rsidR="00D3585C" w:rsidRPr="00057DCD" w:rsidRDefault="00D3585C" w:rsidP="00057DCD">
      <w:pPr>
        <w:pStyle w:val="Heading1"/>
        <w:numPr>
          <w:ilvl w:val="0"/>
          <w:numId w:val="45"/>
        </w:numPr>
        <w:spacing w:before="0" w:line="240" w:lineRule="auto"/>
        <w:ind w:left="567" w:hanging="567"/>
        <w:rPr>
          <w:rFonts w:eastAsia="Batang"/>
        </w:rPr>
      </w:pPr>
      <w:bookmarkStart w:id="7" w:name="_Toc84450581"/>
      <w:r w:rsidRPr="00057DCD">
        <w:rPr>
          <w:rFonts w:eastAsia="Batang"/>
        </w:rPr>
        <w:t>Outputs</w:t>
      </w:r>
      <w:bookmarkEnd w:id="7"/>
    </w:p>
    <w:p w14:paraId="4CDE8117" w14:textId="77777777" w:rsidR="00D3585C" w:rsidRPr="00563897" w:rsidRDefault="00D3585C" w:rsidP="00057DCD">
      <w:pPr>
        <w:spacing w:after="0" w:line="240" w:lineRule="auto"/>
        <w:jc w:val="both"/>
        <w:textAlignment w:val="baseline"/>
        <w:rPr>
          <w:rFonts w:ascii="Arial" w:eastAsia="Batang" w:hAnsi="Arial" w:cs="Arial"/>
          <w:sz w:val="24"/>
          <w:szCs w:val="24"/>
          <w:lang w:eastAsia="en-GB"/>
        </w:rPr>
      </w:pPr>
    </w:p>
    <w:p w14:paraId="7E2A1FDB" w14:textId="118B3E1F" w:rsidR="00A71F7B" w:rsidRPr="00563897" w:rsidRDefault="0048661E" w:rsidP="00057DCD">
      <w:pPr>
        <w:spacing w:after="0" w:line="240" w:lineRule="auto"/>
        <w:jc w:val="both"/>
        <w:textAlignment w:val="baseline"/>
        <w:rPr>
          <w:rFonts w:ascii="Arial" w:eastAsia="Times New Roman" w:hAnsi="Arial" w:cs="Arial"/>
          <w:sz w:val="24"/>
          <w:szCs w:val="24"/>
          <w:lang w:eastAsia="en-GB"/>
        </w:rPr>
      </w:pPr>
      <w:r w:rsidRPr="00563897">
        <w:rPr>
          <w:rFonts w:ascii="Arial" w:eastAsia="Batang" w:hAnsi="Arial" w:cs="Arial"/>
          <w:sz w:val="24"/>
          <w:szCs w:val="24"/>
          <w:lang w:eastAsia="en-GB"/>
        </w:rPr>
        <w:t>P</w:t>
      </w:r>
      <w:r w:rsidR="00A71F7B" w:rsidRPr="00563897">
        <w:rPr>
          <w:rFonts w:ascii="Arial" w:eastAsia="Batang" w:hAnsi="Arial" w:cs="Arial"/>
          <w:sz w:val="24"/>
          <w:szCs w:val="24"/>
          <w:lang w:eastAsia="en-GB"/>
        </w:rPr>
        <w:t>roposals should deliver against</w:t>
      </w:r>
      <w:r w:rsidR="0024300D" w:rsidRPr="00563897">
        <w:rPr>
          <w:rFonts w:ascii="Arial" w:eastAsia="Batang" w:hAnsi="Arial" w:cs="Arial"/>
          <w:sz w:val="24"/>
          <w:szCs w:val="24"/>
          <w:lang w:eastAsia="en-GB"/>
        </w:rPr>
        <w:t xml:space="preserve"> several of</w:t>
      </w:r>
      <w:r w:rsidR="00A71F7B" w:rsidRPr="00563897">
        <w:rPr>
          <w:rFonts w:ascii="Arial" w:eastAsia="Batang" w:hAnsi="Arial" w:cs="Arial"/>
          <w:sz w:val="24"/>
          <w:szCs w:val="24"/>
          <w:lang w:eastAsia="en-GB"/>
        </w:rPr>
        <w:t xml:space="preserve"> the following NTCA Outputs and performance Indicators</w:t>
      </w:r>
      <w:r w:rsidR="0051750D" w:rsidRPr="00563897">
        <w:rPr>
          <w:rStyle w:val="FootnoteReference"/>
          <w:rFonts w:ascii="Arial" w:eastAsia="Batang" w:hAnsi="Arial" w:cs="Arial"/>
          <w:sz w:val="24"/>
          <w:szCs w:val="24"/>
          <w:lang w:eastAsia="en-GB"/>
        </w:rPr>
        <w:footnoteReference w:id="1"/>
      </w:r>
      <w:r w:rsidR="00A71F7B" w:rsidRPr="00563897">
        <w:rPr>
          <w:rFonts w:ascii="Arial" w:eastAsia="Batang" w:hAnsi="Arial" w:cs="Arial"/>
          <w:sz w:val="24"/>
          <w:szCs w:val="24"/>
          <w:lang w:eastAsia="en-GB"/>
        </w:rPr>
        <w:t>:</w:t>
      </w:r>
      <w:r w:rsidR="00A71F7B" w:rsidRPr="00563897">
        <w:rPr>
          <w:rFonts w:ascii="Arial" w:eastAsia="Times New Roman" w:hAnsi="Arial" w:cs="Arial"/>
          <w:sz w:val="24"/>
          <w:szCs w:val="24"/>
          <w:lang w:eastAsia="en-GB"/>
        </w:rPr>
        <w:t> </w:t>
      </w:r>
    </w:p>
    <w:p w14:paraId="31151F67" w14:textId="77777777" w:rsidR="00A71F7B" w:rsidRPr="00563897" w:rsidRDefault="00A71F7B" w:rsidP="00057DCD">
      <w:pPr>
        <w:spacing w:after="0" w:line="240" w:lineRule="auto"/>
        <w:jc w:val="both"/>
        <w:textAlignment w:val="baseline"/>
        <w:rPr>
          <w:rFonts w:ascii="Arial" w:eastAsia="Times New Roman" w:hAnsi="Arial" w:cs="Arial"/>
          <w:sz w:val="24"/>
          <w:szCs w:val="24"/>
          <w:lang w:eastAsia="en-GB"/>
        </w:rPr>
      </w:pPr>
    </w:p>
    <w:p w14:paraId="07A69133" w14:textId="7F478C55" w:rsidR="00A71F7B"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 xml:space="preserve">007 – Number of residents Supported </w:t>
      </w:r>
    </w:p>
    <w:p w14:paraId="76DF85F9" w14:textId="5FEC92D9" w:rsidR="00E820D9"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 xml:space="preserve">008 – Participants in Education/Training upon leaving </w:t>
      </w:r>
    </w:p>
    <w:p w14:paraId="11CA6CA5" w14:textId="429E5274" w:rsidR="00E820D9"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 xml:space="preserve">009 – Participants in employment/self-employment upon leaving </w:t>
      </w:r>
    </w:p>
    <w:p w14:paraId="73A9984F" w14:textId="3D9DBD42" w:rsidR="003653FD"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012</w:t>
      </w:r>
      <w:r w:rsidR="0051750D" w:rsidRPr="00563897">
        <w:rPr>
          <w:rFonts w:ascii="Arial" w:hAnsi="Arial" w:cs="Arial"/>
        </w:rPr>
        <w:t xml:space="preserve"> – Participants gaining level 3 qualification and above </w:t>
      </w:r>
    </w:p>
    <w:p w14:paraId="677259ED" w14:textId="7C490963" w:rsidR="0051750D" w:rsidRPr="00563897" w:rsidRDefault="0051750D"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015 – Number of apprenticeship/traineeship opportunities achieved</w:t>
      </w:r>
    </w:p>
    <w:p w14:paraId="6FF03D26" w14:textId="2DAB5A9F" w:rsidR="0051750D" w:rsidRPr="00563897" w:rsidRDefault="0051750D"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003 – Direct Jobs Safeguarded</w:t>
      </w:r>
    </w:p>
    <w:p w14:paraId="3DDBA21E" w14:textId="0A135699" w:rsidR="009D5A8B" w:rsidRDefault="009D5A8B" w:rsidP="00563897">
      <w:pPr>
        <w:spacing w:after="0" w:line="240" w:lineRule="auto"/>
        <w:jc w:val="both"/>
        <w:rPr>
          <w:rFonts w:ascii="Arial" w:eastAsia="Batang" w:hAnsi="Arial" w:cs="Arial"/>
          <w:sz w:val="24"/>
          <w:szCs w:val="24"/>
        </w:rPr>
      </w:pPr>
    </w:p>
    <w:p w14:paraId="22EDDC96" w14:textId="77777777" w:rsidR="00D213FC" w:rsidRPr="00563897" w:rsidRDefault="00D213FC" w:rsidP="00563897">
      <w:pPr>
        <w:spacing w:after="0" w:line="240" w:lineRule="auto"/>
        <w:jc w:val="both"/>
        <w:rPr>
          <w:rFonts w:ascii="Arial" w:eastAsia="Batang" w:hAnsi="Arial" w:cs="Arial"/>
          <w:sz w:val="24"/>
          <w:szCs w:val="24"/>
        </w:rPr>
      </w:pPr>
    </w:p>
    <w:p w14:paraId="57FECFAF" w14:textId="77777777" w:rsidR="00F32E7F" w:rsidRPr="00563897" w:rsidRDefault="00F32E7F" w:rsidP="00057DCD">
      <w:pPr>
        <w:pStyle w:val="Heading1"/>
        <w:numPr>
          <w:ilvl w:val="0"/>
          <w:numId w:val="45"/>
        </w:numPr>
        <w:spacing w:before="0" w:line="240" w:lineRule="auto"/>
        <w:ind w:left="567" w:hanging="567"/>
      </w:pPr>
      <w:bookmarkStart w:id="8" w:name="_Toc84450582"/>
      <w:r w:rsidRPr="00563897">
        <w:t>Submission of Proposals</w:t>
      </w:r>
      <w:bookmarkEnd w:id="8"/>
    </w:p>
    <w:p w14:paraId="65724D3B" w14:textId="77777777"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p>
    <w:p w14:paraId="2768C21F" w14:textId="77777777" w:rsidR="00BA5A56" w:rsidRDefault="00BA5A56" w:rsidP="00BA5A56">
      <w:pPr>
        <w:rPr>
          <w:rFonts w:ascii="Verdana" w:eastAsia="Times New Roman" w:hAnsi="Verdana"/>
          <w:sz w:val="21"/>
          <w:szCs w:val="21"/>
        </w:rPr>
      </w:pPr>
      <w:r>
        <w:rPr>
          <w:rFonts w:ascii="Arial" w:hAnsi="Arial" w:cs="Arial"/>
          <w:color w:val="000000"/>
          <w:sz w:val="24"/>
          <w:szCs w:val="24"/>
        </w:rPr>
        <w:t xml:space="preserve">First stage Expression of Interest application </w:t>
      </w:r>
      <w:r w:rsidRPr="00563897">
        <w:rPr>
          <w:rFonts w:ascii="Arial" w:hAnsi="Arial" w:cs="Arial"/>
          <w:color w:val="000000"/>
          <w:sz w:val="24"/>
          <w:szCs w:val="24"/>
        </w:rPr>
        <w:t xml:space="preserve">forms for </w:t>
      </w:r>
      <w:r>
        <w:rPr>
          <w:rFonts w:ascii="Arial" w:hAnsi="Arial" w:cs="Arial"/>
          <w:color w:val="000000"/>
          <w:sz w:val="24"/>
          <w:szCs w:val="24"/>
        </w:rPr>
        <w:t>this funding opportunity are available by</w:t>
      </w:r>
      <w:r w:rsidRPr="00563897">
        <w:rPr>
          <w:rFonts w:ascii="Arial" w:hAnsi="Arial" w:cs="Arial"/>
          <w:color w:val="000000"/>
          <w:sz w:val="24"/>
          <w:szCs w:val="24"/>
        </w:rPr>
        <w:t xml:space="preserve"> emailing </w:t>
      </w:r>
      <w:hyperlink r:id="rId16" w:history="1">
        <w:r>
          <w:rPr>
            <w:rStyle w:val="Hyperlink"/>
            <w:rFonts w:ascii="Verdana" w:eastAsia="Times New Roman" w:hAnsi="Verdana"/>
            <w:sz w:val="21"/>
            <w:szCs w:val="21"/>
          </w:rPr>
          <w:t>Skillsforgrowth@northoftyne-ca.gov.uk</w:t>
        </w:r>
      </w:hyperlink>
    </w:p>
    <w:p w14:paraId="75896DDE" w14:textId="10D56394" w:rsidR="00F32E7F" w:rsidRPr="00B81F29" w:rsidRDefault="00F32E7F" w:rsidP="00B81F29">
      <w:pPr>
        <w:jc w:val="both"/>
        <w:rPr>
          <w:rFonts w:ascii="Verdana" w:eastAsia="Times New Roman" w:hAnsi="Verdana"/>
          <w:sz w:val="21"/>
          <w:szCs w:val="21"/>
        </w:rPr>
      </w:pPr>
      <w:r w:rsidRPr="00563897">
        <w:rPr>
          <w:rFonts w:ascii="Arial" w:hAnsi="Arial" w:cs="Arial"/>
          <w:color w:val="000000"/>
          <w:sz w:val="24"/>
          <w:szCs w:val="24"/>
        </w:rPr>
        <w:t xml:space="preserve">Queries from applicants should be sent to </w:t>
      </w:r>
      <w:hyperlink r:id="rId17" w:history="1">
        <w:r w:rsidR="00B81F29">
          <w:rPr>
            <w:rStyle w:val="Hyperlink"/>
            <w:rFonts w:ascii="Verdana" w:eastAsia="Times New Roman" w:hAnsi="Verdana"/>
            <w:sz w:val="21"/>
            <w:szCs w:val="21"/>
          </w:rPr>
          <w:t>Skillsforgrowth@northoftyne-ca.gov.uk</w:t>
        </w:r>
      </w:hyperlink>
      <w:r w:rsidR="00B81F29">
        <w:rPr>
          <w:rFonts w:ascii="Verdana" w:eastAsia="Times New Roman" w:hAnsi="Verdana"/>
          <w:sz w:val="21"/>
          <w:szCs w:val="21"/>
        </w:rPr>
        <w:t xml:space="preserve">. </w:t>
      </w:r>
      <w:r w:rsidRPr="00563897">
        <w:rPr>
          <w:rFonts w:ascii="Arial" w:hAnsi="Arial" w:cs="Arial"/>
          <w:color w:val="000000"/>
          <w:sz w:val="24"/>
          <w:szCs w:val="24"/>
        </w:rPr>
        <w:t xml:space="preserve">Applicants should be aware that queries may be anonymised and responded to publicly through a Q&amp;A Log on the NTCA website. </w:t>
      </w:r>
    </w:p>
    <w:p w14:paraId="6BC136F0" w14:textId="2746346B"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r w:rsidRPr="00563897">
        <w:rPr>
          <w:rFonts w:ascii="Arial" w:hAnsi="Arial" w:cs="Arial"/>
          <w:color w:val="000000"/>
          <w:sz w:val="24"/>
          <w:szCs w:val="24"/>
        </w:rPr>
        <w:t xml:space="preserve">Please consider the following strategic documents that may help you with your application. </w:t>
      </w:r>
    </w:p>
    <w:p w14:paraId="6E658A39" w14:textId="77777777"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p>
    <w:p w14:paraId="3D87CA7F" w14:textId="43F1D8E6" w:rsidR="00F32E7F" w:rsidRPr="005A0F29" w:rsidRDefault="00D00BB8" w:rsidP="00F32E7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hyperlink r:id="rId18" w:history="1">
        <w:r w:rsidR="00E4507B" w:rsidRPr="005A0F29">
          <w:rPr>
            <w:rStyle w:val="Hyperlink"/>
            <w:rFonts w:ascii="Arial" w:hAnsi="Arial" w:cs="Arial"/>
            <w:sz w:val="24"/>
            <w:szCs w:val="24"/>
          </w:rPr>
          <w:t>North of Tyne Corporate Plan 2021-2022 - 'Jobs, Skills and A Post-COVID Economy'</w:t>
        </w:r>
      </w:hyperlink>
      <w:r w:rsidR="00E4507B" w:rsidRPr="005A0F29">
        <w:rPr>
          <w:rFonts w:ascii="Arial" w:hAnsi="Arial" w:cs="Arial"/>
          <w:sz w:val="24"/>
          <w:szCs w:val="24"/>
        </w:rPr>
        <w:t xml:space="preserve"> </w:t>
      </w:r>
    </w:p>
    <w:p w14:paraId="301ABFE1" w14:textId="62768678" w:rsidR="005A0F29" w:rsidRPr="005A0F29" w:rsidRDefault="00D00BB8" w:rsidP="00F32E7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hyperlink r:id="rId19" w:history="1">
        <w:r w:rsidR="005A0F29" w:rsidRPr="005A0F29">
          <w:rPr>
            <w:rStyle w:val="Hyperlink"/>
            <w:rFonts w:ascii="Arial" w:hAnsi="Arial" w:cs="Arial"/>
            <w:sz w:val="24"/>
            <w:szCs w:val="24"/>
          </w:rPr>
          <w:t xml:space="preserve">NTCA Inclusive Economy Policy Statement June 2021 </w:t>
        </w:r>
      </w:hyperlink>
    </w:p>
    <w:p w14:paraId="061DC078" w14:textId="77777777" w:rsidR="00F32E7F" w:rsidRPr="005A0F29" w:rsidRDefault="00D00BB8" w:rsidP="00F32E7F">
      <w:pPr>
        <w:pStyle w:val="ListParagraph"/>
        <w:numPr>
          <w:ilvl w:val="0"/>
          <w:numId w:val="13"/>
        </w:numPr>
        <w:autoSpaceDE w:val="0"/>
        <w:autoSpaceDN w:val="0"/>
        <w:adjustRightInd w:val="0"/>
        <w:spacing w:after="0" w:line="240" w:lineRule="auto"/>
        <w:jc w:val="both"/>
        <w:rPr>
          <w:rFonts w:ascii="Arial" w:hAnsi="Arial" w:cs="Arial"/>
          <w:color w:val="0000FF"/>
          <w:sz w:val="24"/>
          <w:szCs w:val="24"/>
          <w:u w:val="single"/>
        </w:rPr>
      </w:pPr>
      <w:hyperlink r:id="rId20" w:history="1">
        <w:r w:rsidR="00F32E7F" w:rsidRPr="005A0F29">
          <w:rPr>
            <w:rStyle w:val="Hyperlink"/>
            <w:rFonts w:ascii="Arial" w:hAnsi="Arial" w:cs="Arial"/>
            <w:sz w:val="24"/>
            <w:szCs w:val="24"/>
          </w:rPr>
          <w:t>NTCA’s Strategic Skills Plan and Adult Education Budget funded activities</w:t>
        </w:r>
      </w:hyperlink>
    </w:p>
    <w:p w14:paraId="3E6D652E" w14:textId="77777777" w:rsidR="00F32E7F" w:rsidRPr="005A0F29" w:rsidRDefault="00F32E7F" w:rsidP="00F32E7F">
      <w:pPr>
        <w:autoSpaceDE w:val="0"/>
        <w:autoSpaceDN w:val="0"/>
        <w:adjustRightInd w:val="0"/>
        <w:spacing w:after="0" w:line="240" w:lineRule="auto"/>
        <w:jc w:val="both"/>
        <w:rPr>
          <w:rFonts w:ascii="Arial" w:hAnsi="Arial" w:cs="Arial"/>
          <w:color w:val="000000"/>
          <w:sz w:val="24"/>
          <w:szCs w:val="24"/>
        </w:rPr>
      </w:pPr>
    </w:p>
    <w:p w14:paraId="05CF6849" w14:textId="15DF6D34" w:rsidR="00F32E7F" w:rsidRDefault="00F32E7F" w:rsidP="00B81F29">
      <w:pPr>
        <w:jc w:val="both"/>
        <w:rPr>
          <w:rFonts w:ascii="Arial" w:hAnsi="Arial" w:cs="Arial"/>
          <w:color w:val="000000"/>
          <w:sz w:val="24"/>
          <w:szCs w:val="24"/>
        </w:rPr>
      </w:pPr>
      <w:r w:rsidRPr="00CE68F9">
        <w:rPr>
          <w:rFonts w:ascii="Arial" w:hAnsi="Arial" w:cs="Arial"/>
          <w:color w:val="000000"/>
          <w:sz w:val="24"/>
          <w:szCs w:val="24"/>
        </w:rPr>
        <w:lastRenderedPageBreak/>
        <w:t xml:space="preserve">Completed applications </w:t>
      </w:r>
      <w:r w:rsidR="00CF5C7F">
        <w:rPr>
          <w:rFonts w:ascii="Arial" w:hAnsi="Arial" w:cs="Arial"/>
          <w:color w:val="000000"/>
          <w:sz w:val="24"/>
          <w:szCs w:val="24"/>
        </w:rPr>
        <w:t xml:space="preserve">(Expressions of Interest) </w:t>
      </w:r>
      <w:r w:rsidRPr="00CE68F9">
        <w:rPr>
          <w:rFonts w:ascii="Arial" w:hAnsi="Arial" w:cs="Arial"/>
          <w:color w:val="000000"/>
          <w:sz w:val="24"/>
          <w:szCs w:val="24"/>
        </w:rPr>
        <w:t xml:space="preserve">should be sent to </w:t>
      </w:r>
      <w:hyperlink r:id="rId21" w:history="1">
        <w:r w:rsidR="00B81F29">
          <w:rPr>
            <w:rStyle w:val="Hyperlink"/>
            <w:rFonts w:ascii="Verdana" w:eastAsia="Times New Roman" w:hAnsi="Verdana"/>
            <w:sz w:val="21"/>
            <w:szCs w:val="21"/>
          </w:rPr>
          <w:t>Skillsforgrowth@northoftyne-ca.gov.uk</w:t>
        </w:r>
      </w:hyperlink>
      <w:r w:rsidR="00B81F29">
        <w:rPr>
          <w:rFonts w:ascii="Verdana" w:eastAsia="Times New Roman" w:hAnsi="Verdana"/>
          <w:sz w:val="21"/>
          <w:szCs w:val="21"/>
        </w:rPr>
        <w:t xml:space="preserve"> </w:t>
      </w:r>
      <w:r w:rsidR="005321A3" w:rsidRPr="007A3A55">
        <w:rPr>
          <w:rFonts w:ascii="Arial" w:hAnsi="Arial" w:cs="Arial"/>
          <w:sz w:val="24"/>
          <w:szCs w:val="24"/>
        </w:rPr>
        <w:t>b</w:t>
      </w:r>
      <w:r w:rsidRPr="007A3A55">
        <w:rPr>
          <w:rFonts w:ascii="Arial" w:eastAsia="Times New Roman" w:hAnsi="Arial" w:cs="Arial"/>
          <w:sz w:val="24"/>
          <w:szCs w:val="24"/>
        </w:rPr>
        <w:t xml:space="preserve">y </w:t>
      </w:r>
      <w:r w:rsidR="00895E1A" w:rsidRPr="007A3A55">
        <w:rPr>
          <w:rFonts w:ascii="Arial" w:eastAsia="Times New Roman" w:hAnsi="Arial" w:cs="Arial"/>
          <w:sz w:val="24"/>
          <w:szCs w:val="24"/>
        </w:rPr>
        <w:t>midnight Sunday 21</w:t>
      </w:r>
      <w:r w:rsidR="00895E1A" w:rsidRPr="007A3A55">
        <w:rPr>
          <w:rFonts w:ascii="Arial" w:eastAsia="Times New Roman" w:hAnsi="Arial" w:cs="Arial"/>
          <w:sz w:val="24"/>
          <w:szCs w:val="24"/>
          <w:vertAlign w:val="superscript"/>
        </w:rPr>
        <w:t>st</w:t>
      </w:r>
      <w:r w:rsidR="00895E1A" w:rsidRPr="007A3A55">
        <w:rPr>
          <w:rFonts w:ascii="Arial" w:eastAsia="Times New Roman" w:hAnsi="Arial" w:cs="Arial"/>
          <w:sz w:val="24"/>
          <w:szCs w:val="24"/>
        </w:rPr>
        <w:t xml:space="preserve"> </w:t>
      </w:r>
      <w:r w:rsidR="002D61BE" w:rsidRPr="007A3A55">
        <w:rPr>
          <w:rFonts w:ascii="Arial" w:eastAsia="Times New Roman" w:hAnsi="Arial" w:cs="Arial"/>
          <w:sz w:val="24"/>
          <w:szCs w:val="24"/>
        </w:rPr>
        <w:t>November 2021</w:t>
      </w:r>
      <w:r w:rsidR="005321A3" w:rsidRPr="007A3A55">
        <w:rPr>
          <w:rFonts w:ascii="Arial" w:eastAsia="Times New Roman" w:hAnsi="Arial" w:cs="Arial"/>
          <w:sz w:val="24"/>
          <w:szCs w:val="24"/>
        </w:rPr>
        <w:t xml:space="preserve">. </w:t>
      </w:r>
      <w:r w:rsidRPr="007A3A55">
        <w:rPr>
          <w:rFonts w:ascii="Arial" w:hAnsi="Arial" w:cs="Arial"/>
          <w:sz w:val="24"/>
          <w:szCs w:val="24"/>
        </w:rPr>
        <w:t xml:space="preserve">Before </w:t>
      </w:r>
      <w:r w:rsidRPr="00CE68F9">
        <w:rPr>
          <w:rFonts w:ascii="Arial" w:hAnsi="Arial" w:cs="Arial"/>
          <w:color w:val="000000"/>
          <w:sz w:val="24"/>
          <w:szCs w:val="24"/>
        </w:rPr>
        <w:t>doing so, please ensure that you have followed the guidance, completed all questions and entered an electronic signature.</w:t>
      </w:r>
    </w:p>
    <w:p w14:paraId="376D27C7" w14:textId="075C44D7" w:rsidR="007A3A55" w:rsidRDefault="007A3A55" w:rsidP="00B81F29">
      <w:pPr>
        <w:jc w:val="both"/>
        <w:rPr>
          <w:rFonts w:ascii="Arial" w:hAnsi="Arial" w:cs="Arial"/>
          <w:color w:val="000000"/>
          <w:sz w:val="24"/>
          <w:szCs w:val="24"/>
        </w:rPr>
      </w:pPr>
      <w:r>
        <w:rPr>
          <w:rFonts w:ascii="Arial" w:hAnsi="Arial" w:cs="Arial"/>
          <w:color w:val="000000"/>
          <w:sz w:val="24"/>
          <w:szCs w:val="24"/>
        </w:rPr>
        <w:t xml:space="preserve">A Q&amp;A Forum will be held </w:t>
      </w:r>
      <w:r w:rsidR="005E4D64">
        <w:rPr>
          <w:rFonts w:ascii="Arial" w:hAnsi="Arial" w:cs="Arial"/>
          <w:color w:val="000000"/>
          <w:sz w:val="24"/>
          <w:szCs w:val="24"/>
        </w:rPr>
        <w:t>1-2.30</w:t>
      </w:r>
      <w:r>
        <w:rPr>
          <w:rFonts w:ascii="Arial" w:hAnsi="Arial" w:cs="Arial"/>
          <w:color w:val="000000"/>
          <w:sz w:val="24"/>
          <w:szCs w:val="24"/>
        </w:rPr>
        <w:t xml:space="preserve">pm on </w:t>
      </w:r>
      <w:r w:rsidR="005E4D64">
        <w:rPr>
          <w:rFonts w:ascii="Arial" w:hAnsi="Arial" w:cs="Arial"/>
          <w:color w:val="000000"/>
          <w:sz w:val="24"/>
          <w:szCs w:val="24"/>
        </w:rPr>
        <w:t>Wednesday 27</w:t>
      </w:r>
      <w:r w:rsidR="005E4D64" w:rsidRPr="005E4D64">
        <w:rPr>
          <w:rFonts w:ascii="Arial" w:hAnsi="Arial" w:cs="Arial"/>
          <w:color w:val="000000"/>
          <w:sz w:val="24"/>
          <w:szCs w:val="24"/>
          <w:vertAlign w:val="superscript"/>
        </w:rPr>
        <w:t>th</w:t>
      </w:r>
      <w:r w:rsidR="005E4D64">
        <w:rPr>
          <w:rFonts w:ascii="Arial" w:hAnsi="Arial" w:cs="Arial"/>
          <w:color w:val="000000"/>
          <w:sz w:val="24"/>
          <w:szCs w:val="24"/>
        </w:rPr>
        <w:t xml:space="preserve"> </w:t>
      </w:r>
      <w:r>
        <w:rPr>
          <w:rFonts w:ascii="Arial" w:hAnsi="Arial" w:cs="Arial"/>
          <w:color w:val="000000"/>
          <w:sz w:val="24"/>
          <w:szCs w:val="24"/>
        </w:rPr>
        <w:t>October</w:t>
      </w:r>
      <w:r w:rsidR="00AD7D06">
        <w:rPr>
          <w:rFonts w:ascii="Arial" w:hAnsi="Arial" w:cs="Arial"/>
          <w:color w:val="000000"/>
          <w:sz w:val="24"/>
          <w:szCs w:val="24"/>
        </w:rPr>
        <w:t>, and will also be an opportunity for interested organisations to identify potential collaborators in unified proposals.</w:t>
      </w:r>
      <w:r w:rsidR="00691644">
        <w:rPr>
          <w:rFonts w:ascii="Arial" w:hAnsi="Arial" w:cs="Arial"/>
          <w:color w:val="000000"/>
          <w:sz w:val="24"/>
          <w:szCs w:val="24"/>
        </w:rPr>
        <w:t xml:space="preserve"> </w:t>
      </w:r>
      <w:r w:rsidR="006174AF">
        <w:rPr>
          <w:rFonts w:ascii="Arial" w:hAnsi="Arial" w:cs="Arial"/>
          <w:color w:val="000000"/>
          <w:sz w:val="24"/>
          <w:szCs w:val="24"/>
        </w:rPr>
        <w:t xml:space="preserve">This will be for both Culture, Creative and Tourism </w:t>
      </w:r>
      <w:r w:rsidR="006174AF">
        <w:rPr>
          <w:rFonts w:ascii="Arial" w:hAnsi="Arial" w:cs="Arial"/>
          <w:i/>
          <w:iCs/>
          <w:color w:val="000000"/>
          <w:sz w:val="24"/>
          <w:szCs w:val="24"/>
        </w:rPr>
        <w:t xml:space="preserve">and </w:t>
      </w:r>
      <w:r w:rsidR="006174AF">
        <w:rPr>
          <w:rFonts w:ascii="Arial" w:hAnsi="Arial" w:cs="Arial"/>
          <w:color w:val="000000"/>
          <w:sz w:val="24"/>
          <w:szCs w:val="24"/>
        </w:rPr>
        <w:t xml:space="preserve">Digital, which are both open. </w:t>
      </w:r>
      <w:r w:rsidR="00691644">
        <w:rPr>
          <w:rFonts w:ascii="Arial" w:hAnsi="Arial" w:cs="Arial"/>
          <w:color w:val="000000"/>
          <w:sz w:val="24"/>
          <w:szCs w:val="24"/>
        </w:rPr>
        <w:t xml:space="preserve">This will be held on Microsoft Teams; to registered interest in attending, please email </w:t>
      </w:r>
      <w:hyperlink r:id="rId22" w:history="1">
        <w:r w:rsidR="00D86BA3" w:rsidRPr="00123A14">
          <w:rPr>
            <w:rStyle w:val="Hyperlink"/>
            <w:rFonts w:ascii="Arial" w:hAnsi="Arial" w:cs="Arial"/>
            <w:sz w:val="24"/>
            <w:szCs w:val="24"/>
          </w:rPr>
          <w:t>Skillsforgrowth@northoftyne-ca.gov.uk</w:t>
        </w:r>
      </w:hyperlink>
      <w:r w:rsidR="00D86BA3">
        <w:rPr>
          <w:rFonts w:ascii="Arial" w:hAnsi="Arial" w:cs="Arial"/>
          <w:color w:val="000000"/>
          <w:sz w:val="24"/>
          <w:szCs w:val="24"/>
        </w:rPr>
        <w:t xml:space="preserve"> in advance.</w:t>
      </w:r>
      <w:r w:rsidR="00AD7D06">
        <w:rPr>
          <w:rFonts w:ascii="Arial" w:hAnsi="Arial" w:cs="Arial"/>
          <w:color w:val="000000"/>
          <w:sz w:val="24"/>
          <w:szCs w:val="24"/>
        </w:rPr>
        <w:t xml:space="preserve"> (Following the EOI stage, NTCA may suggest </w:t>
      </w:r>
      <w:r w:rsidR="00691644">
        <w:rPr>
          <w:rFonts w:ascii="Arial" w:hAnsi="Arial" w:cs="Arial"/>
          <w:color w:val="000000"/>
          <w:sz w:val="24"/>
          <w:szCs w:val="24"/>
        </w:rPr>
        <w:t>multiple proposals consider unifying before progressing to Full Business Case stage two.)</w:t>
      </w:r>
    </w:p>
    <w:p w14:paraId="4FEAAFC4" w14:textId="77777777" w:rsidR="00D213FC" w:rsidRPr="00B81F29" w:rsidRDefault="00D213FC" w:rsidP="00B81F29">
      <w:pPr>
        <w:jc w:val="both"/>
        <w:rPr>
          <w:rFonts w:ascii="Verdana" w:eastAsia="Times New Roman" w:hAnsi="Verdana"/>
          <w:sz w:val="21"/>
          <w:szCs w:val="21"/>
        </w:rPr>
      </w:pPr>
    </w:p>
    <w:p w14:paraId="0B55267B" w14:textId="25FFFC54" w:rsidR="00AA0517" w:rsidRPr="00CE68F9" w:rsidRDefault="00AA0517" w:rsidP="00057DCD">
      <w:pPr>
        <w:pStyle w:val="Heading1"/>
        <w:numPr>
          <w:ilvl w:val="0"/>
          <w:numId w:val="45"/>
        </w:numPr>
        <w:spacing w:before="0" w:line="240" w:lineRule="auto"/>
        <w:ind w:left="567" w:hanging="567"/>
      </w:pPr>
      <w:bookmarkStart w:id="9" w:name="_Toc84450583"/>
      <w:r w:rsidRPr="00CE68F9">
        <w:t>Assessment &amp; Selection Process</w:t>
      </w:r>
      <w:bookmarkEnd w:id="9"/>
    </w:p>
    <w:p w14:paraId="5CB1E811" w14:textId="77777777" w:rsidR="00AA0517" w:rsidRPr="00CE68F9" w:rsidRDefault="00AA0517" w:rsidP="00057DCD">
      <w:pPr>
        <w:autoSpaceDE w:val="0"/>
        <w:autoSpaceDN w:val="0"/>
        <w:adjustRightInd w:val="0"/>
        <w:spacing w:after="0" w:line="240" w:lineRule="auto"/>
        <w:rPr>
          <w:rFonts w:ascii="Arial" w:hAnsi="Arial" w:cs="Arial"/>
          <w:color w:val="000000"/>
          <w:sz w:val="24"/>
          <w:szCs w:val="24"/>
        </w:rPr>
      </w:pPr>
    </w:p>
    <w:p w14:paraId="14326548" w14:textId="77777777" w:rsidR="00BA5A56" w:rsidRPr="00AA0517" w:rsidRDefault="00BA5A56" w:rsidP="00BA5A56">
      <w:pPr>
        <w:spacing w:after="0" w:line="240" w:lineRule="auto"/>
        <w:contextualSpacing/>
        <w:rPr>
          <w:rFonts w:ascii="Arial" w:eastAsia="Batang" w:hAnsi="Arial" w:cs="Arial"/>
          <w:sz w:val="24"/>
          <w:szCs w:val="24"/>
        </w:rPr>
      </w:pPr>
      <w:r w:rsidRPr="00AA0517">
        <w:rPr>
          <w:rFonts w:ascii="Arial" w:eastAsia="Times New Roman" w:hAnsi="Arial" w:cs="Arial"/>
          <w:sz w:val="24"/>
          <w:szCs w:val="24"/>
        </w:rPr>
        <w:t>This funding opportunity will be</w:t>
      </w:r>
      <w:r w:rsidRPr="00AA0517">
        <w:rPr>
          <w:rFonts w:ascii="Arial" w:eastAsia="Batang" w:hAnsi="Arial" w:cs="Arial"/>
          <w:sz w:val="24"/>
          <w:szCs w:val="24"/>
        </w:rPr>
        <w:t xml:space="preserve"> developed through a two-stage process. </w:t>
      </w:r>
      <w:r>
        <w:rPr>
          <w:rFonts w:ascii="Arial" w:eastAsia="Batang" w:hAnsi="Arial" w:cs="Arial"/>
          <w:sz w:val="24"/>
          <w:szCs w:val="24"/>
        </w:rPr>
        <w:t xml:space="preserve">First Stage </w:t>
      </w:r>
      <w:r w:rsidRPr="00AA0517">
        <w:rPr>
          <w:rFonts w:ascii="Arial" w:eastAsia="Batang" w:hAnsi="Arial" w:cs="Arial"/>
          <w:sz w:val="24"/>
          <w:szCs w:val="24"/>
        </w:rPr>
        <w:t xml:space="preserve">Expression of Interest and </w:t>
      </w:r>
      <w:r>
        <w:rPr>
          <w:rFonts w:ascii="Arial" w:eastAsia="Batang" w:hAnsi="Arial" w:cs="Arial"/>
          <w:sz w:val="24"/>
          <w:szCs w:val="24"/>
        </w:rPr>
        <w:t xml:space="preserve">Second Stage </w:t>
      </w:r>
      <w:r w:rsidRPr="00AA0517">
        <w:rPr>
          <w:rFonts w:ascii="Arial" w:eastAsia="Batang" w:hAnsi="Arial" w:cs="Arial"/>
          <w:sz w:val="24"/>
          <w:szCs w:val="24"/>
        </w:rPr>
        <w:t>Full Business Case.</w:t>
      </w:r>
    </w:p>
    <w:p w14:paraId="6C64312D" w14:textId="77777777" w:rsidR="00BA5A56" w:rsidRDefault="00BA5A56" w:rsidP="00BA5A56">
      <w:pPr>
        <w:spacing w:after="0" w:line="240" w:lineRule="auto"/>
        <w:jc w:val="both"/>
        <w:rPr>
          <w:rFonts w:ascii="Arial" w:eastAsia="Batang" w:hAnsi="Arial" w:cs="Arial"/>
          <w:sz w:val="24"/>
          <w:szCs w:val="24"/>
        </w:rPr>
      </w:pPr>
    </w:p>
    <w:p w14:paraId="5ABF8A20" w14:textId="77777777" w:rsidR="00BA5A56" w:rsidRPr="00CE68F9" w:rsidRDefault="00BA5A56" w:rsidP="00BA5A56">
      <w:pPr>
        <w:spacing w:after="0" w:line="240" w:lineRule="auto"/>
        <w:jc w:val="both"/>
        <w:rPr>
          <w:rFonts w:ascii="Arial" w:eastAsia="Batang" w:hAnsi="Arial" w:cs="Arial"/>
          <w:sz w:val="24"/>
          <w:szCs w:val="24"/>
        </w:rPr>
      </w:pPr>
      <w:r w:rsidRPr="00AA0517">
        <w:rPr>
          <w:rFonts w:ascii="Arial" w:eastAsia="Batang" w:hAnsi="Arial" w:cs="Arial"/>
          <w:b/>
          <w:bCs/>
          <w:sz w:val="24"/>
          <w:szCs w:val="24"/>
        </w:rPr>
        <w:t>First stage Expressions of Interest</w:t>
      </w:r>
      <w:r w:rsidRPr="00CE68F9">
        <w:rPr>
          <w:rFonts w:ascii="Arial" w:eastAsia="Batang" w:hAnsi="Arial" w:cs="Arial"/>
          <w:sz w:val="24"/>
          <w:szCs w:val="24"/>
        </w:rPr>
        <w:t xml:space="preserve"> </w:t>
      </w:r>
      <w:r>
        <w:rPr>
          <w:rFonts w:ascii="Arial" w:eastAsia="Batang" w:hAnsi="Arial" w:cs="Arial"/>
          <w:sz w:val="24"/>
          <w:szCs w:val="24"/>
        </w:rPr>
        <w:t xml:space="preserve">should be submitted on the form provided and </w:t>
      </w:r>
      <w:r w:rsidRPr="00CE68F9">
        <w:rPr>
          <w:rFonts w:ascii="Arial" w:eastAsia="Batang" w:hAnsi="Arial" w:cs="Arial"/>
          <w:sz w:val="24"/>
          <w:szCs w:val="24"/>
        </w:rPr>
        <w:t xml:space="preserve">will be scored against the following criteria. Applicants should note that, in line with the overarching principles of the call, strategic fit and delivery of desired outcomes criteria are </w:t>
      </w:r>
      <w:r w:rsidRPr="00CE68F9">
        <w:rPr>
          <w:rFonts w:ascii="Arial" w:eastAsia="Batang" w:hAnsi="Arial" w:cs="Arial"/>
          <w:b/>
          <w:bCs/>
          <w:sz w:val="24"/>
          <w:szCs w:val="24"/>
        </w:rPr>
        <w:t>pass/fail</w:t>
      </w:r>
      <w:r w:rsidRPr="00CE68F9">
        <w:rPr>
          <w:rFonts w:ascii="Arial" w:eastAsia="Batang" w:hAnsi="Arial" w:cs="Arial"/>
          <w:sz w:val="24"/>
          <w:szCs w:val="24"/>
        </w:rPr>
        <w:t xml:space="preserve">. </w:t>
      </w:r>
    </w:p>
    <w:p w14:paraId="58889426" w14:textId="77777777" w:rsidR="00AA0517" w:rsidRPr="00CE68F9" w:rsidRDefault="00AA0517" w:rsidP="00AA0517">
      <w:pPr>
        <w:spacing w:after="0" w:line="240" w:lineRule="auto"/>
        <w:contextualSpacing/>
        <w:jc w:val="both"/>
        <w:rPr>
          <w:rFonts w:ascii="Arial" w:eastAsia="Batang" w:hAnsi="Arial" w:cs="Arial"/>
          <w:sz w:val="24"/>
          <w:szCs w:val="24"/>
        </w:rPr>
      </w:pPr>
    </w:p>
    <w:tbl>
      <w:tblPr>
        <w:tblStyle w:val="TableGrid1"/>
        <w:tblW w:w="10201" w:type="dxa"/>
        <w:tblLook w:val="04A0" w:firstRow="1" w:lastRow="0" w:firstColumn="1" w:lastColumn="0" w:noHBand="0" w:noVBand="1"/>
      </w:tblPr>
      <w:tblGrid>
        <w:gridCol w:w="1980"/>
        <w:gridCol w:w="5528"/>
        <w:gridCol w:w="2693"/>
      </w:tblGrid>
      <w:tr w:rsidR="00AA0517" w:rsidRPr="00CE68F9" w14:paraId="26AC8D88" w14:textId="77777777" w:rsidTr="00AA0517">
        <w:tc>
          <w:tcPr>
            <w:tcW w:w="1980" w:type="dxa"/>
          </w:tcPr>
          <w:p w14:paraId="0AA853EB"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Criteria</w:t>
            </w:r>
          </w:p>
        </w:tc>
        <w:tc>
          <w:tcPr>
            <w:tcW w:w="5528" w:type="dxa"/>
          </w:tcPr>
          <w:p w14:paraId="76A8173D" w14:textId="77777777" w:rsidR="00AA0517" w:rsidRPr="00CE68F9" w:rsidRDefault="00AA0517" w:rsidP="00F94B9F">
            <w:pPr>
              <w:ind w:firstLine="720"/>
              <w:contextualSpacing/>
              <w:jc w:val="both"/>
              <w:rPr>
                <w:rFonts w:ascii="Arial" w:eastAsia="Batang" w:hAnsi="Arial" w:cs="Arial"/>
                <w:b/>
                <w:bCs/>
                <w:sz w:val="24"/>
                <w:szCs w:val="24"/>
              </w:rPr>
            </w:pPr>
            <w:r w:rsidRPr="00CE68F9">
              <w:rPr>
                <w:rFonts w:ascii="Arial" w:eastAsia="Batang" w:hAnsi="Arial" w:cs="Arial"/>
                <w:b/>
                <w:bCs/>
                <w:sz w:val="24"/>
                <w:szCs w:val="24"/>
              </w:rPr>
              <w:t>Consideration</w:t>
            </w:r>
          </w:p>
        </w:tc>
        <w:tc>
          <w:tcPr>
            <w:tcW w:w="2693" w:type="dxa"/>
          </w:tcPr>
          <w:p w14:paraId="29907A32" w14:textId="77777777" w:rsidR="00AA0517" w:rsidRPr="00CE68F9" w:rsidRDefault="00AA0517" w:rsidP="00F94B9F">
            <w:pPr>
              <w:contextualSpacing/>
              <w:jc w:val="center"/>
              <w:rPr>
                <w:rFonts w:ascii="Arial" w:eastAsia="Batang" w:hAnsi="Arial" w:cs="Arial"/>
                <w:b/>
                <w:bCs/>
                <w:sz w:val="24"/>
                <w:szCs w:val="24"/>
              </w:rPr>
            </w:pPr>
            <w:r w:rsidRPr="00CE68F9">
              <w:rPr>
                <w:rFonts w:ascii="Arial" w:eastAsia="Batang" w:hAnsi="Arial" w:cs="Arial"/>
                <w:b/>
                <w:bCs/>
                <w:sz w:val="24"/>
                <w:szCs w:val="24"/>
              </w:rPr>
              <w:t>Available marks</w:t>
            </w:r>
          </w:p>
        </w:tc>
      </w:tr>
      <w:tr w:rsidR="00AA0517" w:rsidRPr="00CE68F9" w14:paraId="62E56A82" w14:textId="77777777" w:rsidTr="00AA0517">
        <w:trPr>
          <w:trHeight w:val="841"/>
        </w:trPr>
        <w:tc>
          <w:tcPr>
            <w:tcW w:w="1980" w:type="dxa"/>
          </w:tcPr>
          <w:p w14:paraId="44BE6B2E"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Strategic Fit</w:t>
            </w:r>
          </w:p>
        </w:tc>
        <w:tc>
          <w:tcPr>
            <w:tcW w:w="5528" w:type="dxa"/>
          </w:tcPr>
          <w:p w14:paraId="58229635" w14:textId="24D3BFBA" w:rsidR="00AA0517" w:rsidRPr="00CE68F9" w:rsidRDefault="00AA0517" w:rsidP="00B81F29">
            <w:pPr>
              <w:numPr>
                <w:ilvl w:val="0"/>
                <w:numId w:val="9"/>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proposed fit with NTCA </w:t>
            </w:r>
            <w:r w:rsidR="00AE3323">
              <w:rPr>
                <w:rFonts w:ascii="Arial" w:eastAsia="Times New Roman" w:hAnsi="Arial" w:cs="Arial"/>
                <w:sz w:val="24"/>
                <w:szCs w:val="24"/>
              </w:rPr>
              <w:t>Corporate Plan,</w:t>
            </w:r>
            <w:r w:rsidRPr="00CE68F9">
              <w:rPr>
                <w:rFonts w:ascii="Arial" w:eastAsia="Times New Roman" w:hAnsi="Arial" w:cs="Arial"/>
                <w:sz w:val="24"/>
                <w:szCs w:val="24"/>
              </w:rPr>
              <w:t xml:space="preserve"> Inclusive Economy Statement and call focus area</w:t>
            </w:r>
            <w:r>
              <w:rPr>
                <w:rFonts w:ascii="Arial" w:eastAsia="Times New Roman" w:hAnsi="Arial" w:cs="Arial"/>
                <w:sz w:val="24"/>
                <w:szCs w:val="24"/>
              </w:rPr>
              <w:t>.</w:t>
            </w:r>
            <w:r w:rsidRPr="00CE68F9">
              <w:rPr>
                <w:rFonts w:ascii="Arial" w:eastAsia="Times New Roman" w:hAnsi="Arial" w:cs="Arial"/>
                <w:sz w:val="24"/>
                <w:szCs w:val="24"/>
              </w:rPr>
              <w:t xml:space="preserve"> </w:t>
            </w:r>
          </w:p>
          <w:p w14:paraId="41E94892" w14:textId="70A30912" w:rsidR="00AA0517" w:rsidRPr="00CE68F9" w:rsidRDefault="00AA0517" w:rsidP="00B81F29">
            <w:pPr>
              <w:numPr>
                <w:ilvl w:val="0"/>
                <w:numId w:val="9"/>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proposal is effective and will lead to innovation in the </w:t>
            </w:r>
            <w:r w:rsidR="00B24804">
              <w:rPr>
                <w:rFonts w:ascii="Arial" w:eastAsia="Times New Roman" w:hAnsi="Arial" w:cs="Arial"/>
                <w:sz w:val="24"/>
                <w:szCs w:val="24"/>
              </w:rPr>
              <w:t>Culture and Creative sector</w:t>
            </w:r>
            <w:r w:rsidRPr="00CE68F9">
              <w:rPr>
                <w:rFonts w:ascii="Arial" w:eastAsia="Times New Roman" w:hAnsi="Arial" w:cs="Arial"/>
                <w:sz w:val="24"/>
                <w:szCs w:val="24"/>
              </w:rPr>
              <w:t>; and</w:t>
            </w:r>
          </w:p>
          <w:p w14:paraId="150E1C82" w14:textId="77777777" w:rsidR="00AA0517" w:rsidRDefault="00AA0517" w:rsidP="00B81F29">
            <w:pPr>
              <w:numPr>
                <w:ilvl w:val="0"/>
                <w:numId w:val="9"/>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proposal is developed in adherence with the overarching principles for the call and where appropriate evidence is provided in relation to stakeholder support, value added, etc. </w:t>
            </w:r>
          </w:p>
          <w:p w14:paraId="2D91D04C" w14:textId="1CE840E4" w:rsidR="00AA0517" w:rsidRPr="00CE68F9" w:rsidRDefault="00AA0517" w:rsidP="00AA0517">
            <w:pPr>
              <w:ind w:left="720"/>
              <w:contextualSpacing/>
              <w:jc w:val="both"/>
              <w:rPr>
                <w:rFonts w:ascii="Arial" w:eastAsia="Times New Roman" w:hAnsi="Arial" w:cs="Arial"/>
                <w:sz w:val="24"/>
                <w:szCs w:val="24"/>
              </w:rPr>
            </w:pPr>
          </w:p>
        </w:tc>
        <w:tc>
          <w:tcPr>
            <w:tcW w:w="2693" w:type="dxa"/>
            <w:vAlign w:val="center"/>
          </w:tcPr>
          <w:p w14:paraId="4DF0C37B" w14:textId="77777777" w:rsidR="00AA0517" w:rsidRPr="00CE68F9" w:rsidRDefault="00AA0517" w:rsidP="00F94B9F">
            <w:pPr>
              <w:rPr>
                <w:rFonts w:ascii="Arial" w:hAnsi="Arial" w:cs="Arial"/>
                <w:b/>
                <w:bCs/>
                <w:sz w:val="24"/>
                <w:szCs w:val="24"/>
              </w:rPr>
            </w:pPr>
          </w:p>
          <w:p w14:paraId="288837A7" w14:textId="77777777" w:rsidR="00AA0517" w:rsidRPr="00CE68F9" w:rsidRDefault="00AA0517" w:rsidP="00F94B9F">
            <w:pPr>
              <w:rPr>
                <w:rFonts w:ascii="Arial" w:hAnsi="Arial" w:cs="Arial"/>
                <w:b/>
                <w:bCs/>
                <w:sz w:val="24"/>
                <w:szCs w:val="24"/>
              </w:rPr>
            </w:pPr>
            <w:r w:rsidRPr="00CE68F9">
              <w:rPr>
                <w:rFonts w:ascii="Arial" w:hAnsi="Arial" w:cs="Arial"/>
                <w:b/>
                <w:bCs/>
                <w:sz w:val="24"/>
                <w:szCs w:val="24"/>
              </w:rPr>
              <w:t>Pass (10-15) or Fail</w:t>
            </w:r>
          </w:p>
          <w:p w14:paraId="0CCBBFB6" w14:textId="77777777" w:rsidR="00AA0517" w:rsidRPr="00CE68F9" w:rsidRDefault="00AA0517" w:rsidP="00F94B9F">
            <w:pPr>
              <w:rPr>
                <w:rFonts w:ascii="Arial" w:hAnsi="Arial" w:cs="Arial"/>
                <w:b/>
                <w:bCs/>
                <w:sz w:val="24"/>
                <w:szCs w:val="24"/>
              </w:rPr>
            </w:pPr>
          </w:p>
          <w:p w14:paraId="7F866BE0" w14:textId="77777777" w:rsidR="00AA0517" w:rsidRPr="00CE68F9" w:rsidRDefault="00AA0517" w:rsidP="00F94B9F">
            <w:pPr>
              <w:contextualSpacing/>
              <w:jc w:val="center"/>
              <w:rPr>
                <w:rFonts w:ascii="Arial" w:eastAsia="Batang" w:hAnsi="Arial" w:cs="Arial"/>
                <w:b/>
                <w:bCs/>
                <w:sz w:val="24"/>
                <w:szCs w:val="24"/>
              </w:rPr>
            </w:pPr>
          </w:p>
        </w:tc>
      </w:tr>
      <w:tr w:rsidR="00AA0517" w:rsidRPr="00CE68F9" w14:paraId="27F06157" w14:textId="77777777" w:rsidTr="00AA0517">
        <w:tc>
          <w:tcPr>
            <w:tcW w:w="1980" w:type="dxa"/>
          </w:tcPr>
          <w:p w14:paraId="1633DA11" w14:textId="61F859AA"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Delivery of desired </w:t>
            </w:r>
            <w:r w:rsidR="00A36651">
              <w:rPr>
                <w:rFonts w:ascii="Arial" w:eastAsia="Batang" w:hAnsi="Arial" w:cs="Arial"/>
                <w:b/>
                <w:bCs/>
                <w:sz w:val="24"/>
                <w:szCs w:val="24"/>
              </w:rPr>
              <w:t xml:space="preserve">outcomes </w:t>
            </w:r>
          </w:p>
        </w:tc>
        <w:tc>
          <w:tcPr>
            <w:tcW w:w="5528" w:type="dxa"/>
          </w:tcPr>
          <w:p w14:paraId="756D4504" w14:textId="01FA8750" w:rsidR="00AA0517" w:rsidRDefault="00AA0517" w:rsidP="00B81F29">
            <w:pPr>
              <w:pStyle w:val="paragraph"/>
              <w:numPr>
                <w:ilvl w:val="0"/>
                <w:numId w:val="44"/>
              </w:numPr>
              <w:spacing w:before="0" w:beforeAutospacing="0" w:after="0" w:afterAutospacing="0"/>
              <w:textAlignment w:val="baseline"/>
              <w:rPr>
                <w:rFonts w:ascii="Arial" w:hAnsi="Arial" w:cs="Arial"/>
              </w:rPr>
            </w:pPr>
            <w:r w:rsidRPr="00CE68F9">
              <w:rPr>
                <w:rFonts w:ascii="Arial" w:hAnsi="Arial" w:cs="Arial"/>
                <w:color w:val="000000"/>
              </w:rPr>
              <w:t xml:space="preserve">Demonstration of clear knowledge of the </w:t>
            </w:r>
            <w:r w:rsidR="00B24804">
              <w:rPr>
                <w:rFonts w:ascii="Arial" w:hAnsi="Arial" w:cs="Arial"/>
                <w:color w:val="000000"/>
              </w:rPr>
              <w:t xml:space="preserve">Culture and Creative Sector </w:t>
            </w:r>
            <w:r>
              <w:rPr>
                <w:rFonts w:ascii="Arial" w:hAnsi="Arial" w:cs="Arial"/>
              </w:rPr>
              <w:t xml:space="preserve">in the NTCA area; and </w:t>
            </w:r>
          </w:p>
          <w:p w14:paraId="5167F9D5" w14:textId="1DC7A8AE" w:rsidR="00AA0517" w:rsidRDefault="00AA0517" w:rsidP="00B81F29">
            <w:pPr>
              <w:numPr>
                <w:ilvl w:val="0"/>
                <w:numId w:val="10"/>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 xml:space="preserve">Clear alignment of proposals with the </w:t>
            </w:r>
            <w:r>
              <w:rPr>
                <w:rFonts w:ascii="Arial" w:hAnsi="Arial" w:cs="Arial"/>
                <w:color w:val="000000"/>
                <w:sz w:val="24"/>
                <w:szCs w:val="24"/>
              </w:rPr>
              <w:t xml:space="preserve">overarching principles and funding priorities </w:t>
            </w:r>
            <w:r w:rsidRPr="00CE68F9">
              <w:rPr>
                <w:rFonts w:ascii="Arial" w:hAnsi="Arial" w:cs="Arial"/>
                <w:color w:val="000000"/>
                <w:sz w:val="24"/>
                <w:szCs w:val="24"/>
              </w:rPr>
              <w:t xml:space="preserve">set out in </w:t>
            </w:r>
            <w:r w:rsidR="005A0F29">
              <w:rPr>
                <w:rFonts w:ascii="Arial" w:hAnsi="Arial" w:cs="Arial"/>
                <w:color w:val="000000"/>
                <w:sz w:val="24"/>
                <w:szCs w:val="24"/>
              </w:rPr>
              <w:t xml:space="preserve">the </w:t>
            </w:r>
            <w:r w:rsidRPr="00CE68F9">
              <w:rPr>
                <w:rFonts w:ascii="Arial" w:hAnsi="Arial" w:cs="Arial"/>
                <w:color w:val="000000"/>
                <w:sz w:val="24"/>
                <w:szCs w:val="24"/>
              </w:rPr>
              <w:t xml:space="preserve">call </w:t>
            </w:r>
            <w:r w:rsidR="005A0F29">
              <w:rPr>
                <w:rFonts w:ascii="Arial" w:hAnsi="Arial" w:cs="Arial"/>
                <w:color w:val="000000"/>
                <w:sz w:val="24"/>
                <w:szCs w:val="24"/>
              </w:rPr>
              <w:t xml:space="preserve">definition </w:t>
            </w:r>
            <w:r w:rsidRPr="00CE68F9">
              <w:rPr>
                <w:rFonts w:ascii="Arial" w:hAnsi="Arial" w:cs="Arial"/>
                <w:color w:val="000000"/>
                <w:sz w:val="24"/>
                <w:szCs w:val="24"/>
              </w:rPr>
              <w:t xml:space="preserve">document. </w:t>
            </w:r>
          </w:p>
          <w:p w14:paraId="0FFF81DA" w14:textId="5A823CEB" w:rsidR="00AA0517" w:rsidRPr="00CE68F9" w:rsidRDefault="00AA0517" w:rsidP="00AA0517">
            <w:pPr>
              <w:autoSpaceDE w:val="0"/>
              <w:autoSpaceDN w:val="0"/>
              <w:adjustRightInd w:val="0"/>
              <w:ind w:left="720"/>
              <w:jc w:val="both"/>
              <w:rPr>
                <w:rFonts w:ascii="Arial" w:hAnsi="Arial" w:cs="Arial"/>
                <w:color w:val="000000"/>
                <w:sz w:val="24"/>
                <w:szCs w:val="24"/>
              </w:rPr>
            </w:pPr>
          </w:p>
        </w:tc>
        <w:tc>
          <w:tcPr>
            <w:tcW w:w="2693" w:type="dxa"/>
            <w:vAlign w:val="center"/>
          </w:tcPr>
          <w:p w14:paraId="58253F0B" w14:textId="77777777" w:rsidR="00AA0517" w:rsidRPr="00CE68F9" w:rsidRDefault="00AA0517" w:rsidP="00F94B9F">
            <w:pPr>
              <w:contextualSpacing/>
              <w:jc w:val="center"/>
              <w:rPr>
                <w:rFonts w:ascii="Arial" w:eastAsia="Batang" w:hAnsi="Arial" w:cs="Arial"/>
                <w:b/>
                <w:bCs/>
                <w:sz w:val="24"/>
                <w:szCs w:val="24"/>
              </w:rPr>
            </w:pPr>
            <w:r w:rsidRPr="00CE68F9">
              <w:rPr>
                <w:rFonts w:ascii="Arial" w:hAnsi="Arial" w:cs="Arial"/>
                <w:b/>
                <w:bCs/>
                <w:sz w:val="24"/>
                <w:szCs w:val="24"/>
              </w:rPr>
              <w:t>Pass (7-15) or Fail</w:t>
            </w:r>
          </w:p>
        </w:tc>
      </w:tr>
      <w:tr w:rsidR="00AA0517" w:rsidRPr="00CE68F9" w14:paraId="44884607" w14:textId="77777777" w:rsidTr="00AA0517">
        <w:tc>
          <w:tcPr>
            <w:tcW w:w="1980" w:type="dxa"/>
          </w:tcPr>
          <w:p w14:paraId="4BD30000"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Value for Money </w:t>
            </w:r>
          </w:p>
        </w:tc>
        <w:tc>
          <w:tcPr>
            <w:tcW w:w="5528" w:type="dxa"/>
          </w:tcPr>
          <w:p w14:paraId="15E200BE" w14:textId="77777777" w:rsidR="00AA0517" w:rsidRDefault="00AA0517" w:rsidP="0037245F">
            <w:pPr>
              <w:numPr>
                <w:ilvl w:val="0"/>
                <w:numId w:val="10"/>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The value for money associated with proposals.</w:t>
            </w:r>
          </w:p>
          <w:p w14:paraId="174FE28B" w14:textId="77777777" w:rsidR="00AA0517" w:rsidRDefault="00AA0517" w:rsidP="005727D3">
            <w:pPr>
              <w:autoSpaceDE w:val="0"/>
              <w:autoSpaceDN w:val="0"/>
              <w:adjustRightInd w:val="0"/>
              <w:jc w:val="both"/>
              <w:rPr>
                <w:rFonts w:ascii="Arial" w:hAnsi="Arial" w:cs="Arial"/>
                <w:color w:val="000000"/>
                <w:sz w:val="24"/>
                <w:szCs w:val="24"/>
              </w:rPr>
            </w:pPr>
          </w:p>
          <w:p w14:paraId="78B3DF15" w14:textId="54AE4723" w:rsidR="0070299A" w:rsidRPr="00CE68F9" w:rsidRDefault="0070299A" w:rsidP="000C1DFF">
            <w:pPr>
              <w:autoSpaceDE w:val="0"/>
              <w:autoSpaceDN w:val="0"/>
              <w:adjustRightInd w:val="0"/>
              <w:jc w:val="both"/>
              <w:rPr>
                <w:rFonts w:ascii="Arial" w:hAnsi="Arial" w:cs="Arial"/>
                <w:color w:val="000000"/>
                <w:sz w:val="24"/>
                <w:szCs w:val="24"/>
              </w:rPr>
            </w:pPr>
          </w:p>
        </w:tc>
        <w:tc>
          <w:tcPr>
            <w:tcW w:w="2693" w:type="dxa"/>
            <w:vAlign w:val="center"/>
          </w:tcPr>
          <w:p w14:paraId="278215BA" w14:textId="77777777" w:rsidR="00AA0517" w:rsidRPr="00CE68F9" w:rsidRDefault="00AA0517" w:rsidP="00F94B9F">
            <w:pPr>
              <w:contextualSpacing/>
              <w:jc w:val="center"/>
              <w:rPr>
                <w:rFonts w:ascii="Arial" w:eastAsia="Batang" w:hAnsi="Arial" w:cs="Arial"/>
                <w:sz w:val="24"/>
                <w:szCs w:val="24"/>
              </w:rPr>
            </w:pPr>
            <w:r>
              <w:rPr>
                <w:rFonts w:ascii="Arial" w:eastAsia="Batang" w:hAnsi="Arial" w:cs="Arial"/>
                <w:sz w:val="24"/>
                <w:szCs w:val="24"/>
              </w:rPr>
              <w:t>5</w:t>
            </w:r>
          </w:p>
        </w:tc>
      </w:tr>
      <w:tr w:rsidR="00AA0517" w:rsidRPr="00CE68F9" w14:paraId="51DE43EF" w14:textId="77777777" w:rsidTr="00AA0517">
        <w:tc>
          <w:tcPr>
            <w:tcW w:w="1980" w:type="dxa"/>
          </w:tcPr>
          <w:p w14:paraId="6809F5B0" w14:textId="77777777" w:rsidR="00B81F2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Intensity of Grant Request</w:t>
            </w:r>
          </w:p>
          <w:p w14:paraId="3AF362FE" w14:textId="5AE2E7E3" w:rsidR="00AA0517" w:rsidRPr="00CE68F9" w:rsidRDefault="00AA0517" w:rsidP="00F94B9F">
            <w:pPr>
              <w:contextualSpacing/>
              <w:rPr>
                <w:rFonts w:ascii="Arial" w:eastAsia="Batang" w:hAnsi="Arial" w:cs="Arial"/>
                <w:b/>
                <w:bCs/>
                <w:sz w:val="24"/>
                <w:szCs w:val="24"/>
              </w:rPr>
            </w:pPr>
          </w:p>
        </w:tc>
        <w:tc>
          <w:tcPr>
            <w:tcW w:w="5528" w:type="dxa"/>
          </w:tcPr>
          <w:p w14:paraId="72BF7477" w14:textId="3664FA4B" w:rsidR="00611E9F" w:rsidRPr="00B01B1A" w:rsidRDefault="00611E9F" w:rsidP="00611E9F">
            <w:pPr>
              <w:numPr>
                <w:ilvl w:val="0"/>
                <w:numId w:val="10"/>
              </w:numPr>
              <w:autoSpaceDE w:val="0"/>
              <w:autoSpaceDN w:val="0"/>
              <w:adjustRightInd w:val="0"/>
              <w:jc w:val="both"/>
              <w:rPr>
                <w:rFonts w:ascii="Arial" w:hAnsi="Arial" w:cs="Arial"/>
                <w:color w:val="000000"/>
                <w:sz w:val="24"/>
                <w:szCs w:val="24"/>
              </w:rPr>
            </w:pPr>
            <w:r w:rsidRPr="00B01B1A">
              <w:rPr>
                <w:rFonts w:ascii="Arial" w:hAnsi="Arial" w:cs="Arial"/>
                <w:color w:val="000000"/>
                <w:sz w:val="24"/>
                <w:szCs w:val="24"/>
              </w:rPr>
              <w:t>The overall proportion of funding requested from the NTCA as a proportion of total eligible project costs (intensity of grant request) will be assessed.</w:t>
            </w:r>
          </w:p>
          <w:p w14:paraId="2D045D33" w14:textId="77777777" w:rsidR="00AA0517" w:rsidRDefault="00611E9F" w:rsidP="00611E9F">
            <w:pPr>
              <w:pStyle w:val="ListParagraph"/>
              <w:numPr>
                <w:ilvl w:val="0"/>
                <w:numId w:val="10"/>
              </w:numPr>
              <w:spacing w:after="0" w:line="240" w:lineRule="auto"/>
              <w:rPr>
                <w:rFonts w:ascii="Arial" w:hAnsi="Arial" w:cs="Arial"/>
                <w:color w:val="000000"/>
                <w:sz w:val="24"/>
                <w:szCs w:val="24"/>
              </w:rPr>
            </w:pPr>
            <w:r w:rsidRPr="00B01B1A">
              <w:rPr>
                <w:rFonts w:ascii="Arial" w:hAnsi="Arial" w:cs="Arial"/>
                <w:color w:val="000000"/>
                <w:sz w:val="24"/>
                <w:szCs w:val="24"/>
              </w:rPr>
              <w:t>Projects requesting a lower proportion of funding from the NTCA will score more highly.</w:t>
            </w:r>
          </w:p>
          <w:p w14:paraId="21B3ADA9" w14:textId="22122439" w:rsidR="00B01B1A" w:rsidRPr="00CE68F9" w:rsidRDefault="00B01B1A" w:rsidP="00B01B1A">
            <w:pPr>
              <w:pStyle w:val="ListParagraph"/>
              <w:spacing w:after="0" w:line="240" w:lineRule="auto"/>
              <w:rPr>
                <w:rFonts w:ascii="Arial" w:hAnsi="Arial" w:cs="Arial"/>
                <w:color w:val="000000"/>
                <w:sz w:val="24"/>
                <w:szCs w:val="24"/>
              </w:rPr>
            </w:pPr>
          </w:p>
        </w:tc>
        <w:tc>
          <w:tcPr>
            <w:tcW w:w="2693" w:type="dxa"/>
            <w:vAlign w:val="center"/>
          </w:tcPr>
          <w:p w14:paraId="051A027E" w14:textId="77777777" w:rsidR="00AA0517" w:rsidRPr="00CE68F9" w:rsidRDefault="00AA0517" w:rsidP="00F94B9F">
            <w:pPr>
              <w:contextualSpacing/>
              <w:jc w:val="center"/>
              <w:rPr>
                <w:rFonts w:ascii="Arial" w:eastAsia="Batang" w:hAnsi="Arial" w:cs="Arial"/>
                <w:sz w:val="24"/>
                <w:szCs w:val="24"/>
              </w:rPr>
            </w:pPr>
            <w:r>
              <w:rPr>
                <w:rFonts w:ascii="Arial" w:eastAsia="Batang" w:hAnsi="Arial" w:cs="Arial"/>
                <w:sz w:val="24"/>
                <w:szCs w:val="24"/>
              </w:rPr>
              <w:lastRenderedPageBreak/>
              <w:t>5</w:t>
            </w:r>
          </w:p>
        </w:tc>
      </w:tr>
      <w:tr w:rsidR="00AA0517" w:rsidRPr="00CE68F9" w14:paraId="07D6B93C" w14:textId="77777777" w:rsidTr="00AA0517">
        <w:tc>
          <w:tcPr>
            <w:tcW w:w="1980" w:type="dxa"/>
          </w:tcPr>
          <w:p w14:paraId="56E10F73"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Status of Match Funding </w:t>
            </w:r>
          </w:p>
        </w:tc>
        <w:tc>
          <w:tcPr>
            <w:tcW w:w="5528" w:type="dxa"/>
          </w:tcPr>
          <w:p w14:paraId="22735121" w14:textId="3CBCC12E" w:rsidR="00B81F29" w:rsidRDefault="00AA0517" w:rsidP="000C1DFF">
            <w:pPr>
              <w:numPr>
                <w:ilvl w:val="0"/>
                <w:numId w:val="12"/>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The degree to which match funding that is confirmed will be assessed.</w:t>
            </w:r>
            <w:r w:rsidR="00EC12AB">
              <w:rPr>
                <w:rFonts w:ascii="Arial" w:hAnsi="Arial" w:cs="Arial"/>
                <w:color w:val="000000"/>
                <w:sz w:val="24"/>
                <w:szCs w:val="24"/>
              </w:rPr>
              <w:t xml:space="preserve"> </w:t>
            </w:r>
          </w:p>
          <w:p w14:paraId="0F675A29" w14:textId="260AC415" w:rsidR="00AA0517" w:rsidRDefault="00F94B9F" w:rsidP="000C1DFF">
            <w:pPr>
              <w:numPr>
                <w:ilvl w:val="0"/>
                <w:numId w:val="12"/>
              </w:numPr>
              <w:autoSpaceDE w:val="0"/>
              <w:autoSpaceDN w:val="0"/>
              <w:adjustRightInd w:val="0"/>
              <w:rPr>
                <w:rFonts w:ascii="Arial" w:hAnsi="Arial" w:cs="Arial"/>
                <w:color w:val="000000"/>
                <w:sz w:val="24"/>
                <w:szCs w:val="24"/>
              </w:rPr>
            </w:pPr>
            <w:r>
              <w:rPr>
                <w:rFonts w:ascii="Arial" w:hAnsi="Arial" w:cs="Arial"/>
                <w:color w:val="000000"/>
                <w:sz w:val="24"/>
                <w:szCs w:val="24"/>
              </w:rPr>
              <w:t>Applicants must</w:t>
            </w:r>
            <w:r w:rsidR="00612D0A">
              <w:rPr>
                <w:rFonts w:ascii="Arial" w:hAnsi="Arial" w:cs="Arial"/>
                <w:color w:val="000000"/>
                <w:sz w:val="24"/>
                <w:szCs w:val="24"/>
              </w:rPr>
              <w:t xml:space="preserve"> </w:t>
            </w:r>
            <w:r>
              <w:rPr>
                <w:rFonts w:ascii="Arial" w:hAnsi="Arial" w:cs="Arial"/>
                <w:color w:val="000000"/>
                <w:sz w:val="24"/>
                <w:szCs w:val="24"/>
              </w:rPr>
              <w:t xml:space="preserve">carefully consider the status of match funding and intensity </w:t>
            </w:r>
          </w:p>
          <w:p w14:paraId="131A90A3" w14:textId="571D0576" w:rsidR="00AA0517" w:rsidRPr="00CE68F9" w:rsidRDefault="00AA0517" w:rsidP="00AA0517">
            <w:pPr>
              <w:autoSpaceDE w:val="0"/>
              <w:autoSpaceDN w:val="0"/>
              <w:adjustRightInd w:val="0"/>
              <w:ind w:left="720"/>
              <w:jc w:val="both"/>
              <w:rPr>
                <w:rFonts w:ascii="Arial" w:hAnsi="Arial" w:cs="Arial"/>
                <w:color w:val="000000"/>
                <w:sz w:val="24"/>
                <w:szCs w:val="24"/>
              </w:rPr>
            </w:pPr>
          </w:p>
        </w:tc>
        <w:tc>
          <w:tcPr>
            <w:tcW w:w="2693" w:type="dxa"/>
            <w:vAlign w:val="center"/>
          </w:tcPr>
          <w:p w14:paraId="7D2B793B"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5</w:t>
            </w:r>
          </w:p>
        </w:tc>
      </w:tr>
      <w:tr w:rsidR="00AA0517" w:rsidRPr="00CE68F9" w14:paraId="6C2D1033" w14:textId="77777777" w:rsidTr="00AA0517">
        <w:tc>
          <w:tcPr>
            <w:tcW w:w="1980" w:type="dxa"/>
          </w:tcPr>
          <w:p w14:paraId="538CDC62"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Subsidy Control Risk </w:t>
            </w:r>
          </w:p>
        </w:tc>
        <w:tc>
          <w:tcPr>
            <w:tcW w:w="5528" w:type="dxa"/>
          </w:tcPr>
          <w:p w14:paraId="5DEF6E2C" w14:textId="55A3DF4D" w:rsidR="0070299A" w:rsidRPr="00B01B1A" w:rsidRDefault="004D6F9A" w:rsidP="00B01B1A">
            <w:pPr>
              <w:numPr>
                <w:ilvl w:val="0"/>
                <w:numId w:val="12"/>
              </w:numPr>
              <w:autoSpaceDE w:val="0"/>
              <w:autoSpaceDN w:val="0"/>
              <w:adjustRightInd w:val="0"/>
              <w:rPr>
                <w:rFonts w:ascii="Arial" w:hAnsi="Arial" w:cs="Arial"/>
                <w:color w:val="000000"/>
                <w:sz w:val="24"/>
                <w:szCs w:val="24"/>
              </w:rPr>
            </w:pPr>
            <w:r>
              <w:rPr>
                <w:rFonts w:ascii="Arial" w:hAnsi="Arial" w:cs="Arial"/>
                <w:color w:val="000000"/>
                <w:sz w:val="24"/>
                <w:szCs w:val="24"/>
              </w:rPr>
              <w:t>Subsidy Control</w:t>
            </w:r>
            <w:r w:rsidR="00AA0517" w:rsidRPr="00CE68F9">
              <w:rPr>
                <w:rFonts w:ascii="Arial" w:hAnsi="Arial" w:cs="Arial"/>
                <w:color w:val="000000"/>
                <w:sz w:val="24"/>
                <w:szCs w:val="24"/>
              </w:rPr>
              <w:t xml:space="preserve"> risk will be established through an assessment of the applicant’s understanding of the relevant </w:t>
            </w:r>
            <w:r>
              <w:rPr>
                <w:rFonts w:ascii="Arial" w:hAnsi="Arial" w:cs="Arial"/>
                <w:color w:val="000000"/>
                <w:sz w:val="24"/>
                <w:szCs w:val="24"/>
              </w:rPr>
              <w:t>Subsidy Control principles</w:t>
            </w:r>
            <w:r w:rsidR="00AA0517" w:rsidRPr="00CE68F9">
              <w:rPr>
                <w:rFonts w:ascii="Arial" w:hAnsi="Arial" w:cs="Arial"/>
                <w:color w:val="000000"/>
                <w:sz w:val="24"/>
                <w:szCs w:val="24"/>
              </w:rPr>
              <w:t xml:space="preserve"> and solutions and the degree to which they have taken and provided evidence of appropriate legal advice. </w:t>
            </w:r>
          </w:p>
        </w:tc>
        <w:tc>
          <w:tcPr>
            <w:tcW w:w="2693" w:type="dxa"/>
            <w:vAlign w:val="center"/>
          </w:tcPr>
          <w:p w14:paraId="45626E44"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5</w:t>
            </w:r>
          </w:p>
        </w:tc>
      </w:tr>
      <w:tr w:rsidR="00AA0517" w:rsidRPr="00CE68F9" w14:paraId="5B71BD78" w14:textId="77777777" w:rsidTr="00AA0517">
        <w:tc>
          <w:tcPr>
            <w:tcW w:w="1980" w:type="dxa"/>
          </w:tcPr>
          <w:p w14:paraId="17D36B24"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Deliverability risk</w:t>
            </w:r>
          </w:p>
        </w:tc>
        <w:tc>
          <w:tcPr>
            <w:tcW w:w="5528" w:type="dxa"/>
          </w:tcPr>
          <w:p w14:paraId="24C20C3C" w14:textId="16026758" w:rsidR="00AA0517" w:rsidRPr="00CE68F9" w:rsidRDefault="00AA0517" w:rsidP="00AA0517">
            <w:pPr>
              <w:numPr>
                <w:ilvl w:val="0"/>
                <w:numId w:val="12"/>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Robust assessment of deliverability, capacity and risks. Clear explanation of delivery routes, timeframes, and key milestones. </w:t>
            </w:r>
          </w:p>
          <w:p w14:paraId="47E61855" w14:textId="77777777" w:rsidR="00AA0517" w:rsidRDefault="00AA0517" w:rsidP="00AA0517">
            <w:pPr>
              <w:numPr>
                <w:ilvl w:val="0"/>
                <w:numId w:val="12"/>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Evidence of partnership strength, commitment (as appropriate) and strategic backing. </w:t>
            </w:r>
          </w:p>
          <w:p w14:paraId="42BFEB30" w14:textId="0AFA85A7" w:rsidR="00AA0517" w:rsidRPr="00CE68F9" w:rsidRDefault="00AA0517" w:rsidP="00AA0517">
            <w:pPr>
              <w:tabs>
                <w:tab w:val="left" w:pos="1740"/>
              </w:tabs>
              <w:ind w:left="720"/>
              <w:contextualSpacing/>
              <w:rPr>
                <w:rFonts w:ascii="Arial" w:eastAsia="Times New Roman" w:hAnsi="Arial" w:cs="Arial"/>
                <w:sz w:val="24"/>
                <w:szCs w:val="24"/>
              </w:rPr>
            </w:pPr>
          </w:p>
        </w:tc>
        <w:tc>
          <w:tcPr>
            <w:tcW w:w="2693" w:type="dxa"/>
            <w:vAlign w:val="center"/>
          </w:tcPr>
          <w:p w14:paraId="57AE7956"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15</w:t>
            </w:r>
          </w:p>
        </w:tc>
      </w:tr>
      <w:tr w:rsidR="00AA0517" w:rsidRPr="00CE68F9" w14:paraId="3B6D04EE" w14:textId="77777777" w:rsidTr="00AA0517">
        <w:tc>
          <w:tcPr>
            <w:tcW w:w="1980" w:type="dxa"/>
          </w:tcPr>
          <w:p w14:paraId="357E8DA5"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 xml:space="preserve">Inclusive Economy Fit </w:t>
            </w:r>
          </w:p>
        </w:tc>
        <w:tc>
          <w:tcPr>
            <w:tcW w:w="5528" w:type="dxa"/>
          </w:tcPr>
          <w:p w14:paraId="79B16AAE" w14:textId="77777777" w:rsidR="00AA0517" w:rsidRDefault="00AA0517" w:rsidP="00AA0517">
            <w:pPr>
              <w:numPr>
                <w:ilvl w:val="0"/>
                <w:numId w:val="13"/>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Robust assessment of the inclusive economy implications of proposals and the ability of the project to make a proactive and targeted impact on the inclusive economy ambitions of the NTCA and to have a positive impact on residents. </w:t>
            </w:r>
          </w:p>
          <w:p w14:paraId="530CBFBE" w14:textId="6140455A" w:rsidR="00AA0517" w:rsidRPr="00CE68F9" w:rsidRDefault="00AA0517" w:rsidP="00AA0517">
            <w:pPr>
              <w:tabs>
                <w:tab w:val="left" w:pos="1740"/>
              </w:tabs>
              <w:ind w:left="720"/>
              <w:contextualSpacing/>
              <w:rPr>
                <w:rFonts w:ascii="Arial" w:eastAsia="Times New Roman" w:hAnsi="Arial" w:cs="Arial"/>
                <w:sz w:val="24"/>
                <w:szCs w:val="24"/>
              </w:rPr>
            </w:pPr>
          </w:p>
        </w:tc>
        <w:tc>
          <w:tcPr>
            <w:tcW w:w="2693" w:type="dxa"/>
            <w:vAlign w:val="center"/>
          </w:tcPr>
          <w:p w14:paraId="2B24BCD5"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10</w:t>
            </w:r>
          </w:p>
        </w:tc>
      </w:tr>
      <w:tr w:rsidR="00B81F29" w:rsidRPr="00CE68F9" w14:paraId="74E92B66" w14:textId="77777777" w:rsidTr="00AB5AD4">
        <w:tc>
          <w:tcPr>
            <w:tcW w:w="7508" w:type="dxa"/>
            <w:gridSpan w:val="2"/>
          </w:tcPr>
          <w:p w14:paraId="70E0CD88" w14:textId="5CD13C04" w:rsidR="00B81F29" w:rsidRPr="00F801F8" w:rsidRDefault="00E452F3" w:rsidP="00B81F29">
            <w:pPr>
              <w:tabs>
                <w:tab w:val="left" w:pos="1740"/>
              </w:tabs>
              <w:contextualSpacing/>
              <w:rPr>
                <w:rFonts w:ascii="Arial" w:eastAsia="Times New Roman" w:hAnsi="Arial" w:cs="Arial"/>
                <w:b/>
                <w:bCs/>
                <w:sz w:val="24"/>
                <w:szCs w:val="24"/>
              </w:rPr>
            </w:pPr>
            <w:r w:rsidRPr="00F801F8">
              <w:rPr>
                <w:rFonts w:ascii="Arial" w:eastAsia="Times New Roman" w:hAnsi="Arial" w:cs="Arial"/>
                <w:b/>
                <w:bCs/>
                <w:sz w:val="24"/>
                <w:szCs w:val="24"/>
              </w:rPr>
              <w:t>Marks</w:t>
            </w:r>
            <w:r w:rsidR="00B81F29" w:rsidRPr="00F801F8">
              <w:rPr>
                <w:rFonts w:ascii="Arial" w:eastAsia="Times New Roman" w:hAnsi="Arial" w:cs="Arial"/>
                <w:b/>
                <w:bCs/>
                <w:sz w:val="24"/>
                <w:szCs w:val="24"/>
              </w:rPr>
              <w:t xml:space="preserve"> Available</w:t>
            </w:r>
          </w:p>
        </w:tc>
        <w:tc>
          <w:tcPr>
            <w:tcW w:w="2693" w:type="dxa"/>
            <w:vAlign w:val="center"/>
          </w:tcPr>
          <w:p w14:paraId="7B39D68F" w14:textId="2D8608DB" w:rsidR="00B81F29" w:rsidRPr="00F801F8" w:rsidRDefault="00E452F3" w:rsidP="00F94B9F">
            <w:pPr>
              <w:contextualSpacing/>
              <w:jc w:val="center"/>
              <w:rPr>
                <w:rFonts w:ascii="Arial" w:eastAsia="Batang" w:hAnsi="Arial" w:cs="Arial"/>
                <w:b/>
                <w:bCs/>
                <w:sz w:val="24"/>
                <w:szCs w:val="24"/>
              </w:rPr>
            </w:pPr>
            <w:r w:rsidRPr="00F801F8">
              <w:rPr>
                <w:rFonts w:ascii="Arial" w:eastAsia="Batang" w:hAnsi="Arial" w:cs="Arial"/>
                <w:b/>
                <w:bCs/>
                <w:sz w:val="24"/>
                <w:szCs w:val="24"/>
              </w:rPr>
              <w:t>75</w:t>
            </w:r>
          </w:p>
        </w:tc>
      </w:tr>
    </w:tbl>
    <w:p w14:paraId="6062F839" w14:textId="77777777" w:rsidR="00AA0517" w:rsidRPr="00CE68F9" w:rsidRDefault="00AA0517" w:rsidP="00AA0517">
      <w:pPr>
        <w:spacing w:after="0" w:line="240" w:lineRule="auto"/>
        <w:contextualSpacing/>
        <w:jc w:val="both"/>
        <w:rPr>
          <w:rFonts w:ascii="Arial" w:eastAsia="Batang" w:hAnsi="Arial" w:cs="Arial"/>
          <w:sz w:val="24"/>
          <w:szCs w:val="24"/>
        </w:rPr>
      </w:pPr>
    </w:p>
    <w:p w14:paraId="4FD993C6" w14:textId="6B23CB85" w:rsidR="00AA0517" w:rsidRPr="00CE68F9" w:rsidRDefault="00AA0517" w:rsidP="00AA0517">
      <w:pPr>
        <w:autoSpaceDE w:val="0"/>
        <w:autoSpaceDN w:val="0"/>
        <w:adjustRightInd w:val="0"/>
        <w:spacing w:after="0" w:line="240" w:lineRule="auto"/>
        <w:rPr>
          <w:rFonts w:ascii="Arial" w:hAnsi="Arial" w:cs="Arial"/>
          <w:color w:val="000000"/>
          <w:sz w:val="24"/>
          <w:szCs w:val="24"/>
        </w:rPr>
      </w:pPr>
      <w:r w:rsidRPr="00CE68F9">
        <w:rPr>
          <w:rFonts w:ascii="Arial" w:hAnsi="Arial" w:cs="Arial"/>
          <w:color w:val="000000"/>
          <w:sz w:val="24"/>
          <w:szCs w:val="24"/>
        </w:rPr>
        <w:t>Project proposals will be scored against the selection criteria in this document.</w:t>
      </w:r>
      <w:r w:rsidR="00EC12AB">
        <w:rPr>
          <w:rFonts w:ascii="Arial" w:hAnsi="Arial" w:cs="Arial"/>
          <w:color w:val="000000"/>
          <w:sz w:val="24"/>
          <w:szCs w:val="24"/>
        </w:rPr>
        <w:t xml:space="preserve"> </w:t>
      </w:r>
      <w:r w:rsidRPr="00CE68F9">
        <w:rPr>
          <w:rFonts w:ascii="Arial" w:hAnsi="Arial" w:cs="Arial"/>
          <w:color w:val="000000"/>
          <w:sz w:val="24"/>
          <w:szCs w:val="24"/>
        </w:rPr>
        <w:t>Scoring will be undertaken by a panel made up of Officers of the NTCA and other relevant external members. Clarifications may be sought by NTCA throughout the assessment process.</w:t>
      </w:r>
    </w:p>
    <w:p w14:paraId="6906F070" w14:textId="77777777" w:rsidR="00AA0517" w:rsidRPr="00CE68F9" w:rsidRDefault="00AA0517" w:rsidP="00AA0517">
      <w:pPr>
        <w:autoSpaceDE w:val="0"/>
        <w:autoSpaceDN w:val="0"/>
        <w:adjustRightInd w:val="0"/>
        <w:spacing w:after="0" w:line="240" w:lineRule="auto"/>
        <w:rPr>
          <w:rFonts w:ascii="Arial" w:hAnsi="Arial" w:cs="Arial"/>
          <w:color w:val="000000"/>
          <w:sz w:val="24"/>
          <w:szCs w:val="24"/>
        </w:rPr>
      </w:pPr>
    </w:p>
    <w:p w14:paraId="4A42ECE7" w14:textId="7D9FBB90" w:rsidR="00AA0517" w:rsidRPr="0032071D" w:rsidRDefault="00AA0517" w:rsidP="00AA0517">
      <w:pPr>
        <w:autoSpaceDE w:val="0"/>
        <w:autoSpaceDN w:val="0"/>
        <w:adjustRightInd w:val="0"/>
        <w:spacing w:after="0" w:line="240" w:lineRule="auto"/>
        <w:rPr>
          <w:rFonts w:ascii="Arial" w:hAnsi="Arial" w:cs="Arial"/>
          <w:color w:val="000000"/>
          <w:sz w:val="24"/>
          <w:szCs w:val="24"/>
        </w:rPr>
      </w:pPr>
      <w:r w:rsidRPr="00CE68F9">
        <w:rPr>
          <w:rFonts w:ascii="Arial" w:hAnsi="Arial" w:cs="Arial"/>
          <w:color w:val="000000"/>
          <w:sz w:val="24"/>
          <w:szCs w:val="24"/>
        </w:rPr>
        <w:t>Strategic fit and</w:t>
      </w:r>
      <w:r w:rsidR="001201C1">
        <w:rPr>
          <w:rFonts w:ascii="Arial" w:hAnsi="Arial" w:cs="Arial"/>
          <w:color w:val="000000"/>
          <w:sz w:val="24"/>
          <w:szCs w:val="24"/>
        </w:rPr>
        <w:t xml:space="preserve"> Delivery of </w:t>
      </w:r>
      <w:r w:rsidR="00704198">
        <w:rPr>
          <w:rFonts w:ascii="Arial" w:hAnsi="Arial" w:cs="Arial"/>
          <w:color w:val="000000"/>
          <w:sz w:val="24"/>
          <w:szCs w:val="24"/>
        </w:rPr>
        <w:t>D</w:t>
      </w:r>
      <w:r w:rsidR="001201C1">
        <w:rPr>
          <w:rFonts w:ascii="Arial" w:hAnsi="Arial" w:cs="Arial"/>
          <w:color w:val="000000"/>
          <w:sz w:val="24"/>
          <w:szCs w:val="24"/>
        </w:rPr>
        <w:t xml:space="preserve">esired </w:t>
      </w:r>
      <w:r w:rsidR="00704198">
        <w:rPr>
          <w:rFonts w:ascii="Arial" w:hAnsi="Arial" w:cs="Arial"/>
          <w:color w:val="000000"/>
          <w:sz w:val="24"/>
          <w:szCs w:val="24"/>
        </w:rPr>
        <w:t>O</w:t>
      </w:r>
      <w:r w:rsidR="001201C1">
        <w:rPr>
          <w:rFonts w:ascii="Arial" w:hAnsi="Arial" w:cs="Arial"/>
          <w:color w:val="000000"/>
          <w:sz w:val="24"/>
          <w:szCs w:val="24"/>
        </w:rPr>
        <w:t xml:space="preserve">utcomes </w:t>
      </w:r>
      <w:r w:rsidRPr="00CE68F9">
        <w:rPr>
          <w:rFonts w:ascii="Arial" w:hAnsi="Arial" w:cs="Arial"/>
          <w:color w:val="000000"/>
          <w:sz w:val="24"/>
          <w:szCs w:val="24"/>
        </w:rPr>
        <w:t xml:space="preserve">are Pass/Fail, as indicated in the scoring guidance and matrix. </w:t>
      </w:r>
    </w:p>
    <w:p w14:paraId="04872932" w14:textId="02DC137F" w:rsidR="00AA0517" w:rsidRDefault="00AA0517" w:rsidP="00AA0517">
      <w:pPr>
        <w:autoSpaceDE w:val="0"/>
        <w:autoSpaceDN w:val="0"/>
        <w:adjustRightInd w:val="0"/>
        <w:spacing w:after="0" w:line="240" w:lineRule="auto"/>
        <w:jc w:val="both"/>
        <w:rPr>
          <w:rFonts w:ascii="Arial" w:eastAsia="Batang" w:hAnsi="Arial" w:cs="Arial"/>
          <w:color w:val="000000"/>
          <w:sz w:val="24"/>
          <w:szCs w:val="24"/>
        </w:rPr>
      </w:pPr>
    </w:p>
    <w:p w14:paraId="06164341" w14:textId="4B8D8D1F" w:rsidR="00704198" w:rsidRDefault="00704198" w:rsidP="00704198">
      <w:pPr>
        <w:spacing w:after="0" w:line="240" w:lineRule="auto"/>
        <w:contextualSpacing/>
        <w:jc w:val="both"/>
        <w:rPr>
          <w:rFonts w:ascii="Arial" w:eastAsia="Batang" w:hAnsi="Arial" w:cs="Arial"/>
          <w:b/>
          <w:bCs/>
          <w:sz w:val="24"/>
          <w:szCs w:val="24"/>
        </w:rPr>
      </w:pPr>
      <w:r w:rsidRPr="00B24804">
        <w:rPr>
          <w:rFonts w:ascii="Arial" w:eastAsia="Batang" w:hAnsi="Arial" w:cs="Arial"/>
          <w:b/>
          <w:bCs/>
          <w:sz w:val="24"/>
          <w:szCs w:val="24"/>
        </w:rPr>
        <w:t xml:space="preserve">NOTE: a detailed scoring Matrix is provided at Annex </w:t>
      </w:r>
      <w:r w:rsidR="00B25421">
        <w:rPr>
          <w:rFonts w:ascii="Arial" w:eastAsia="Batang" w:hAnsi="Arial" w:cs="Arial"/>
          <w:b/>
          <w:bCs/>
          <w:sz w:val="24"/>
          <w:szCs w:val="24"/>
        </w:rPr>
        <w:t>B</w:t>
      </w:r>
      <w:r w:rsidRPr="00B24804">
        <w:rPr>
          <w:rFonts w:ascii="Arial" w:eastAsia="Batang" w:hAnsi="Arial" w:cs="Arial"/>
          <w:b/>
          <w:bCs/>
          <w:sz w:val="24"/>
          <w:szCs w:val="24"/>
        </w:rPr>
        <w:t xml:space="preserve">. </w:t>
      </w:r>
    </w:p>
    <w:p w14:paraId="5165FB92" w14:textId="77777777" w:rsidR="00BA5A56" w:rsidRDefault="00BA5A56" w:rsidP="00BA5A56">
      <w:pPr>
        <w:autoSpaceDE w:val="0"/>
        <w:autoSpaceDN w:val="0"/>
        <w:adjustRightInd w:val="0"/>
        <w:spacing w:after="0" w:line="240" w:lineRule="auto"/>
        <w:jc w:val="both"/>
        <w:rPr>
          <w:rFonts w:ascii="Arial" w:eastAsia="Batang" w:hAnsi="Arial" w:cs="Arial"/>
          <w:b/>
          <w:bCs/>
          <w:color w:val="000000"/>
          <w:sz w:val="24"/>
          <w:szCs w:val="24"/>
        </w:rPr>
      </w:pPr>
    </w:p>
    <w:p w14:paraId="102667C0" w14:textId="40066BE5" w:rsidR="00BA5A56" w:rsidRPr="00AA0517" w:rsidRDefault="00BA5A56" w:rsidP="00BA5A56">
      <w:pPr>
        <w:autoSpaceDE w:val="0"/>
        <w:autoSpaceDN w:val="0"/>
        <w:adjustRightInd w:val="0"/>
        <w:spacing w:after="0" w:line="240" w:lineRule="auto"/>
        <w:jc w:val="both"/>
        <w:rPr>
          <w:rFonts w:ascii="Arial" w:eastAsia="Batang" w:hAnsi="Arial" w:cs="Arial"/>
          <w:b/>
          <w:bCs/>
          <w:color w:val="000000"/>
          <w:sz w:val="24"/>
          <w:szCs w:val="24"/>
        </w:rPr>
      </w:pPr>
      <w:r w:rsidRPr="00AA0517">
        <w:rPr>
          <w:rFonts w:ascii="Arial" w:eastAsia="Batang" w:hAnsi="Arial" w:cs="Arial"/>
          <w:b/>
          <w:bCs/>
          <w:color w:val="000000"/>
          <w:sz w:val="24"/>
          <w:szCs w:val="24"/>
        </w:rPr>
        <w:t>Stage 2 – Full Business Case</w:t>
      </w:r>
    </w:p>
    <w:p w14:paraId="2C66DF0F" w14:textId="77777777" w:rsidR="00BA5A56" w:rsidRDefault="00BA5A56" w:rsidP="00BA5A56">
      <w:pPr>
        <w:autoSpaceDE w:val="0"/>
        <w:autoSpaceDN w:val="0"/>
        <w:adjustRightInd w:val="0"/>
        <w:spacing w:after="0" w:line="240" w:lineRule="auto"/>
        <w:jc w:val="both"/>
        <w:rPr>
          <w:rFonts w:ascii="Arial" w:eastAsia="Batang" w:hAnsi="Arial" w:cs="Arial"/>
          <w:color w:val="000000"/>
          <w:sz w:val="24"/>
          <w:szCs w:val="24"/>
        </w:rPr>
      </w:pPr>
    </w:p>
    <w:p w14:paraId="0187FFAB" w14:textId="77777777" w:rsidR="00BA5A56" w:rsidRDefault="00BA5A56" w:rsidP="00BA5A56">
      <w:pPr>
        <w:autoSpaceDE w:val="0"/>
        <w:autoSpaceDN w:val="0"/>
        <w:adjustRightInd w:val="0"/>
        <w:spacing w:after="0" w:line="240" w:lineRule="auto"/>
        <w:jc w:val="both"/>
        <w:rPr>
          <w:rFonts w:ascii="Arial" w:eastAsia="Batang" w:hAnsi="Arial" w:cs="Arial"/>
          <w:color w:val="000000"/>
          <w:sz w:val="24"/>
          <w:szCs w:val="24"/>
        </w:rPr>
      </w:pPr>
      <w:r w:rsidRPr="00CE68F9">
        <w:rPr>
          <w:rFonts w:ascii="Arial" w:eastAsia="Batang" w:hAnsi="Arial" w:cs="Arial"/>
          <w:color w:val="000000"/>
          <w:sz w:val="24"/>
          <w:szCs w:val="24"/>
        </w:rPr>
        <w:t xml:space="preserve">Following this, project proposals that </w:t>
      </w:r>
      <w:r w:rsidRPr="0070209F">
        <w:rPr>
          <w:rFonts w:ascii="Arial" w:eastAsia="Batang" w:hAnsi="Arial" w:cs="Arial"/>
          <w:color w:val="000000"/>
          <w:sz w:val="24"/>
          <w:szCs w:val="24"/>
        </w:rPr>
        <w:t>pass both pass/fail criteria and have a scored a minimum of 4</w:t>
      </w:r>
      <w:r>
        <w:rPr>
          <w:rFonts w:ascii="Arial" w:eastAsia="Batang" w:hAnsi="Arial" w:cs="Arial"/>
          <w:color w:val="000000"/>
          <w:sz w:val="24"/>
          <w:szCs w:val="24"/>
        </w:rPr>
        <w:t>5</w:t>
      </w:r>
      <w:r w:rsidRPr="0070209F">
        <w:rPr>
          <w:rFonts w:ascii="Arial" w:eastAsia="Batang" w:hAnsi="Arial" w:cs="Arial"/>
          <w:color w:val="000000"/>
          <w:sz w:val="24"/>
          <w:szCs w:val="24"/>
        </w:rPr>
        <w:t xml:space="preserve"> points out of 75 will be considered by the NTCA Investment Panel. If the combined value of projects meeting this threshold exceeds the funding available, the NTCA</w:t>
      </w:r>
      <w:r w:rsidRPr="00CE68F9">
        <w:rPr>
          <w:rFonts w:ascii="Arial" w:eastAsia="Batang" w:hAnsi="Arial" w:cs="Arial"/>
          <w:color w:val="000000"/>
          <w:sz w:val="24"/>
          <w:szCs w:val="24"/>
        </w:rPr>
        <w:t xml:space="preserve"> Investment Panel will have sole discretion to decide which proposals are invited to submit a Full Business Case. Acceptance of a project proposal to progress to full business case stage does not in any way indicate or constitute an offer of grant from NTCA. </w:t>
      </w:r>
    </w:p>
    <w:p w14:paraId="596805F5" w14:textId="77777777" w:rsidR="00BA5A56" w:rsidRPr="00CE68F9" w:rsidRDefault="00BA5A56" w:rsidP="00BA5A56">
      <w:pPr>
        <w:autoSpaceDE w:val="0"/>
        <w:autoSpaceDN w:val="0"/>
        <w:adjustRightInd w:val="0"/>
        <w:spacing w:after="0" w:line="240" w:lineRule="auto"/>
        <w:jc w:val="both"/>
        <w:rPr>
          <w:rFonts w:ascii="Arial" w:eastAsia="Batang" w:hAnsi="Arial" w:cs="Arial"/>
          <w:color w:val="000000"/>
          <w:sz w:val="24"/>
          <w:szCs w:val="24"/>
        </w:rPr>
      </w:pPr>
    </w:p>
    <w:p w14:paraId="06B962BF" w14:textId="77777777" w:rsidR="00BA5A56" w:rsidRPr="00CE68F9" w:rsidRDefault="00BA5A56" w:rsidP="00BA5A56">
      <w:pPr>
        <w:autoSpaceDE w:val="0"/>
        <w:autoSpaceDN w:val="0"/>
        <w:adjustRightInd w:val="0"/>
        <w:spacing w:after="0" w:line="240" w:lineRule="auto"/>
        <w:jc w:val="both"/>
        <w:rPr>
          <w:rFonts w:ascii="Arial" w:eastAsia="Batang" w:hAnsi="Arial" w:cs="Arial"/>
          <w:color w:val="000000"/>
          <w:sz w:val="24"/>
          <w:szCs w:val="24"/>
        </w:rPr>
      </w:pPr>
      <w:r w:rsidRPr="00CE68F9">
        <w:rPr>
          <w:rFonts w:ascii="Arial" w:eastAsia="Batang" w:hAnsi="Arial" w:cs="Arial"/>
          <w:color w:val="000000"/>
          <w:sz w:val="24"/>
          <w:szCs w:val="24"/>
        </w:rPr>
        <w:t xml:space="preserve">Each Full Business Case submitted following a successful first stage Expression of Interest will be processed in line with the NTCA’s Assurance Framework and will be appraised against the HM Treasury ‘five case’ model and NTCA’s additional Inclusive Economy Case prior to being considered for approval by NTCA’s Technical Officers Group and Investment Panel and NTCA Cabinet. </w:t>
      </w:r>
    </w:p>
    <w:p w14:paraId="110DF70E" w14:textId="77777777" w:rsidR="00BA5A56" w:rsidRDefault="00BA5A56" w:rsidP="00BA5A56">
      <w:pPr>
        <w:spacing w:after="0" w:line="240" w:lineRule="auto"/>
        <w:contextualSpacing/>
        <w:jc w:val="both"/>
        <w:rPr>
          <w:rFonts w:ascii="Arial" w:eastAsia="Batang" w:hAnsi="Arial" w:cs="Arial"/>
          <w:sz w:val="24"/>
          <w:szCs w:val="24"/>
        </w:rPr>
      </w:pPr>
    </w:p>
    <w:p w14:paraId="5FCB9A5E" w14:textId="77777777" w:rsidR="00BA5A56" w:rsidRPr="00CE68F9" w:rsidRDefault="00BA5A56" w:rsidP="00BA5A56">
      <w:pPr>
        <w:autoSpaceDE w:val="0"/>
        <w:autoSpaceDN w:val="0"/>
        <w:adjustRightInd w:val="0"/>
        <w:spacing w:after="0" w:line="240" w:lineRule="auto"/>
        <w:jc w:val="both"/>
        <w:rPr>
          <w:rFonts w:ascii="Arial" w:eastAsia="Batang" w:hAnsi="Arial" w:cs="Arial"/>
          <w:color w:val="000000"/>
          <w:sz w:val="24"/>
          <w:szCs w:val="24"/>
        </w:rPr>
      </w:pPr>
      <w:r w:rsidRPr="00CE68F9">
        <w:rPr>
          <w:rFonts w:ascii="Arial" w:hAnsi="Arial" w:cs="Arial"/>
          <w:sz w:val="24"/>
          <w:szCs w:val="24"/>
        </w:rPr>
        <w:t xml:space="preserve">Projects which fail to secure support at the Full Business Case stage will be considered as a part of NTCA’s longer-term pipeline in preparation for other sources of funding. </w:t>
      </w:r>
    </w:p>
    <w:p w14:paraId="20EDF087" w14:textId="77777777" w:rsidR="00BA5A56" w:rsidRPr="00CE68F9" w:rsidRDefault="00BA5A56" w:rsidP="00BA5A56">
      <w:pPr>
        <w:autoSpaceDE w:val="0"/>
        <w:autoSpaceDN w:val="0"/>
        <w:adjustRightInd w:val="0"/>
        <w:spacing w:after="0" w:line="240" w:lineRule="auto"/>
        <w:jc w:val="both"/>
        <w:rPr>
          <w:rFonts w:ascii="Arial" w:eastAsia="Batang" w:hAnsi="Arial" w:cs="Arial"/>
          <w:color w:val="000000"/>
          <w:sz w:val="24"/>
          <w:szCs w:val="24"/>
        </w:rPr>
      </w:pPr>
    </w:p>
    <w:p w14:paraId="63311F7E" w14:textId="77777777" w:rsidR="00BA5A56" w:rsidRPr="00E25841" w:rsidRDefault="00BA5A56" w:rsidP="00BA5A56">
      <w:pPr>
        <w:spacing w:after="0" w:line="240" w:lineRule="auto"/>
        <w:jc w:val="both"/>
        <w:rPr>
          <w:rFonts w:ascii="Arial" w:eastAsia="Batang" w:hAnsi="Arial" w:cs="Arial"/>
          <w:sz w:val="24"/>
          <w:szCs w:val="24"/>
        </w:rPr>
      </w:pPr>
      <w:r w:rsidRPr="00E25841">
        <w:rPr>
          <w:rFonts w:ascii="Arial" w:eastAsia="Batang" w:hAnsi="Arial" w:cs="Arial"/>
          <w:sz w:val="24"/>
          <w:szCs w:val="24"/>
        </w:rPr>
        <w:t xml:space="preserve">NTCA may </w:t>
      </w:r>
      <w:proofErr w:type="gramStart"/>
      <w:r w:rsidRPr="00E25841">
        <w:rPr>
          <w:rFonts w:ascii="Arial" w:eastAsia="Batang" w:hAnsi="Arial" w:cs="Arial"/>
          <w:sz w:val="24"/>
          <w:szCs w:val="24"/>
        </w:rPr>
        <w:t>enter into</w:t>
      </w:r>
      <w:proofErr w:type="gramEnd"/>
      <w:r w:rsidRPr="00E25841">
        <w:rPr>
          <w:rFonts w:ascii="Arial" w:eastAsia="Batang" w:hAnsi="Arial" w:cs="Arial"/>
          <w:sz w:val="24"/>
          <w:szCs w:val="24"/>
        </w:rPr>
        <w:t xml:space="preserve"> dialogue with applicants and seek clarification at any point in the application process. This may result in revisions to propositions between the first stage expression of interest and the Full Application and potentially lead to proposals being changed, withdrawn, or combined with the of proposals submitted by other applicants in a new partnership arrangement. </w:t>
      </w:r>
    </w:p>
    <w:p w14:paraId="6E92044E" w14:textId="3D50A41B" w:rsidR="00BA5A56" w:rsidRDefault="00BA5A56" w:rsidP="00BA5A56">
      <w:pPr>
        <w:spacing w:after="0" w:line="240" w:lineRule="auto"/>
        <w:contextualSpacing/>
        <w:jc w:val="both"/>
        <w:rPr>
          <w:rFonts w:ascii="Arial" w:eastAsia="Batang" w:hAnsi="Arial" w:cs="Arial"/>
          <w:sz w:val="24"/>
          <w:szCs w:val="24"/>
        </w:rPr>
      </w:pPr>
    </w:p>
    <w:p w14:paraId="59B475AD" w14:textId="77777777" w:rsidR="00D213FC" w:rsidRPr="00CE68F9" w:rsidRDefault="00D213FC" w:rsidP="00BA5A56">
      <w:pPr>
        <w:spacing w:after="0" w:line="240" w:lineRule="auto"/>
        <w:contextualSpacing/>
        <w:jc w:val="both"/>
        <w:rPr>
          <w:rFonts w:ascii="Arial" w:eastAsia="Batang" w:hAnsi="Arial" w:cs="Arial"/>
          <w:sz w:val="24"/>
          <w:szCs w:val="24"/>
        </w:rPr>
      </w:pPr>
    </w:p>
    <w:p w14:paraId="4B5FF000" w14:textId="77777777" w:rsidR="00CA6C6D" w:rsidRPr="00057DCD" w:rsidRDefault="00CA6C6D" w:rsidP="00057DCD">
      <w:pPr>
        <w:pStyle w:val="Heading1"/>
        <w:numPr>
          <w:ilvl w:val="0"/>
          <w:numId w:val="45"/>
        </w:numPr>
        <w:spacing w:before="0" w:line="240" w:lineRule="auto"/>
        <w:ind w:left="567" w:hanging="567"/>
      </w:pPr>
      <w:bookmarkStart w:id="10" w:name="_Toc84450584"/>
      <w:r w:rsidRPr="00057DCD">
        <w:t>Subsidy Control</w:t>
      </w:r>
      <w:bookmarkEnd w:id="10"/>
    </w:p>
    <w:p w14:paraId="3A870F02" w14:textId="77777777" w:rsidR="00CA6C6D" w:rsidRPr="00CE68F9" w:rsidRDefault="00CA6C6D" w:rsidP="00CA6C6D">
      <w:pPr>
        <w:autoSpaceDE w:val="0"/>
        <w:autoSpaceDN w:val="0"/>
        <w:adjustRightInd w:val="0"/>
        <w:spacing w:after="0" w:line="240" w:lineRule="auto"/>
        <w:jc w:val="both"/>
        <w:rPr>
          <w:rFonts w:ascii="Arial" w:eastAsia="Batang" w:hAnsi="Arial" w:cs="Arial"/>
          <w:sz w:val="24"/>
          <w:szCs w:val="24"/>
        </w:rPr>
      </w:pPr>
    </w:p>
    <w:p w14:paraId="6A57A5DA" w14:textId="77777777" w:rsidR="00CA6C6D" w:rsidRPr="0051750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Following the UK’s departure from the European Union on 31st December 2020, a new subsidy control regime is now in place. As such, NTCA require all applicants for funding to seek advice setting out how projects are compliant with the new UK Subsidy regime. The application includes a specific section for applicants to respond</w:t>
      </w:r>
      <w:r>
        <w:rPr>
          <w:rFonts w:ascii="Arial" w:hAnsi="Arial" w:cs="Arial"/>
          <w:sz w:val="24"/>
          <w:szCs w:val="24"/>
        </w:rPr>
        <w:t>. T</w:t>
      </w:r>
      <w:r w:rsidRPr="0051750D">
        <w:rPr>
          <w:rFonts w:ascii="Arial" w:hAnsi="Arial" w:cs="Arial"/>
          <w:sz w:val="24"/>
          <w:szCs w:val="24"/>
        </w:rPr>
        <w:t xml:space="preserve">his is a requirement under the new regime, as set out in the BEIS Technical Guidance (which can be accessed here: </w:t>
      </w:r>
      <w:hyperlink r:id="rId23" w:history="1">
        <w:r w:rsidRPr="005941DC">
          <w:rPr>
            <w:rStyle w:val="Hyperlink"/>
            <w:rFonts w:ascii="Arial" w:hAnsi="Arial" w:cs="Arial"/>
            <w:sz w:val="24"/>
            <w:szCs w:val="24"/>
          </w:rPr>
          <w:t>https://www.gov.uk/government/publications/complying-with-the-uks-international-obligations-on-subsidy-control-guidance-for-public-authorities/technical-guidance-on-the-uks-international-subsidy-control-commitments-from-1-january-2021</w:t>
        </w:r>
      </w:hyperlink>
      <w:r>
        <w:rPr>
          <w:rFonts w:ascii="Arial" w:hAnsi="Arial" w:cs="Arial"/>
          <w:sz w:val="24"/>
          <w:szCs w:val="24"/>
        </w:rPr>
        <w:t>).</w:t>
      </w:r>
    </w:p>
    <w:p w14:paraId="3F828C23" w14:textId="77777777" w:rsidR="00CA6C6D" w:rsidRDefault="00CA6C6D" w:rsidP="00CA6C6D">
      <w:pPr>
        <w:spacing w:after="0" w:line="240" w:lineRule="auto"/>
        <w:contextualSpacing/>
        <w:rPr>
          <w:rFonts w:ascii="Arial" w:hAnsi="Arial" w:cs="Arial"/>
          <w:sz w:val="24"/>
          <w:szCs w:val="24"/>
        </w:rPr>
      </w:pPr>
    </w:p>
    <w:p w14:paraId="0E4702CB" w14:textId="77777777" w:rsidR="00CA6C6D" w:rsidRPr="0051750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Please note the advice should cover both receipt of the Funding from NTCA and the subsequent transfer of that Funding to third parties.</w:t>
      </w:r>
    </w:p>
    <w:p w14:paraId="5542E4AF" w14:textId="77777777" w:rsidR="00CA6C6D" w:rsidRDefault="00CA6C6D" w:rsidP="00CA6C6D">
      <w:pPr>
        <w:spacing w:after="0" w:line="240" w:lineRule="auto"/>
        <w:contextualSpacing/>
        <w:rPr>
          <w:rFonts w:ascii="Arial" w:hAnsi="Arial" w:cs="Arial"/>
          <w:sz w:val="24"/>
          <w:szCs w:val="24"/>
        </w:rPr>
      </w:pPr>
    </w:p>
    <w:p w14:paraId="024BFD99" w14:textId="0325A6A3" w:rsidR="00CA6C6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To comply with new subsidy control regulations, all awards that are considered ‘subsidies’, and with a value of over £300,000, will be published on the new BEIS transparency database. All awards will be monitored for their ongoing compliance with subsidy control rules.</w:t>
      </w:r>
    </w:p>
    <w:p w14:paraId="567672E3" w14:textId="72C2B118" w:rsidR="00B24804" w:rsidRDefault="00B24804" w:rsidP="00CA6C6D">
      <w:pPr>
        <w:spacing w:after="0" w:line="240" w:lineRule="auto"/>
        <w:contextualSpacing/>
        <w:rPr>
          <w:rFonts w:ascii="Arial" w:hAnsi="Arial" w:cs="Arial"/>
          <w:sz w:val="24"/>
          <w:szCs w:val="24"/>
        </w:rPr>
      </w:pPr>
    </w:p>
    <w:p w14:paraId="3210D2AA" w14:textId="77777777" w:rsidR="00D213FC" w:rsidRDefault="00D213FC" w:rsidP="00CA6C6D">
      <w:pPr>
        <w:spacing w:after="0" w:line="240" w:lineRule="auto"/>
        <w:contextualSpacing/>
        <w:rPr>
          <w:rFonts w:ascii="Arial" w:hAnsi="Arial" w:cs="Arial"/>
          <w:sz w:val="24"/>
          <w:szCs w:val="24"/>
        </w:rPr>
      </w:pPr>
    </w:p>
    <w:p w14:paraId="68C6F0BD" w14:textId="77777777" w:rsidR="00CA6C6D" w:rsidRPr="00CE68F9" w:rsidRDefault="00CA6C6D" w:rsidP="00057DCD">
      <w:pPr>
        <w:pStyle w:val="Heading1"/>
        <w:numPr>
          <w:ilvl w:val="0"/>
          <w:numId w:val="45"/>
        </w:numPr>
        <w:spacing w:before="0" w:line="240" w:lineRule="auto"/>
        <w:ind w:left="567" w:hanging="567"/>
      </w:pPr>
      <w:bookmarkStart w:id="11" w:name="_Toc84450585"/>
      <w:r w:rsidRPr="00CE68F9">
        <w:t>Other information</w:t>
      </w:r>
      <w:bookmarkEnd w:id="11"/>
      <w:r w:rsidRPr="00CE68F9">
        <w:t xml:space="preserve"> </w:t>
      </w:r>
    </w:p>
    <w:p w14:paraId="330E63B2" w14:textId="77777777" w:rsidR="00CA6C6D" w:rsidRPr="00CE68F9" w:rsidRDefault="00CA6C6D" w:rsidP="00057DCD">
      <w:pPr>
        <w:spacing w:after="0" w:line="240" w:lineRule="auto"/>
        <w:ind w:left="360"/>
        <w:contextualSpacing/>
        <w:jc w:val="both"/>
        <w:rPr>
          <w:rFonts w:ascii="Arial" w:eastAsia="Times New Roman" w:hAnsi="Arial" w:cs="Arial"/>
          <w:b/>
          <w:bCs/>
          <w:sz w:val="24"/>
          <w:szCs w:val="24"/>
        </w:rPr>
      </w:pPr>
    </w:p>
    <w:p w14:paraId="4A135FC2" w14:textId="18ADE68D" w:rsidR="00CA6C6D" w:rsidRDefault="00CA6C6D" w:rsidP="00057DCD">
      <w:pPr>
        <w:tabs>
          <w:tab w:val="left" w:pos="2703"/>
        </w:tabs>
        <w:spacing w:after="0" w:line="240" w:lineRule="auto"/>
        <w:rPr>
          <w:rFonts w:ascii="Arial" w:eastAsia="Times New Roman" w:hAnsi="Arial" w:cs="Arial"/>
          <w:b/>
          <w:bCs/>
          <w:sz w:val="24"/>
          <w:szCs w:val="24"/>
          <w:lang w:eastAsia="en-GB"/>
        </w:rPr>
      </w:pPr>
      <w:r w:rsidRPr="00CE68F9">
        <w:rPr>
          <w:rFonts w:ascii="Arial" w:eastAsia="Times New Roman" w:hAnsi="Arial" w:cs="Arial"/>
          <w:b/>
          <w:bCs/>
          <w:sz w:val="24"/>
          <w:szCs w:val="24"/>
          <w:lang w:eastAsia="en-GB"/>
        </w:rPr>
        <w:t>Fraud, Liability and Payment Terms</w:t>
      </w:r>
    </w:p>
    <w:p w14:paraId="62725C07" w14:textId="77777777" w:rsidR="00057DCD" w:rsidRPr="00CE68F9" w:rsidRDefault="00057DCD" w:rsidP="00057DCD">
      <w:pPr>
        <w:tabs>
          <w:tab w:val="left" w:pos="2703"/>
        </w:tabs>
        <w:spacing w:after="0" w:line="240" w:lineRule="auto"/>
        <w:rPr>
          <w:rFonts w:ascii="Arial" w:eastAsia="Times New Roman" w:hAnsi="Arial" w:cs="Arial"/>
          <w:b/>
          <w:bCs/>
          <w:sz w:val="24"/>
          <w:szCs w:val="24"/>
          <w:lang w:eastAsia="en-GB"/>
        </w:rPr>
      </w:pPr>
    </w:p>
    <w:p w14:paraId="644D62E0" w14:textId="2C715880" w:rsidR="00CA6C6D" w:rsidRDefault="00704198" w:rsidP="00057DCD">
      <w:pPr>
        <w:spacing w:after="0" w:line="240" w:lineRule="auto"/>
        <w:rPr>
          <w:rFonts w:ascii="Arial" w:eastAsia="Batang" w:hAnsi="Arial" w:cs="Arial"/>
          <w:sz w:val="24"/>
          <w:szCs w:val="24"/>
        </w:rPr>
      </w:pPr>
      <w:r>
        <w:rPr>
          <w:rFonts w:ascii="Arial" w:eastAsia="Batang" w:hAnsi="Arial" w:cs="Arial"/>
          <w:sz w:val="24"/>
          <w:szCs w:val="24"/>
        </w:rPr>
        <w:t xml:space="preserve">NTCA </w:t>
      </w:r>
      <w:r w:rsidR="00CA6C6D" w:rsidRPr="00CE68F9">
        <w:rPr>
          <w:rFonts w:ascii="Arial" w:eastAsia="Batang" w:hAnsi="Arial" w:cs="Arial"/>
          <w:sz w:val="24"/>
          <w:szCs w:val="24"/>
        </w:rPr>
        <w:t xml:space="preserve">will take swift action against any recipients who have deliberately manipulated records or have committed fraud. Any beneficiaries caught falsifying their records to gain grant funding will face prosecution and any funding or grants paid in error will be subject to claw back. </w:t>
      </w:r>
    </w:p>
    <w:p w14:paraId="0E961C14" w14:textId="77777777" w:rsidR="00CA6C6D" w:rsidRPr="00CE68F9" w:rsidRDefault="00CA6C6D" w:rsidP="00057DCD">
      <w:pPr>
        <w:spacing w:after="0" w:line="240" w:lineRule="auto"/>
        <w:rPr>
          <w:rFonts w:ascii="Arial" w:eastAsia="Batang" w:hAnsi="Arial" w:cs="Arial"/>
          <w:sz w:val="24"/>
          <w:szCs w:val="24"/>
        </w:rPr>
      </w:pPr>
    </w:p>
    <w:p w14:paraId="07D71D92" w14:textId="2D6E9A01" w:rsidR="00CA6C6D" w:rsidRDefault="00704198" w:rsidP="00057DCD">
      <w:pPr>
        <w:spacing w:after="0" w:line="240" w:lineRule="auto"/>
        <w:rPr>
          <w:rFonts w:ascii="Arial" w:eastAsia="Batang" w:hAnsi="Arial" w:cs="Arial"/>
          <w:sz w:val="24"/>
          <w:szCs w:val="24"/>
        </w:rPr>
      </w:pPr>
      <w:r>
        <w:rPr>
          <w:rFonts w:ascii="Arial" w:eastAsia="Batang" w:hAnsi="Arial" w:cs="Arial"/>
          <w:sz w:val="24"/>
          <w:szCs w:val="24"/>
        </w:rPr>
        <w:t xml:space="preserve">NTCA </w:t>
      </w:r>
      <w:r w:rsidR="00CA6C6D" w:rsidRPr="00CE68F9">
        <w:rPr>
          <w:rFonts w:ascii="Arial" w:eastAsia="Batang" w:hAnsi="Arial" w:cs="Arial"/>
          <w:sz w:val="24"/>
          <w:szCs w:val="24"/>
        </w:rPr>
        <w:t xml:space="preserve">does not accept any liability for any issues that may arise for applicants under this scheme, whether they are successful or not. </w:t>
      </w:r>
    </w:p>
    <w:p w14:paraId="716BD2B0" w14:textId="77777777" w:rsidR="00CA6C6D" w:rsidRPr="00CE68F9" w:rsidRDefault="00CA6C6D" w:rsidP="00057DCD">
      <w:pPr>
        <w:spacing w:after="0" w:line="240" w:lineRule="auto"/>
        <w:rPr>
          <w:rFonts w:ascii="Arial" w:eastAsia="Batang" w:hAnsi="Arial" w:cs="Arial"/>
          <w:sz w:val="24"/>
          <w:szCs w:val="24"/>
        </w:rPr>
      </w:pPr>
    </w:p>
    <w:p w14:paraId="6296169F" w14:textId="77777777" w:rsidR="00CA6C6D" w:rsidRPr="00CE68F9" w:rsidRDefault="00CA6C6D" w:rsidP="00057DCD">
      <w:pPr>
        <w:spacing w:after="0" w:line="240" w:lineRule="auto"/>
        <w:rPr>
          <w:rFonts w:ascii="Arial" w:eastAsia="Batang" w:hAnsi="Arial" w:cs="Arial"/>
          <w:sz w:val="24"/>
          <w:szCs w:val="24"/>
        </w:rPr>
      </w:pPr>
      <w:r w:rsidRPr="00CE68F9">
        <w:rPr>
          <w:rFonts w:ascii="Arial" w:eastAsia="Batang" w:hAnsi="Arial" w:cs="Arial"/>
          <w:sz w:val="24"/>
          <w:szCs w:val="24"/>
        </w:rPr>
        <w:t>Following a grant award, the applicant will be required to submit claims to draw down the grant. Only claims which can demonstrate evidence of expenditure will be eligible for payment. Payments will be made directly to the applicant’s bank account by electronic transfer, normally within 5 working days of a claim being accepted. Grant awards will be subject to the availability of funds. There will be no appeals process following determination. Beneficiaries will receive written confirmation stating that by accepting the grant payment, they confirm that they are eligible for the grant scheme, and that any payments accepted will be subject to state aid requirements.</w:t>
      </w:r>
    </w:p>
    <w:p w14:paraId="520C3FE6" w14:textId="77777777" w:rsidR="00EF5127" w:rsidRDefault="00EF5127" w:rsidP="00CA6C6D">
      <w:pPr>
        <w:spacing w:after="0" w:line="240" w:lineRule="auto"/>
        <w:jc w:val="both"/>
        <w:rPr>
          <w:rFonts w:ascii="Arial" w:eastAsia="Times New Roman" w:hAnsi="Arial" w:cs="Arial"/>
          <w:b/>
          <w:bCs/>
          <w:sz w:val="24"/>
          <w:szCs w:val="24"/>
          <w:lang w:eastAsia="en-GB"/>
        </w:rPr>
      </w:pPr>
    </w:p>
    <w:p w14:paraId="1EE690EB" w14:textId="10856578" w:rsidR="00586945" w:rsidRDefault="00BA5A56" w:rsidP="00A71F7B">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Value for Money</w:t>
      </w:r>
    </w:p>
    <w:p w14:paraId="25D474AF" w14:textId="77777777" w:rsidR="00EF5127" w:rsidRDefault="00EF5127" w:rsidP="00A71F7B">
      <w:pPr>
        <w:spacing w:after="0" w:line="240" w:lineRule="auto"/>
        <w:jc w:val="both"/>
        <w:rPr>
          <w:rFonts w:ascii="Arial" w:eastAsia="Times New Roman" w:hAnsi="Arial" w:cs="Arial"/>
          <w:b/>
          <w:bCs/>
          <w:sz w:val="24"/>
          <w:szCs w:val="24"/>
          <w:lang w:eastAsia="en-GB"/>
        </w:rPr>
      </w:pPr>
    </w:p>
    <w:p w14:paraId="3AE288D7" w14:textId="77777777" w:rsidR="008732DC" w:rsidRPr="002E3AA1" w:rsidRDefault="008732DC" w:rsidP="008732DC">
      <w:pPr>
        <w:spacing w:after="0" w:line="216" w:lineRule="auto"/>
        <w:contextualSpacing/>
        <w:rPr>
          <w:rFonts w:ascii="Arial" w:eastAsia="+mn-ea" w:hAnsi="Arial" w:cs="Arial"/>
          <w:color w:val="000000"/>
          <w:kern w:val="24"/>
          <w:sz w:val="24"/>
          <w:szCs w:val="24"/>
          <w:lang w:eastAsia="en-GB"/>
        </w:rPr>
      </w:pPr>
      <w:r w:rsidRPr="002E3AA1">
        <w:rPr>
          <w:rFonts w:ascii="Arial" w:eastAsia="+mn-ea" w:hAnsi="Arial" w:cs="Arial"/>
          <w:color w:val="000000"/>
          <w:kern w:val="24"/>
          <w:sz w:val="24"/>
          <w:szCs w:val="24"/>
          <w:lang w:eastAsia="en-GB"/>
        </w:rPr>
        <w:t>The NTCA Devolution deal sets out £600m of investment over 30 years to deliver:</w:t>
      </w:r>
    </w:p>
    <w:p w14:paraId="1FA86EC8" w14:textId="77777777" w:rsidR="008732DC" w:rsidRPr="002E3AA1" w:rsidRDefault="008732DC" w:rsidP="008732DC">
      <w:pPr>
        <w:spacing w:after="0" w:line="216" w:lineRule="auto"/>
        <w:contextualSpacing/>
        <w:rPr>
          <w:rFonts w:ascii="Arial" w:eastAsia="Times New Roman" w:hAnsi="Arial" w:cs="Arial"/>
          <w:sz w:val="24"/>
          <w:szCs w:val="24"/>
          <w:lang w:eastAsia="en-GB"/>
        </w:rPr>
      </w:pPr>
    </w:p>
    <w:p w14:paraId="1BAEBDDC" w14:textId="77777777" w:rsidR="008732DC" w:rsidRPr="002E3AA1" w:rsidRDefault="008732DC" w:rsidP="008732DC">
      <w:pPr>
        <w:pStyle w:val="ListParagraph"/>
        <w:numPr>
          <w:ilvl w:val="0"/>
          <w:numId w:val="13"/>
        </w:numPr>
        <w:spacing w:after="0" w:line="216" w:lineRule="auto"/>
        <w:rPr>
          <w:rFonts w:ascii="Arial" w:eastAsia="Times New Roman" w:hAnsi="Arial" w:cs="Arial"/>
          <w:sz w:val="24"/>
          <w:szCs w:val="24"/>
          <w:lang w:eastAsia="en-GB"/>
        </w:rPr>
      </w:pPr>
      <w:r w:rsidRPr="002E3AA1">
        <w:rPr>
          <w:rFonts w:ascii="Arial" w:eastAsia="+mn-ea" w:hAnsi="Arial" w:cs="Arial"/>
          <w:color w:val="000000"/>
          <w:kern w:val="24"/>
          <w:sz w:val="24"/>
          <w:szCs w:val="24"/>
          <w:lang w:eastAsia="en-GB"/>
        </w:rPr>
        <w:t xml:space="preserve">£2.1bn private sector leverage </w:t>
      </w:r>
    </w:p>
    <w:p w14:paraId="19B6542D" w14:textId="77777777" w:rsidR="008732DC" w:rsidRPr="002E3AA1" w:rsidRDefault="008732DC" w:rsidP="008732DC">
      <w:pPr>
        <w:pStyle w:val="ListParagraph"/>
        <w:numPr>
          <w:ilvl w:val="0"/>
          <w:numId w:val="13"/>
        </w:numPr>
        <w:spacing w:after="0" w:line="216" w:lineRule="auto"/>
        <w:rPr>
          <w:rFonts w:ascii="Arial" w:eastAsia="Times New Roman" w:hAnsi="Arial" w:cs="Arial"/>
          <w:sz w:val="24"/>
          <w:szCs w:val="24"/>
          <w:lang w:eastAsia="en-GB"/>
        </w:rPr>
      </w:pPr>
      <w:r w:rsidRPr="002E3AA1">
        <w:rPr>
          <w:rFonts w:ascii="Arial" w:eastAsia="+mn-ea" w:hAnsi="Arial" w:cs="Arial"/>
          <w:color w:val="000000"/>
          <w:kern w:val="24"/>
          <w:sz w:val="24"/>
          <w:szCs w:val="24"/>
          <w:lang w:eastAsia="en-GB"/>
        </w:rPr>
        <w:lastRenderedPageBreak/>
        <w:t xml:space="preserve">£1.1bn GVA increase </w:t>
      </w:r>
    </w:p>
    <w:p w14:paraId="02C7FF1E" w14:textId="77777777" w:rsidR="008732DC" w:rsidRPr="002E3AA1" w:rsidRDefault="008732DC" w:rsidP="008732DC">
      <w:pPr>
        <w:pStyle w:val="ListParagraph"/>
        <w:numPr>
          <w:ilvl w:val="0"/>
          <w:numId w:val="13"/>
        </w:numPr>
        <w:spacing w:after="0" w:line="216" w:lineRule="auto"/>
        <w:rPr>
          <w:rFonts w:ascii="Arial" w:eastAsia="Times New Roman" w:hAnsi="Arial" w:cs="Arial"/>
          <w:sz w:val="24"/>
          <w:szCs w:val="24"/>
          <w:lang w:eastAsia="en-GB"/>
        </w:rPr>
      </w:pPr>
      <w:r w:rsidRPr="002E3AA1">
        <w:rPr>
          <w:rFonts w:ascii="Arial" w:eastAsia="+mn-ea" w:hAnsi="Arial" w:cs="Arial"/>
          <w:color w:val="000000"/>
          <w:kern w:val="24"/>
          <w:sz w:val="24"/>
          <w:szCs w:val="24"/>
          <w:lang w:eastAsia="en-GB"/>
        </w:rPr>
        <w:t>10,000 new jobs over 30 years</w:t>
      </w:r>
    </w:p>
    <w:p w14:paraId="4D92E14A" w14:textId="77777777" w:rsidR="008732DC" w:rsidRDefault="008732DC" w:rsidP="008732DC">
      <w:pPr>
        <w:spacing w:after="0" w:line="216" w:lineRule="auto"/>
        <w:rPr>
          <w:rFonts w:ascii="Arial" w:eastAsia="Times New Roman" w:hAnsi="Arial" w:cs="Arial"/>
          <w:lang w:eastAsia="en-GB"/>
        </w:rPr>
      </w:pPr>
    </w:p>
    <w:p w14:paraId="16D9A0FD" w14:textId="77777777" w:rsidR="008732DC" w:rsidRDefault="008732DC" w:rsidP="008732DC">
      <w:pPr>
        <w:spacing w:after="0" w:line="216" w:lineRule="auto"/>
        <w:rPr>
          <w:rFonts w:ascii="Arial" w:eastAsia="Times New Roman" w:hAnsi="Arial" w:cs="Arial"/>
          <w:lang w:eastAsia="en-GB"/>
        </w:rPr>
      </w:pPr>
    </w:p>
    <w:p w14:paraId="3601D0DE" w14:textId="77777777" w:rsidR="008732DC" w:rsidRPr="002E3AA1" w:rsidRDefault="008732DC" w:rsidP="008732DC">
      <w:pPr>
        <w:spacing w:after="0" w:line="216" w:lineRule="auto"/>
        <w:rPr>
          <w:rFonts w:ascii="Arial" w:eastAsia="Times New Roman" w:hAnsi="Arial" w:cs="Arial"/>
          <w:sz w:val="24"/>
          <w:szCs w:val="24"/>
          <w:lang w:eastAsia="en-GB"/>
        </w:rPr>
      </w:pPr>
      <w:r w:rsidRPr="002E3AA1">
        <w:rPr>
          <w:rFonts w:ascii="Arial" w:eastAsia="Times New Roman" w:hAnsi="Arial" w:cs="Arial"/>
          <w:sz w:val="24"/>
          <w:szCs w:val="24"/>
          <w:lang w:eastAsia="en-GB"/>
        </w:rPr>
        <w:t xml:space="preserve">Research commissioned by the NTCA provided some broad parameters for unit costs based on the available evidence. </w:t>
      </w:r>
    </w:p>
    <w:p w14:paraId="7EB6AF02" w14:textId="77777777" w:rsidR="008732DC" w:rsidRPr="002E3AA1" w:rsidRDefault="008732DC" w:rsidP="008732DC">
      <w:pPr>
        <w:spacing w:after="0" w:line="216" w:lineRule="auto"/>
        <w:rPr>
          <w:rFonts w:ascii="Arial" w:eastAsia="Times New Roman" w:hAnsi="Arial" w:cs="Arial"/>
          <w:sz w:val="24"/>
          <w:szCs w:val="24"/>
          <w:lang w:eastAsia="en-GB"/>
        </w:rPr>
      </w:pPr>
      <w:r w:rsidRPr="00743AAC">
        <w:rPr>
          <w:rFonts w:ascii="Arial" w:eastAsia="Times New Roman" w:hAnsi="Arial" w:cs="Arial"/>
          <w:noProof/>
          <w:lang w:eastAsia="en-GB"/>
        </w:rPr>
        <w:drawing>
          <wp:inline distT="0" distB="0" distL="0" distR="0" wp14:anchorId="538ECDED" wp14:editId="75E74099">
            <wp:extent cx="6585498" cy="1948070"/>
            <wp:effectExtent l="0" t="0" r="6350" b="0"/>
            <wp:docPr id="4" name="table">
              <a:extLst xmlns:a="http://schemas.openxmlformats.org/drawingml/2006/main">
                <a:ext uri="{FF2B5EF4-FFF2-40B4-BE49-F238E27FC236}">
                  <a16:creationId xmlns:a16="http://schemas.microsoft.com/office/drawing/2014/main" id="{44FF92C1-4D85-4A9E-B949-6C9BFA1BD5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44FF92C1-4D85-4A9E-B949-6C9BFA1BD523}"/>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85498" cy="1948070"/>
                    </a:xfrm>
                    <a:prstGeom prst="rect">
                      <a:avLst/>
                    </a:prstGeom>
                  </pic:spPr>
                </pic:pic>
              </a:graphicData>
            </a:graphic>
          </wp:inline>
        </w:drawing>
      </w:r>
    </w:p>
    <w:p w14:paraId="4164E22D" w14:textId="77777777" w:rsidR="008732DC" w:rsidRDefault="008732DC" w:rsidP="008732DC">
      <w:pPr>
        <w:spacing w:after="0" w:line="216" w:lineRule="auto"/>
        <w:rPr>
          <w:rFonts w:ascii="Arial" w:eastAsia="Times New Roman" w:hAnsi="Arial" w:cs="Arial"/>
          <w:lang w:eastAsia="en-GB"/>
        </w:rPr>
      </w:pPr>
      <w:r>
        <w:rPr>
          <w:rFonts w:ascii="Arial" w:eastAsia="Times New Roman" w:hAnsi="Arial" w:cs="Arial"/>
          <w:lang w:eastAsia="en-GB"/>
        </w:rPr>
        <w:t xml:space="preserve"> </w:t>
      </w:r>
    </w:p>
    <w:p w14:paraId="202B12EB" w14:textId="77777777" w:rsidR="00862221" w:rsidRDefault="00862221" w:rsidP="008732DC">
      <w:pPr>
        <w:rPr>
          <w:rFonts w:ascii="Arial" w:eastAsia="Times New Roman" w:hAnsi="Arial" w:cs="Arial"/>
          <w:lang w:eastAsia="en-GB"/>
        </w:rPr>
      </w:pPr>
    </w:p>
    <w:p w14:paraId="03B5A45F" w14:textId="6D458C7A" w:rsidR="008732DC" w:rsidRPr="00911553" w:rsidRDefault="008732DC" w:rsidP="008732DC">
      <w:pPr>
        <w:rPr>
          <w:rFonts w:ascii="Arial" w:hAnsi="Arial" w:cs="Arial"/>
          <w:color w:val="000000" w:themeColor="text1"/>
          <w:kern w:val="24"/>
        </w:rPr>
      </w:pPr>
      <w:r w:rsidRPr="00911553">
        <w:rPr>
          <w:rFonts w:ascii="Arial" w:hAnsi="Arial" w:cs="Arial"/>
          <w:color w:val="000000" w:themeColor="text1"/>
          <w:kern w:val="24"/>
        </w:rPr>
        <w:t xml:space="preserve">The values in the above table are </w:t>
      </w:r>
      <w:r>
        <w:rPr>
          <w:rFonts w:ascii="Arial" w:hAnsi="Arial" w:cs="Arial"/>
          <w:color w:val="000000" w:themeColor="text1"/>
          <w:kern w:val="24"/>
        </w:rPr>
        <w:t>derived from</w:t>
      </w:r>
      <w:r w:rsidRPr="00911553">
        <w:rPr>
          <w:rFonts w:ascii="Arial" w:hAnsi="Arial" w:cs="Arial"/>
          <w:color w:val="000000" w:themeColor="text1"/>
          <w:kern w:val="24"/>
        </w:rPr>
        <w:t xml:space="preserve"> a range of sources including </w:t>
      </w:r>
      <w:r>
        <w:rPr>
          <w:rFonts w:ascii="Arial" w:hAnsi="Arial" w:cs="Arial"/>
          <w:color w:val="000000" w:themeColor="text1"/>
          <w:kern w:val="24"/>
        </w:rPr>
        <w:t xml:space="preserve">previous </w:t>
      </w:r>
      <w:r w:rsidRPr="00911553">
        <w:rPr>
          <w:rFonts w:ascii="Arial" w:hAnsi="Arial" w:cs="Arial"/>
          <w:color w:val="000000" w:themeColor="text1"/>
          <w:kern w:val="24"/>
        </w:rPr>
        <w:t>evaluations by the Homes and Communities Agency</w:t>
      </w:r>
      <w:r>
        <w:rPr>
          <w:rFonts w:ascii="Arial" w:hAnsi="Arial" w:cs="Arial"/>
          <w:color w:val="000000" w:themeColor="text1"/>
          <w:kern w:val="24"/>
        </w:rPr>
        <w:t>,</w:t>
      </w:r>
      <w:r w:rsidRPr="00911553">
        <w:rPr>
          <w:rFonts w:ascii="Arial" w:hAnsi="Arial" w:cs="Arial"/>
          <w:color w:val="000000" w:themeColor="text1"/>
          <w:kern w:val="24"/>
        </w:rPr>
        <w:t xml:space="preserve"> guidance</w:t>
      </w:r>
      <w:r>
        <w:rPr>
          <w:rFonts w:ascii="Arial" w:hAnsi="Arial" w:cs="Arial"/>
          <w:color w:val="000000" w:themeColor="text1"/>
          <w:kern w:val="24"/>
        </w:rPr>
        <w:t xml:space="preserve"> provided by</w:t>
      </w:r>
      <w:r w:rsidRPr="00911553" w:rsidDel="004C745F">
        <w:rPr>
          <w:rFonts w:ascii="Arial" w:hAnsi="Arial" w:cs="Arial"/>
          <w:color w:val="000000" w:themeColor="text1"/>
          <w:kern w:val="24"/>
        </w:rPr>
        <w:t xml:space="preserve"> </w:t>
      </w:r>
      <w:r>
        <w:rPr>
          <w:rFonts w:ascii="Arial" w:hAnsi="Arial" w:cs="Arial"/>
          <w:color w:val="000000" w:themeColor="text1"/>
          <w:kern w:val="24"/>
        </w:rPr>
        <w:t>Housing,</w:t>
      </w:r>
      <w:r w:rsidRPr="00911553">
        <w:rPr>
          <w:rFonts w:ascii="Arial" w:hAnsi="Arial" w:cs="Arial"/>
          <w:color w:val="000000" w:themeColor="text1"/>
          <w:kern w:val="24"/>
        </w:rPr>
        <w:t xml:space="preserve"> Communities and Local Government, with adjustments made to reflect the increased focus on value for money. The costs for providing support to claimants are based on the New Economy Unit Cost Model.</w:t>
      </w:r>
    </w:p>
    <w:p w14:paraId="7DFA0D34" w14:textId="6A6F86AF" w:rsidR="00EF5127" w:rsidRDefault="008732DC" w:rsidP="008732DC">
      <w:pPr>
        <w:rPr>
          <w:lang w:eastAsia="en-GB"/>
        </w:rPr>
      </w:pPr>
      <w:r w:rsidRPr="00911553">
        <w:rPr>
          <w:rFonts w:ascii="Arial" w:hAnsi="Arial" w:cs="Arial"/>
          <w:color w:val="000000" w:themeColor="text1"/>
          <w:kern w:val="24"/>
        </w:rPr>
        <w:t>The NTCA is open to other robust sources of evidence to support unit costs and assumptions relating to economic impact</w:t>
      </w:r>
      <w:r>
        <w:rPr>
          <w:rFonts w:ascii="Arial" w:hAnsi="Arial" w:cs="Arial"/>
          <w:color w:val="000000" w:themeColor="text1"/>
          <w:kern w:val="24"/>
        </w:rPr>
        <w:t>.</w:t>
      </w:r>
      <w:r w:rsidRPr="00911553">
        <w:rPr>
          <w:rFonts w:ascii="Arial" w:hAnsi="Arial" w:cs="Arial"/>
          <w:color w:val="000000" w:themeColor="text1"/>
          <w:kern w:val="24"/>
        </w:rPr>
        <w:t xml:space="preserve"> </w:t>
      </w:r>
      <w:r>
        <w:rPr>
          <w:rFonts w:ascii="Arial" w:hAnsi="Arial" w:cs="Arial"/>
          <w:color w:val="000000" w:themeColor="text1"/>
          <w:kern w:val="24"/>
        </w:rPr>
        <w:t>Projects should supply robust evidence justifying any assumptions</w:t>
      </w:r>
      <w:r w:rsidRPr="00911553">
        <w:rPr>
          <w:rFonts w:ascii="Arial" w:hAnsi="Arial" w:cs="Arial"/>
          <w:color w:val="000000" w:themeColor="text1"/>
          <w:kern w:val="24"/>
        </w:rPr>
        <w:t>.</w:t>
      </w:r>
    </w:p>
    <w:p w14:paraId="4887CD71" w14:textId="77777777" w:rsidR="00EF5127" w:rsidRDefault="00EF5127" w:rsidP="00B24804">
      <w:pPr>
        <w:rPr>
          <w:lang w:eastAsia="en-GB"/>
        </w:rPr>
      </w:pPr>
    </w:p>
    <w:p w14:paraId="47D7C975" w14:textId="77777777" w:rsidR="00F32E7F" w:rsidRDefault="00F32E7F" w:rsidP="00B24804">
      <w:pPr>
        <w:rPr>
          <w:lang w:eastAsia="en-GB"/>
        </w:rPr>
      </w:pPr>
    </w:p>
    <w:p w14:paraId="0FED007C" w14:textId="77777777" w:rsidR="00586945" w:rsidRDefault="00586945" w:rsidP="00B24804">
      <w:pPr>
        <w:rPr>
          <w:lang w:eastAsia="en-GB"/>
        </w:rPr>
      </w:pPr>
    </w:p>
    <w:p w14:paraId="17B586A7" w14:textId="77777777" w:rsidR="00586945" w:rsidRDefault="00586945" w:rsidP="00B24804">
      <w:pPr>
        <w:rPr>
          <w:lang w:eastAsia="en-GB"/>
        </w:rPr>
      </w:pPr>
    </w:p>
    <w:p w14:paraId="2CE58478" w14:textId="77777777" w:rsidR="00586945" w:rsidRDefault="00586945" w:rsidP="00B24804">
      <w:pPr>
        <w:rPr>
          <w:lang w:eastAsia="en-GB"/>
        </w:rPr>
      </w:pPr>
    </w:p>
    <w:p w14:paraId="346FBD56" w14:textId="77777777" w:rsidR="00586945" w:rsidRDefault="00586945" w:rsidP="00B24804">
      <w:pPr>
        <w:rPr>
          <w:lang w:eastAsia="en-GB"/>
        </w:rPr>
      </w:pPr>
    </w:p>
    <w:p w14:paraId="73BEB9A9" w14:textId="77777777" w:rsidR="00586945" w:rsidRDefault="00586945" w:rsidP="00B24804">
      <w:pPr>
        <w:rPr>
          <w:lang w:eastAsia="en-GB"/>
        </w:rPr>
      </w:pPr>
    </w:p>
    <w:p w14:paraId="1E666908" w14:textId="77777777" w:rsidR="008732DC" w:rsidRDefault="008732DC">
      <w:pPr>
        <w:rPr>
          <w:rFonts w:ascii="Arial" w:eastAsia="Times New Roman" w:hAnsi="Arial" w:cs="Arial"/>
          <w:b/>
          <w:bCs/>
          <w:sz w:val="24"/>
          <w:szCs w:val="24"/>
          <w:lang w:eastAsia="en-GB"/>
        </w:rPr>
      </w:pPr>
      <w:bookmarkStart w:id="12" w:name="_Toc84450586"/>
      <w:r>
        <w:br w:type="page"/>
      </w:r>
    </w:p>
    <w:p w14:paraId="0B237A8D" w14:textId="54BE2A37" w:rsidR="00A71F7B" w:rsidRPr="00CE68F9" w:rsidRDefault="00586945" w:rsidP="002378DD">
      <w:pPr>
        <w:pStyle w:val="Heading1"/>
      </w:pPr>
      <w:r>
        <w:lastRenderedPageBreak/>
        <w:t xml:space="preserve">Annex </w:t>
      </w:r>
      <w:r w:rsidR="009E1F96">
        <w:t>A</w:t>
      </w:r>
      <w:r>
        <w:t xml:space="preserve"> - </w:t>
      </w:r>
      <w:r w:rsidR="001775D2">
        <w:t>Funding</w:t>
      </w:r>
      <w:r w:rsidR="00A71F7B" w:rsidRPr="00CE68F9">
        <w:t xml:space="preserve"> Parameters</w:t>
      </w:r>
      <w:bookmarkEnd w:id="12"/>
    </w:p>
    <w:p w14:paraId="6B21196F" w14:textId="77777777" w:rsidR="00A71F7B" w:rsidRPr="00CE68F9" w:rsidRDefault="00A71F7B" w:rsidP="00A71F7B">
      <w:pPr>
        <w:spacing w:after="0" w:line="240" w:lineRule="auto"/>
        <w:ind w:left="708"/>
        <w:jc w:val="both"/>
        <w:rPr>
          <w:rFonts w:ascii="Arial" w:eastAsia="Batang" w:hAnsi="Arial" w:cs="Arial"/>
          <w:b/>
          <w:sz w:val="24"/>
          <w:szCs w:val="24"/>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3"/>
        <w:gridCol w:w="8505"/>
      </w:tblGrid>
      <w:tr w:rsidR="001F5B2F" w:rsidRPr="00CE68F9" w14:paraId="0E660B07"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1406B154" w14:textId="77777777" w:rsidR="001F5B2F" w:rsidRPr="00CE68F9" w:rsidRDefault="001F5B2F" w:rsidP="005E739D">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Funding Priorities </w:t>
            </w:r>
          </w:p>
        </w:tc>
        <w:tc>
          <w:tcPr>
            <w:tcW w:w="8505" w:type="dxa"/>
            <w:tcBorders>
              <w:top w:val="single" w:sz="4" w:space="0" w:color="000000"/>
              <w:left w:val="single" w:sz="4" w:space="0" w:color="000000"/>
              <w:bottom w:val="single" w:sz="4" w:space="0" w:color="000000"/>
              <w:right w:val="single" w:sz="4" w:space="0" w:color="000000"/>
            </w:tcBorders>
          </w:tcPr>
          <w:p w14:paraId="3565E6D1" w14:textId="51412B70" w:rsidR="00B24804" w:rsidRDefault="00B24804" w:rsidP="00B24804">
            <w:pPr>
              <w:pStyle w:val="paragraph"/>
              <w:spacing w:before="0" w:beforeAutospacing="0" w:after="0" w:afterAutospacing="0"/>
              <w:textAlignment w:val="baseline"/>
              <w:rPr>
                <w:rFonts w:ascii="Arial" w:hAnsi="Arial" w:cs="Arial"/>
              </w:rPr>
            </w:pPr>
            <w:r w:rsidRPr="00EE41BB">
              <w:rPr>
                <w:rFonts w:ascii="Arial" w:hAnsi="Arial" w:cs="Arial"/>
              </w:rPr>
              <w:t xml:space="preserve">We </w:t>
            </w:r>
            <w:r>
              <w:rPr>
                <w:rFonts w:ascii="Arial" w:hAnsi="Arial" w:cs="Arial"/>
              </w:rPr>
              <w:t xml:space="preserve">are interested in </w:t>
            </w:r>
            <w:r w:rsidRPr="00EE41BB">
              <w:rPr>
                <w:rFonts w:ascii="Arial" w:hAnsi="Arial" w:cs="Arial"/>
              </w:rPr>
              <w:t xml:space="preserve">innovative proposals that </w:t>
            </w:r>
            <w:r>
              <w:rPr>
                <w:rFonts w:ascii="Arial" w:hAnsi="Arial" w:cs="Arial"/>
              </w:rPr>
              <w:t>equip people of all ages and backgrounds to develop skills for jobs in the Culture, Creative and Tourism sector.</w:t>
            </w:r>
            <w:r w:rsidR="00EC12AB">
              <w:rPr>
                <w:rFonts w:ascii="Arial" w:hAnsi="Arial" w:cs="Arial"/>
              </w:rPr>
              <w:t xml:space="preserve"> </w:t>
            </w:r>
            <w:r>
              <w:rPr>
                <w:rFonts w:ascii="Arial" w:hAnsi="Arial" w:cs="Arial"/>
              </w:rPr>
              <w:t>Projects may offer structured career pathways into the sector, including new technical qualifications, apprenticeships and sector based routeways.</w:t>
            </w:r>
            <w:r w:rsidR="00EC12AB">
              <w:rPr>
                <w:rFonts w:ascii="Arial" w:hAnsi="Arial" w:cs="Arial"/>
              </w:rPr>
              <w:t xml:space="preserve"> </w:t>
            </w:r>
          </w:p>
          <w:p w14:paraId="2154BE7D" w14:textId="77777777" w:rsidR="00B24804" w:rsidRDefault="00B24804" w:rsidP="00B24804">
            <w:pPr>
              <w:pStyle w:val="paragraph"/>
              <w:spacing w:before="0" w:beforeAutospacing="0" w:after="0" w:afterAutospacing="0"/>
              <w:textAlignment w:val="baseline"/>
              <w:rPr>
                <w:rFonts w:ascii="Arial" w:hAnsi="Arial" w:cs="Arial"/>
              </w:rPr>
            </w:pPr>
          </w:p>
          <w:p w14:paraId="40F7B61E" w14:textId="00523F49" w:rsidR="00704198" w:rsidRDefault="00B24804" w:rsidP="00B24804">
            <w:pPr>
              <w:pStyle w:val="Default"/>
              <w:jc w:val="both"/>
              <w:rPr>
                <w:rFonts w:eastAsia="Times New Roman"/>
                <w:color w:val="0B0C0C"/>
                <w:shd w:val="clear" w:color="auto" w:fill="FFFFFF"/>
                <w:lang w:eastAsia="en-GB"/>
              </w:rPr>
            </w:pPr>
            <w:r w:rsidRPr="00297041">
              <w:t xml:space="preserve">Projects may also support </w:t>
            </w:r>
            <w:r w:rsidRPr="00E214A9">
              <w:rPr>
                <w:rFonts w:eastAsia="Times New Roman"/>
                <w:lang w:eastAsia="en-GB"/>
              </w:rPr>
              <w:t xml:space="preserve">retraining, upskilling or reskilling members of the </w:t>
            </w:r>
            <w:r>
              <w:t xml:space="preserve">Creative, Culture and Tourism </w:t>
            </w:r>
            <w:r w:rsidRPr="00E214A9">
              <w:rPr>
                <w:rFonts w:eastAsia="Times New Roman"/>
                <w:lang w:eastAsia="en-GB"/>
              </w:rPr>
              <w:t>workforce to meet the needs of a local employer or sector</w:t>
            </w:r>
            <w:r>
              <w:t>.</w:t>
            </w:r>
            <w:r w:rsidR="00EC12AB">
              <w:t xml:space="preserve"> </w:t>
            </w:r>
            <w:r w:rsidR="00704198">
              <w:rPr>
                <w:rFonts w:eastAsia="Times New Roman"/>
                <w:color w:val="0B0C0C"/>
                <w:shd w:val="clear" w:color="auto" w:fill="FFFFFF"/>
                <w:lang w:eastAsia="en-GB"/>
              </w:rPr>
              <w:t xml:space="preserve">(See Section </w:t>
            </w:r>
            <w:r>
              <w:rPr>
                <w:rFonts w:eastAsia="Times New Roman"/>
                <w:color w:val="0B0C0C"/>
                <w:shd w:val="clear" w:color="auto" w:fill="FFFFFF"/>
                <w:lang w:eastAsia="en-GB"/>
              </w:rPr>
              <w:t>5</w:t>
            </w:r>
            <w:r w:rsidR="00704198">
              <w:rPr>
                <w:rFonts w:eastAsia="Times New Roman"/>
                <w:color w:val="0B0C0C"/>
                <w:shd w:val="clear" w:color="auto" w:fill="FFFFFF"/>
                <w:lang w:eastAsia="en-GB"/>
              </w:rPr>
              <w:t xml:space="preserve"> of this call document)</w:t>
            </w:r>
          </w:p>
          <w:p w14:paraId="286A3AFF" w14:textId="499A5690" w:rsidR="00B24804" w:rsidRPr="00CE68F9" w:rsidRDefault="00B24804" w:rsidP="00B24804">
            <w:pPr>
              <w:pStyle w:val="Default"/>
              <w:jc w:val="both"/>
            </w:pPr>
          </w:p>
        </w:tc>
      </w:tr>
      <w:tr w:rsidR="001F5B2F" w:rsidRPr="00CE68F9" w14:paraId="0DCA3A7C"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7BC1BC78" w14:textId="77777777" w:rsidR="001F5B2F" w:rsidRPr="00CE68F9" w:rsidRDefault="001F5B2F" w:rsidP="005E739D">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Focus</w:t>
            </w:r>
          </w:p>
        </w:tc>
        <w:tc>
          <w:tcPr>
            <w:tcW w:w="8505" w:type="dxa"/>
            <w:tcBorders>
              <w:top w:val="single" w:sz="4" w:space="0" w:color="000000"/>
              <w:left w:val="single" w:sz="4" w:space="0" w:color="000000"/>
              <w:bottom w:val="single" w:sz="4" w:space="0" w:color="000000"/>
              <w:right w:val="single" w:sz="4" w:space="0" w:color="000000"/>
            </w:tcBorders>
          </w:tcPr>
          <w:p w14:paraId="1BB003F4" w14:textId="39230EAB" w:rsidR="007E4CF7" w:rsidRPr="00CE68F9" w:rsidRDefault="007E4CF7" w:rsidP="007E4CF7">
            <w:pPr>
              <w:pStyle w:val="Default"/>
              <w:jc w:val="both"/>
            </w:pPr>
            <w:r>
              <w:t xml:space="preserve">This funding will support </w:t>
            </w:r>
            <w:r w:rsidRPr="006A6AD2">
              <w:t>skills</w:t>
            </w:r>
            <w:r>
              <w:t>/training</w:t>
            </w:r>
            <w:r w:rsidRPr="006A6AD2">
              <w:t xml:space="preserve"> activity that is </w:t>
            </w:r>
            <w:r w:rsidR="00B24804" w:rsidRPr="00D81ED1">
              <w:rPr>
                <w:rFonts w:eastAsia="Times New Roman"/>
              </w:rPr>
              <w:t xml:space="preserve">where possible, </w:t>
            </w:r>
            <w:r w:rsidR="00B24804">
              <w:rPr>
                <w:rFonts w:eastAsia="Times New Roman"/>
              </w:rPr>
              <w:t>employer</w:t>
            </w:r>
            <w:r w:rsidR="00B24804" w:rsidRPr="00D81ED1">
              <w:rPr>
                <w:rFonts w:eastAsia="Times New Roman"/>
              </w:rPr>
              <w:t xml:space="preserve"> led or backed</w:t>
            </w:r>
            <w:r w:rsidR="00B24804" w:rsidRPr="006A6AD2">
              <w:t xml:space="preserve"> </w:t>
            </w:r>
            <w:r w:rsidRPr="006A6AD2">
              <w:t>explicitly</w:t>
            </w:r>
            <w:r w:rsidR="00B24804">
              <w:t xml:space="preserve">. </w:t>
            </w:r>
            <w:r>
              <w:t xml:space="preserve">We are seeking innovation in provision; this could include non-accredited training and support and/or accredited programmes </w:t>
            </w:r>
            <w:r w:rsidRPr="00CE68F9">
              <w:t xml:space="preserve">to address the high-level and technical skills needs of </w:t>
            </w:r>
            <w:r>
              <w:t xml:space="preserve">the </w:t>
            </w:r>
            <w:r w:rsidR="00B24804">
              <w:t>Culture &amp; Creative sector.</w:t>
            </w:r>
          </w:p>
          <w:p w14:paraId="34D295D1" w14:textId="306149AB" w:rsidR="001F5B2F" w:rsidRPr="007E4CF7" w:rsidRDefault="001F5B2F" w:rsidP="007E4CF7">
            <w:pPr>
              <w:spacing w:after="0" w:line="240" w:lineRule="auto"/>
              <w:jc w:val="both"/>
              <w:rPr>
                <w:rFonts w:ascii="Arial" w:hAnsi="Arial" w:cs="Arial"/>
                <w:sz w:val="24"/>
                <w:szCs w:val="24"/>
              </w:rPr>
            </w:pPr>
          </w:p>
        </w:tc>
      </w:tr>
      <w:tr w:rsidR="007E4CF7" w:rsidRPr="00CE68F9" w14:paraId="759D82FB"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006EAF5A" w14:textId="74C14047" w:rsidR="007E4CF7" w:rsidRPr="00CE68F9" w:rsidRDefault="007E4CF7" w:rsidP="007E4CF7">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Geographical Scope </w:t>
            </w:r>
          </w:p>
        </w:tc>
        <w:tc>
          <w:tcPr>
            <w:tcW w:w="8505" w:type="dxa"/>
            <w:tcBorders>
              <w:top w:val="single" w:sz="4" w:space="0" w:color="000000"/>
              <w:left w:val="single" w:sz="4" w:space="0" w:color="000000"/>
              <w:bottom w:val="single" w:sz="4" w:space="0" w:color="000000"/>
              <w:right w:val="single" w:sz="4" w:space="0" w:color="000000"/>
            </w:tcBorders>
          </w:tcPr>
          <w:p w14:paraId="3149C1D3" w14:textId="376C3DFF" w:rsidR="007E4CF7" w:rsidRDefault="007E4CF7" w:rsidP="007E4CF7">
            <w:pPr>
              <w:pStyle w:val="Default"/>
              <w:jc w:val="both"/>
            </w:pPr>
            <w:r w:rsidRPr="00CE68F9">
              <w:rPr>
                <w:rFonts w:eastAsia="Arial"/>
              </w:rPr>
              <w:t xml:space="preserve">All interventions should be focused on activity within the North of Tyne </w:t>
            </w:r>
            <w:r>
              <w:rPr>
                <w:rFonts w:eastAsia="Arial"/>
              </w:rPr>
              <w:t xml:space="preserve">Combined Authority </w:t>
            </w:r>
            <w:r w:rsidRPr="00CE68F9">
              <w:rPr>
                <w:rFonts w:eastAsia="Arial"/>
              </w:rPr>
              <w:t>area</w:t>
            </w:r>
            <w:r>
              <w:rPr>
                <w:rFonts w:eastAsia="Arial"/>
              </w:rPr>
              <w:t>.</w:t>
            </w:r>
          </w:p>
        </w:tc>
      </w:tr>
      <w:tr w:rsidR="007E4CF7" w:rsidRPr="00CE68F9" w14:paraId="5E5A4AC3"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22326C6F" w14:textId="16B18CF1" w:rsidR="007E4CF7" w:rsidRPr="00CE68F9" w:rsidRDefault="007E4CF7" w:rsidP="009E1F96">
            <w:pPr>
              <w:pBdr>
                <w:top w:val="nil"/>
                <w:left w:val="nil"/>
                <w:bottom w:val="nil"/>
                <w:right w:val="nil"/>
                <w:between w:val="nil"/>
              </w:pBdr>
              <w:rPr>
                <w:rFonts w:ascii="Arial" w:eastAsia="Arial" w:hAnsi="Arial" w:cs="Arial"/>
                <w:b/>
                <w:color w:val="000000"/>
                <w:sz w:val="24"/>
                <w:szCs w:val="24"/>
              </w:rPr>
            </w:pPr>
            <w:bookmarkStart w:id="13" w:name="_30j0zll" w:colFirst="0" w:colLast="0"/>
            <w:bookmarkEnd w:id="13"/>
            <w:r w:rsidRPr="00CE68F9">
              <w:rPr>
                <w:rFonts w:ascii="Arial" w:eastAsia="Arial" w:hAnsi="Arial" w:cs="Arial"/>
                <w:b/>
                <w:color w:val="000000"/>
                <w:sz w:val="24"/>
                <w:szCs w:val="24"/>
              </w:rPr>
              <w:t>Dates</w:t>
            </w:r>
            <w:r w:rsidR="002A117C">
              <w:rPr>
                <w:rFonts w:ascii="Arial" w:eastAsia="Arial" w:hAnsi="Arial" w:cs="Arial"/>
                <w:b/>
                <w:color w:val="000000"/>
                <w:sz w:val="24"/>
                <w:szCs w:val="24"/>
              </w:rPr>
              <w:t xml:space="preserve"> &amp; Deadlines</w:t>
            </w:r>
          </w:p>
        </w:tc>
        <w:tc>
          <w:tcPr>
            <w:tcW w:w="8505" w:type="dxa"/>
            <w:tcBorders>
              <w:top w:val="single" w:sz="4" w:space="0" w:color="000000"/>
              <w:left w:val="single" w:sz="4" w:space="0" w:color="000000"/>
              <w:bottom w:val="single" w:sz="4" w:space="0" w:color="000000"/>
              <w:right w:val="single" w:sz="4" w:space="0" w:color="000000"/>
            </w:tcBorders>
          </w:tcPr>
          <w:p w14:paraId="4F8DEF11" w14:textId="77777777" w:rsidR="001775D2" w:rsidRPr="00C17981" w:rsidRDefault="001775D2" w:rsidP="001775D2">
            <w:pPr>
              <w:pStyle w:val="Default"/>
              <w:rPr>
                <w:color w:val="auto"/>
              </w:rPr>
            </w:pPr>
          </w:p>
          <w:p w14:paraId="09CC1315" w14:textId="25ECF160" w:rsidR="00F43D04" w:rsidRDefault="007E4CF7" w:rsidP="00B25421">
            <w:pPr>
              <w:pStyle w:val="Default"/>
              <w:numPr>
                <w:ilvl w:val="0"/>
                <w:numId w:val="48"/>
              </w:numPr>
              <w:rPr>
                <w:color w:val="auto"/>
              </w:rPr>
            </w:pPr>
            <w:r w:rsidRPr="00C17981">
              <w:rPr>
                <w:color w:val="auto"/>
              </w:rPr>
              <w:t xml:space="preserve">The first stage Expression of Interest </w:t>
            </w:r>
            <w:r w:rsidR="001775D2" w:rsidRPr="00C17981">
              <w:rPr>
                <w:color w:val="auto"/>
              </w:rPr>
              <w:t xml:space="preserve">(EOI) </w:t>
            </w:r>
            <w:r w:rsidRPr="00C17981">
              <w:rPr>
                <w:color w:val="auto"/>
              </w:rPr>
              <w:t xml:space="preserve">will open </w:t>
            </w:r>
            <w:r w:rsidR="00DF6AC1" w:rsidRPr="00C17981">
              <w:rPr>
                <w:color w:val="auto"/>
              </w:rPr>
              <w:t xml:space="preserve">on </w:t>
            </w:r>
            <w:r w:rsidR="00F43D04" w:rsidRPr="00C17981">
              <w:rPr>
                <w:color w:val="auto"/>
              </w:rPr>
              <w:t>15</w:t>
            </w:r>
            <w:r w:rsidR="00F43D04" w:rsidRPr="00C17981">
              <w:rPr>
                <w:color w:val="auto"/>
                <w:vertAlign w:val="superscript"/>
              </w:rPr>
              <w:t>th</w:t>
            </w:r>
            <w:r w:rsidR="00F43D04" w:rsidRPr="00C17981">
              <w:rPr>
                <w:color w:val="auto"/>
              </w:rPr>
              <w:t xml:space="preserve"> October 2021</w:t>
            </w:r>
            <w:r w:rsidR="00DF6AC1" w:rsidRPr="00C17981">
              <w:rPr>
                <w:color w:val="auto"/>
              </w:rPr>
              <w:t xml:space="preserve"> </w:t>
            </w:r>
            <w:r w:rsidRPr="00C17981">
              <w:rPr>
                <w:color w:val="auto"/>
              </w:rPr>
              <w:t>commencing</w:t>
            </w:r>
            <w:r w:rsidR="001775D2" w:rsidRPr="00C17981">
              <w:rPr>
                <w:color w:val="auto"/>
              </w:rPr>
              <w:t>.</w:t>
            </w:r>
          </w:p>
          <w:p w14:paraId="0DF4BD94" w14:textId="77777777" w:rsidR="00D86BA3" w:rsidRDefault="00D86BA3" w:rsidP="00D86BA3">
            <w:pPr>
              <w:pStyle w:val="Default"/>
              <w:ind w:left="720"/>
              <w:rPr>
                <w:color w:val="auto"/>
              </w:rPr>
            </w:pPr>
          </w:p>
          <w:p w14:paraId="30AB850E" w14:textId="40444E2C" w:rsidR="00D86BA3" w:rsidRPr="00C17981" w:rsidRDefault="00D86BA3" w:rsidP="00B25421">
            <w:pPr>
              <w:pStyle w:val="Default"/>
              <w:numPr>
                <w:ilvl w:val="0"/>
                <w:numId w:val="48"/>
              </w:numPr>
              <w:rPr>
                <w:color w:val="auto"/>
              </w:rPr>
            </w:pPr>
            <w:r>
              <w:rPr>
                <w:color w:val="auto"/>
              </w:rPr>
              <w:t xml:space="preserve">Virtual Q&amp;A Forum </w:t>
            </w:r>
            <w:r w:rsidR="005E4D64">
              <w:rPr>
                <w:color w:val="auto"/>
              </w:rPr>
              <w:t>–</w:t>
            </w:r>
            <w:r>
              <w:rPr>
                <w:color w:val="auto"/>
              </w:rPr>
              <w:t xml:space="preserve"> </w:t>
            </w:r>
            <w:r w:rsidR="005E4D64">
              <w:t>1-2.30pm</w:t>
            </w:r>
            <w:r>
              <w:t xml:space="preserve"> on </w:t>
            </w:r>
            <w:r w:rsidR="005E4D64">
              <w:t>Wednesday 27</w:t>
            </w:r>
            <w:r w:rsidR="005E4D64" w:rsidRPr="005E4D64">
              <w:rPr>
                <w:vertAlign w:val="superscript"/>
              </w:rPr>
              <w:t>th</w:t>
            </w:r>
            <w:r w:rsidR="005E4D64">
              <w:t xml:space="preserve"> </w:t>
            </w:r>
            <w:r>
              <w:t>October</w:t>
            </w:r>
          </w:p>
          <w:p w14:paraId="229E73C3" w14:textId="77777777" w:rsidR="00C17981" w:rsidRPr="00C17981" w:rsidRDefault="00C17981" w:rsidP="00C17981">
            <w:pPr>
              <w:pStyle w:val="Default"/>
              <w:rPr>
                <w:color w:val="auto"/>
              </w:rPr>
            </w:pPr>
          </w:p>
          <w:p w14:paraId="03769972" w14:textId="6DAC6695" w:rsidR="007E4CF7" w:rsidRPr="00C17981" w:rsidRDefault="001775D2" w:rsidP="00B25421">
            <w:pPr>
              <w:pStyle w:val="Default"/>
              <w:numPr>
                <w:ilvl w:val="0"/>
                <w:numId w:val="48"/>
              </w:numPr>
              <w:rPr>
                <w:color w:val="auto"/>
              </w:rPr>
            </w:pPr>
            <w:r w:rsidRPr="00C17981">
              <w:rPr>
                <w:color w:val="auto"/>
              </w:rPr>
              <w:t>EOIs will be accepted up to the closing date of</w:t>
            </w:r>
            <w:r w:rsidR="00F43D04" w:rsidRPr="00C17981">
              <w:rPr>
                <w:color w:val="auto"/>
              </w:rPr>
              <w:t xml:space="preserve"> midnight Sunday </w:t>
            </w:r>
            <w:r w:rsidR="00576E8C" w:rsidRPr="00C17981">
              <w:rPr>
                <w:color w:val="auto"/>
              </w:rPr>
              <w:t>21 November 2021.</w:t>
            </w:r>
            <w:r w:rsidR="009E1F96" w:rsidRPr="00C17981">
              <w:rPr>
                <w:color w:val="auto"/>
              </w:rPr>
              <w:t>).</w:t>
            </w:r>
          </w:p>
          <w:p w14:paraId="7803C753" w14:textId="77777777" w:rsidR="001775D2" w:rsidRPr="00C17981" w:rsidRDefault="001775D2" w:rsidP="001775D2">
            <w:pPr>
              <w:pStyle w:val="Default"/>
              <w:rPr>
                <w:color w:val="auto"/>
              </w:rPr>
            </w:pPr>
          </w:p>
          <w:p w14:paraId="440C13DF" w14:textId="09E86662" w:rsidR="001775D2" w:rsidRPr="00C17981" w:rsidRDefault="001775D2" w:rsidP="00B25421">
            <w:pPr>
              <w:pStyle w:val="Default"/>
              <w:numPr>
                <w:ilvl w:val="0"/>
                <w:numId w:val="48"/>
              </w:numPr>
              <w:rPr>
                <w:color w:val="auto"/>
              </w:rPr>
            </w:pPr>
            <w:r w:rsidRPr="00C17981">
              <w:rPr>
                <w:color w:val="auto"/>
              </w:rPr>
              <w:t>EOIs received after closing date will not be considered.</w:t>
            </w:r>
          </w:p>
          <w:p w14:paraId="0232C49D" w14:textId="77777777" w:rsidR="00662239" w:rsidRPr="00C17981" w:rsidRDefault="00662239" w:rsidP="00C62F21">
            <w:pPr>
              <w:pStyle w:val="ListParagraph"/>
            </w:pPr>
          </w:p>
          <w:p w14:paraId="1FE9EC7B" w14:textId="772AB893" w:rsidR="00662239" w:rsidRPr="00C17981" w:rsidRDefault="00662239" w:rsidP="00662239">
            <w:pPr>
              <w:pStyle w:val="Default"/>
              <w:numPr>
                <w:ilvl w:val="0"/>
                <w:numId w:val="48"/>
              </w:numPr>
              <w:rPr>
                <w:color w:val="auto"/>
              </w:rPr>
            </w:pPr>
            <w:r w:rsidRPr="00C17981">
              <w:rPr>
                <w:color w:val="auto"/>
              </w:rPr>
              <w:t xml:space="preserve">EOIs will be appraised week beginning </w:t>
            </w:r>
            <w:r w:rsidR="00576E8C" w:rsidRPr="00C17981">
              <w:rPr>
                <w:color w:val="auto"/>
              </w:rPr>
              <w:t>22</w:t>
            </w:r>
            <w:r w:rsidR="00576E8C" w:rsidRPr="00C17981">
              <w:rPr>
                <w:color w:val="auto"/>
                <w:vertAlign w:val="superscript"/>
              </w:rPr>
              <w:t>nd</w:t>
            </w:r>
            <w:r w:rsidR="00576E8C" w:rsidRPr="00C17981">
              <w:rPr>
                <w:color w:val="auto"/>
              </w:rPr>
              <w:t xml:space="preserve"> November 2021. </w:t>
            </w:r>
          </w:p>
          <w:p w14:paraId="6C21EEDE" w14:textId="77777777" w:rsidR="00662239" w:rsidRPr="00C17981" w:rsidRDefault="00662239" w:rsidP="00C62F21">
            <w:pPr>
              <w:pStyle w:val="ListParagraph"/>
            </w:pPr>
          </w:p>
          <w:p w14:paraId="4AE9B0DC" w14:textId="555102EC" w:rsidR="00662239" w:rsidRPr="00C17981" w:rsidRDefault="00662239" w:rsidP="00C62F21">
            <w:pPr>
              <w:pStyle w:val="Default"/>
              <w:rPr>
                <w:color w:val="auto"/>
              </w:rPr>
            </w:pPr>
            <w:r w:rsidRPr="00C17981">
              <w:rPr>
                <w:color w:val="auto"/>
              </w:rPr>
              <w:t xml:space="preserve">NTCA reserve the right to change these dates if necessary. </w:t>
            </w:r>
          </w:p>
          <w:p w14:paraId="4CCC8D6C" w14:textId="404849D6" w:rsidR="007E4CF7" w:rsidRPr="00CE68F9" w:rsidRDefault="007E4CF7" w:rsidP="000C1DFF">
            <w:pPr>
              <w:pStyle w:val="Default"/>
              <w:jc w:val="both"/>
            </w:pPr>
          </w:p>
        </w:tc>
      </w:tr>
      <w:tr w:rsidR="007E4CF7" w:rsidRPr="00CE68F9" w14:paraId="0955D10C"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48F31592" w14:textId="77777777" w:rsidR="007E4CF7" w:rsidRPr="00CE68F9" w:rsidRDefault="007E4CF7" w:rsidP="007E4CF7">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b/>
                <w:color w:val="000000"/>
                <w:sz w:val="24"/>
                <w:szCs w:val="24"/>
              </w:rPr>
              <w:t xml:space="preserve">Indicative Fund Allocation: </w:t>
            </w:r>
          </w:p>
        </w:tc>
        <w:tc>
          <w:tcPr>
            <w:tcW w:w="8505" w:type="dxa"/>
            <w:tcBorders>
              <w:top w:val="single" w:sz="4" w:space="0" w:color="000000"/>
              <w:left w:val="single" w:sz="4" w:space="0" w:color="000000"/>
              <w:bottom w:val="single" w:sz="4" w:space="0" w:color="000000"/>
              <w:right w:val="single" w:sz="4" w:space="0" w:color="000000"/>
            </w:tcBorders>
          </w:tcPr>
          <w:p w14:paraId="09CCB57F" w14:textId="03699AFE"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NTCA has agreed a</w:t>
            </w:r>
            <w:r w:rsidR="000C1DFF">
              <w:rPr>
                <w:rFonts w:ascii="Arial" w:eastAsia="Arial" w:hAnsi="Arial" w:cs="Arial"/>
                <w:color w:val="000000"/>
                <w:sz w:val="24"/>
                <w:szCs w:val="24"/>
              </w:rPr>
              <w:t>n indicative</w:t>
            </w:r>
            <w:r w:rsidRPr="00CE68F9">
              <w:rPr>
                <w:rFonts w:ascii="Arial" w:eastAsia="Arial" w:hAnsi="Arial" w:cs="Arial"/>
                <w:color w:val="000000"/>
                <w:sz w:val="24"/>
                <w:szCs w:val="24"/>
              </w:rPr>
              <w:t xml:space="preserve"> budget of £</w:t>
            </w:r>
            <w:r w:rsidR="00B25421">
              <w:rPr>
                <w:rFonts w:ascii="Arial" w:eastAsia="Arial" w:hAnsi="Arial" w:cs="Arial"/>
                <w:color w:val="000000"/>
                <w:sz w:val="24"/>
                <w:szCs w:val="24"/>
              </w:rPr>
              <w:t>1.25</w:t>
            </w:r>
            <w:r w:rsidRPr="00CE68F9">
              <w:rPr>
                <w:rFonts w:ascii="Arial" w:eastAsia="Arial" w:hAnsi="Arial" w:cs="Arial"/>
                <w:color w:val="000000"/>
                <w:sz w:val="24"/>
                <w:szCs w:val="24"/>
              </w:rPr>
              <w:t xml:space="preserve"> from its Investment Fund </w:t>
            </w:r>
            <w:r>
              <w:rPr>
                <w:rFonts w:ascii="Arial" w:eastAsia="Arial" w:hAnsi="Arial" w:cs="Arial"/>
                <w:color w:val="000000"/>
                <w:sz w:val="24"/>
                <w:szCs w:val="24"/>
              </w:rPr>
              <w:t xml:space="preserve">to support </w:t>
            </w:r>
            <w:r w:rsidR="00B25421">
              <w:rPr>
                <w:rFonts w:ascii="Arial" w:eastAsia="Arial" w:hAnsi="Arial" w:cs="Arial"/>
                <w:color w:val="000000"/>
                <w:sz w:val="24"/>
                <w:szCs w:val="24"/>
              </w:rPr>
              <w:t>Creative People – Skills for the Culture and Creative Sector</w:t>
            </w:r>
            <w:r w:rsidR="00EC12AB">
              <w:rPr>
                <w:rFonts w:ascii="Arial" w:eastAsia="Arial" w:hAnsi="Arial" w:cs="Arial"/>
                <w:color w:val="000000"/>
                <w:sz w:val="24"/>
                <w:szCs w:val="24"/>
              </w:rPr>
              <w:t xml:space="preserve"> </w:t>
            </w:r>
          </w:p>
          <w:p w14:paraId="09B165BF" w14:textId="36FD68B6"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NTCA intends to select multiple projects</w:t>
            </w:r>
            <w:r>
              <w:rPr>
                <w:rFonts w:ascii="Arial" w:eastAsia="Arial" w:hAnsi="Arial" w:cs="Arial"/>
                <w:color w:val="000000"/>
                <w:sz w:val="24"/>
                <w:szCs w:val="24"/>
              </w:rPr>
              <w:t xml:space="preserve"> though may not allocate </w:t>
            </w: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available funding though this call</w:t>
            </w:r>
            <w:r w:rsidRPr="00CE68F9">
              <w:rPr>
                <w:rFonts w:ascii="Arial" w:eastAsia="Arial" w:hAnsi="Arial" w:cs="Arial"/>
                <w:color w:val="000000"/>
                <w:sz w:val="24"/>
                <w:szCs w:val="24"/>
              </w:rPr>
              <w:t xml:space="preserve">. The total funding available is inclusive of any fund administration costs which should be costed into the overall programme budget at a flat rate of 15%. </w:t>
            </w:r>
          </w:p>
          <w:p w14:paraId="7598FE04" w14:textId="77777777"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 xml:space="preserve">NTCA reserves the right to decrease or increase the indicative budget allocation or support more or fewer proposals, subject to the volume and quality of proposals received. NTCA does not provide any guarantees of funding and all proposals developed are at the applicant’s own risk. </w:t>
            </w:r>
          </w:p>
        </w:tc>
      </w:tr>
      <w:tr w:rsidR="007E4CF7" w:rsidRPr="00CE68F9" w14:paraId="1730E598"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26843BD9" w14:textId="664F4575" w:rsidR="001775D2" w:rsidRPr="00CE68F9" w:rsidRDefault="007E4CF7" w:rsidP="007E4CF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Minimum Application Values and project durations</w:t>
            </w:r>
          </w:p>
        </w:tc>
        <w:tc>
          <w:tcPr>
            <w:tcW w:w="8505" w:type="dxa"/>
            <w:tcBorders>
              <w:top w:val="single" w:sz="4" w:space="0" w:color="000000"/>
              <w:left w:val="single" w:sz="4" w:space="0" w:color="000000"/>
              <w:bottom w:val="single" w:sz="4" w:space="0" w:color="000000"/>
              <w:right w:val="single" w:sz="4" w:space="0" w:color="000000"/>
            </w:tcBorders>
          </w:tcPr>
          <w:p w14:paraId="329F485F" w14:textId="0D231B37" w:rsidR="00704198" w:rsidRDefault="007E4CF7" w:rsidP="00704198">
            <w:pPr>
              <w:pBdr>
                <w:top w:val="nil"/>
                <w:left w:val="nil"/>
                <w:bottom w:val="nil"/>
                <w:right w:val="nil"/>
                <w:between w:val="nil"/>
              </w:pBdr>
              <w:rPr>
                <w:rFonts w:ascii="Arial" w:eastAsia="Arial" w:hAnsi="Arial" w:cs="Arial"/>
                <w:color w:val="000000"/>
                <w:sz w:val="24"/>
                <w:szCs w:val="24"/>
              </w:rPr>
            </w:pPr>
            <w:r w:rsidRPr="001775D2">
              <w:rPr>
                <w:rFonts w:ascii="Arial" w:eastAsia="Arial" w:hAnsi="Arial" w:cs="Arial"/>
                <w:color w:val="000000"/>
                <w:sz w:val="24"/>
                <w:szCs w:val="24"/>
              </w:rPr>
              <w:t xml:space="preserve">The </w:t>
            </w:r>
            <w:r w:rsidRPr="000901AC">
              <w:rPr>
                <w:rFonts w:ascii="Arial" w:eastAsia="Arial" w:hAnsi="Arial" w:cs="Arial"/>
                <w:color w:val="000000"/>
                <w:sz w:val="24"/>
                <w:szCs w:val="24"/>
              </w:rPr>
              <w:t xml:space="preserve">minimum </w:t>
            </w:r>
            <w:r w:rsidRPr="001775D2">
              <w:rPr>
                <w:rFonts w:ascii="Arial" w:eastAsia="Arial" w:hAnsi="Arial" w:cs="Arial"/>
                <w:color w:val="000000"/>
                <w:sz w:val="24"/>
                <w:szCs w:val="24"/>
              </w:rPr>
              <w:t xml:space="preserve">project value for this call is </w:t>
            </w:r>
            <w:r w:rsidR="000C1DFF">
              <w:rPr>
                <w:rFonts w:ascii="Arial" w:eastAsia="Arial" w:hAnsi="Arial" w:cs="Arial"/>
                <w:color w:val="000000"/>
                <w:sz w:val="24"/>
                <w:szCs w:val="24"/>
              </w:rPr>
              <w:t>£</w:t>
            </w:r>
            <w:r w:rsidR="009E1F96">
              <w:rPr>
                <w:rFonts w:ascii="Arial" w:eastAsia="Arial" w:hAnsi="Arial" w:cs="Arial"/>
                <w:color w:val="000000"/>
                <w:sz w:val="24"/>
                <w:szCs w:val="24"/>
              </w:rPr>
              <w:t>4</w:t>
            </w:r>
            <w:r w:rsidR="000C1DFF">
              <w:rPr>
                <w:rFonts w:ascii="Arial" w:eastAsia="Arial" w:hAnsi="Arial" w:cs="Arial"/>
                <w:color w:val="000000"/>
                <w:sz w:val="24"/>
                <w:szCs w:val="24"/>
              </w:rPr>
              <w:t>00,000</w:t>
            </w:r>
            <w:r w:rsidR="00704198">
              <w:rPr>
                <w:rFonts w:ascii="Arial" w:eastAsia="Arial" w:hAnsi="Arial" w:cs="Arial"/>
                <w:color w:val="000000"/>
                <w:sz w:val="24"/>
                <w:szCs w:val="24"/>
              </w:rPr>
              <w:t>.</w:t>
            </w:r>
            <w:r w:rsidR="00EC12AB">
              <w:rPr>
                <w:rFonts w:ascii="Arial" w:eastAsia="Arial" w:hAnsi="Arial" w:cs="Arial"/>
                <w:color w:val="000000"/>
                <w:sz w:val="24"/>
                <w:szCs w:val="24"/>
              </w:rPr>
              <w:t xml:space="preserve"> </w:t>
            </w:r>
          </w:p>
          <w:p w14:paraId="39F8C1D5" w14:textId="6D5581CE" w:rsidR="007E4CF7" w:rsidRPr="00CE68F9" w:rsidRDefault="007E4CF7" w:rsidP="00704198">
            <w:pPr>
              <w:pBdr>
                <w:top w:val="nil"/>
                <w:left w:val="nil"/>
                <w:bottom w:val="nil"/>
                <w:right w:val="nil"/>
                <w:between w:val="nil"/>
              </w:pBdr>
              <w:rPr>
                <w:rFonts w:ascii="Arial" w:eastAsia="Arial" w:hAnsi="Arial" w:cs="Arial"/>
                <w:color w:val="000000"/>
                <w:sz w:val="24"/>
                <w:szCs w:val="24"/>
              </w:rPr>
            </w:pPr>
            <w:r w:rsidRPr="001775D2">
              <w:rPr>
                <w:rFonts w:ascii="Arial" w:eastAsia="Arial" w:hAnsi="Arial" w:cs="Arial"/>
                <w:color w:val="000000"/>
                <w:sz w:val="24"/>
                <w:szCs w:val="24"/>
              </w:rPr>
              <w:t xml:space="preserve">All activity and spend must </w:t>
            </w:r>
            <w:r w:rsidR="00561870">
              <w:rPr>
                <w:rFonts w:ascii="Arial" w:eastAsia="Arial" w:hAnsi="Arial" w:cs="Arial"/>
                <w:color w:val="000000"/>
                <w:sz w:val="24"/>
                <w:szCs w:val="24"/>
              </w:rPr>
              <w:t>up to 3 years in length from the date of commencement.</w:t>
            </w:r>
            <w:r w:rsidR="00EC12AB">
              <w:rPr>
                <w:rFonts w:ascii="Arial" w:eastAsia="Arial" w:hAnsi="Arial" w:cs="Arial"/>
                <w:color w:val="000000"/>
                <w:sz w:val="24"/>
                <w:szCs w:val="24"/>
              </w:rPr>
              <w:t xml:space="preserve"> </w:t>
            </w:r>
          </w:p>
        </w:tc>
      </w:tr>
      <w:tr w:rsidR="001775D2" w:rsidRPr="00CE68F9" w14:paraId="7F3B3E69"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74D61578" w14:textId="1BBB2AA7" w:rsidR="001775D2" w:rsidRDefault="001775D2" w:rsidP="001775D2">
            <w:pPr>
              <w:pBdr>
                <w:top w:val="nil"/>
                <w:left w:val="nil"/>
                <w:bottom w:val="nil"/>
                <w:right w:val="nil"/>
                <w:between w:val="nil"/>
              </w:pBdr>
              <w:rPr>
                <w:rFonts w:ascii="Arial" w:eastAsia="Arial" w:hAnsi="Arial" w:cs="Arial"/>
                <w:b/>
                <w:color w:val="000000"/>
                <w:sz w:val="24"/>
                <w:szCs w:val="24"/>
              </w:rPr>
            </w:pPr>
            <w:r w:rsidRPr="00CE68F9">
              <w:rPr>
                <w:rFonts w:ascii="Arial" w:eastAsia="Arial" w:hAnsi="Arial" w:cs="Arial"/>
                <w:b/>
                <w:color w:val="000000"/>
                <w:sz w:val="24"/>
                <w:szCs w:val="24"/>
              </w:rPr>
              <w:t xml:space="preserve">Eligible match funding </w:t>
            </w:r>
          </w:p>
        </w:tc>
        <w:tc>
          <w:tcPr>
            <w:tcW w:w="8505" w:type="dxa"/>
            <w:tcBorders>
              <w:top w:val="single" w:sz="4" w:space="0" w:color="000000"/>
              <w:left w:val="single" w:sz="4" w:space="0" w:color="000000"/>
              <w:bottom w:val="single" w:sz="4" w:space="0" w:color="000000"/>
              <w:right w:val="single" w:sz="4" w:space="0" w:color="000000"/>
            </w:tcBorders>
          </w:tcPr>
          <w:p w14:paraId="540281D2" w14:textId="76600462" w:rsidR="001775D2" w:rsidRP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 xml:space="preserve">Proposals will be expected to demonstrate how they will maximise value for money and leverage against NTCA investment. This includes demonstrating that the funding requested is the minimum required; and that opportunities for match funding have been maximised including though public and private sources. </w:t>
            </w:r>
          </w:p>
        </w:tc>
      </w:tr>
      <w:tr w:rsidR="001775D2" w:rsidRPr="00CE68F9" w14:paraId="4FECC257" w14:textId="77777777" w:rsidTr="00CA6C6D">
        <w:trPr>
          <w:trHeight w:val="924"/>
        </w:trPr>
        <w:tc>
          <w:tcPr>
            <w:tcW w:w="1843" w:type="dxa"/>
            <w:tcBorders>
              <w:top w:val="single" w:sz="4" w:space="0" w:color="000000"/>
              <w:left w:val="single" w:sz="4" w:space="0" w:color="000000"/>
              <w:bottom w:val="single" w:sz="4" w:space="0" w:color="000000"/>
              <w:right w:val="single" w:sz="4" w:space="0" w:color="000000"/>
            </w:tcBorders>
          </w:tcPr>
          <w:p w14:paraId="3C417AEC" w14:textId="1FB0B37E"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Added Value</w:t>
            </w:r>
          </w:p>
        </w:tc>
        <w:tc>
          <w:tcPr>
            <w:tcW w:w="8505" w:type="dxa"/>
            <w:tcBorders>
              <w:top w:val="single" w:sz="4" w:space="0" w:color="000000"/>
              <w:left w:val="single" w:sz="4" w:space="0" w:color="000000"/>
              <w:bottom w:val="single" w:sz="4" w:space="0" w:color="000000"/>
              <w:right w:val="single" w:sz="4" w:space="0" w:color="000000"/>
            </w:tcBorders>
          </w:tcPr>
          <w:p w14:paraId="07A94563" w14:textId="77777777" w:rsid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Applicants are expected to submit proposals which demonstrate impact and additionality. NTCA funding is not intended to replace existing funding.</w:t>
            </w:r>
          </w:p>
          <w:p w14:paraId="3715871A" w14:textId="09A7DBD6" w:rsidR="009E1F96" w:rsidRPr="00CE68F9" w:rsidRDefault="009E1F96" w:rsidP="001775D2">
            <w:pPr>
              <w:pBdr>
                <w:top w:val="nil"/>
                <w:left w:val="nil"/>
                <w:bottom w:val="nil"/>
                <w:right w:val="nil"/>
                <w:between w:val="nil"/>
              </w:pBdr>
              <w:jc w:val="both"/>
              <w:rPr>
                <w:rFonts w:ascii="Arial" w:eastAsia="Arial" w:hAnsi="Arial" w:cs="Arial"/>
                <w:color w:val="000000"/>
                <w:sz w:val="24"/>
                <w:szCs w:val="24"/>
                <w:highlight w:val="yellow"/>
              </w:rPr>
            </w:pPr>
          </w:p>
        </w:tc>
      </w:tr>
      <w:tr w:rsidR="001775D2" w:rsidRPr="00CE68F9" w14:paraId="1CB8C7EE" w14:textId="77777777" w:rsidTr="00CA6C6D">
        <w:trPr>
          <w:trHeight w:val="388"/>
        </w:trPr>
        <w:tc>
          <w:tcPr>
            <w:tcW w:w="1843" w:type="dxa"/>
            <w:tcBorders>
              <w:top w:val="single" w:sz="4" w:space="0" w:color="000000"/>
              <w:left w:val="single" w:sz="4" w:space="0" w:color="000000"/>
              <w:bottom w:val="single" w:sz="4" w:space="0" w:color="000000"/>
              <w:right w:val="single" w:sz="4" w:space="0" w:color="000000"/>
            </w:tcBorders>
          </w:tcPr>
          <w:p w14:paraId="3BCBB28C"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Application selection </w:t>
            </w:r>
          </w:p>
        </w:tc>
        <w:tc>
          <w:tcPr>
            <w:tcW w:w="8505" w:type="dxa"/>
            <w:tcBorders>
              <w:top w:val="single" w:sz="4" w:space="0" w:color="000000"/>
              <w:left w:val="single" w:sz="4" w:space="0" w:color="000000"/>
              <w:bottom w:val="single" w:sz="4" w:space="0" w:color="000000"/>
              <w:right w:val="single" w:sz="4" w:space="0" w:color="000000"/>
            </w:tcBorders>
          </w:tcPr>
          <w:p w14:paraId="48EC4BF4" w14:textId="21F0399A" w:rsid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w:t>
            </w:r>
            <w:r>
              <w:rPr>
                <w:rFonts w:ascii="Arial" w:eastAsia="Arial" w:hAnsi="Arial" w:cs="Arial"/>
                <w:color w:val="000000"/>
                <w:sz w:val="24"/>
                <w:szCs w:val="24"/>
              </w:rPr>
              <w:t xml:space="preserve">pplications for </w:t>
            </w:r>
            <w:r w:rsidRPr="00CE68F9">
              <w:rPr>
                <w:rFonts w:ascii="Arial" w:eastAsia="Arial" w:hAnsi="Arial" w:cs="Arial"/>
                <w:color w:val="000000"/>
                <w:sz w:val="24"/>
                <w:szCs w:val="24"/>
              </w:rPr>
              <w:t xml:space="preserve">will be scored in line with the NTCA assessment criteria </w:t>
            </w:r>
            <w:r>
              <w:rPr>
                <w:rFonts w:ascii="Arial" w:eastAsia="Arial" w:hAnsi="Arial" w:cs="Arial"/>
                <w:color w:val="000000"/>
                <w:sz w:val="24"/>
                <w:szCs w:val="24"/>
              </w:rPr>
              <w:t xml:space="preserve">set out </w:t>
            </w:r>
            <w:r w:rsidRPr="00F131A2">
              <w:rPr>
                <w:rFonts w:ascii="Arial" w:eastAsia="Arial" w:hAnsi="Arial" w:cs="Arial"/>
                <w:color w:val="000000"/>
                <w:sz w:val="24"/>
                <w:szCs w:val="24"/>
              </w:rPr>
              <w:t xml:space="preserve">in section </w:t>
            </w:r>
            <w:r w:rsidR="00B25421">
              <w:rPr>
                <w:rFonts w:ascii="Arial" w:eastAsia="Arial" w:hAnsi="Arial" w:cs="Arial"/>
                <w:color w:val="000000"/>
                <w:sz w:val="24"/>
                <w:szCs w:val="24"/>
              </w:rPr>
              <w:t>9</w:t>
            </w:r>
            <w:r w:rsidRPr="00F131A2">
              <w:rPr>
                <w:rFonts w:ascii="Arial" w:eastAsia="Arial" w:hAnsi="Arial" w:cs="Arial"/>
                <w:color w:val="000000"/>
                <w:sz w:val="24"/>
                <w:szCs w:val="24"/>
              </w:rPr>
              <w:t xml:space="preserve"> and A</w:t>
            </w:r>
            <w:r>
              <w:rPr>
                <w:rFonts w:ascii="Arial" w:eastAsia="Arial" w:hAnsi="Arial" w:cs="Arial"/>
                <w:color w:val="000000"/>
                <w:sz w:val="24"/>
                <w:szCs w:val="24"/>
              </w:rPr>
              <w:t xml:space="preserve">nnex </w:t>
            </w:r>
            <w:r w:rsidR="00EE7350">
              <w:rPr>
                <w:rFonts w:ascii="Arial" w:eastAsia="Arial" w:hAnsi="Arial" w:cs="Arial"/>
                <w:color w:val="000000"/>
                <w:sz w:val="24"/>
                <w:szCs w:val="24"/>
              </w:rPr>
              <w:t>B</w:t>
            </w:r>
            <w:r w:rsidRPr="00F131A2">
              <w:rPr>
                <w:rFonts w:ascii="Arial" w:eastAsia="Arial" w:hAnsi="Arial" w:cs="Arial"/>
                <w:color w:val="000000"/>
                <w:sz w:val="24"/>
                <w:szCs w:val="24"/>
              </w:rPr>
              <w:t>.</w:t>
            </w:r>
          </w:p>
          <w:p w14:paraId="108D6DC5" w14:textId="425EC65A"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p>
        </w:tc>
      </w:tr>
      <w:tr w:rsidR="001775D2" w:rsidRPr="00CE68F9" w14:paraId="26E6C6E0"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3FCE639B"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Procurement </w:t>
            </w:r>
          </w:p>
        </w:tc>
        <w:tc>
          <w:tcPr>
            <w:tcW w:w="8505" w:type="dxa"/>
            <w:tcBorders>
              <w:top w:val="single" w:sz="4" w:space="0" w:color="000000"/>
              <w:left w:val="single" w:sz="4" w:space="0" w:color="000000"/>
              <w:bottom w:val="single" w:sz="4" w:space="0" w:color="000000"/>
              <w:right w:val="single" w:sz="4" w:space="0" w:color="000000"/>
            </w:tcBorders>
          </w:tcPr>
          <w:p w14:paraId="6BD00899" w14:textId="176F4452"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All procurement must be undertaken in line with UK regulations</w:t>
            </w:r>
            <w:r>
              <w:rPr>
                <w:rFonts w:ascii="Arial" w:eastAsia="Arial" w:hAnsi="Arial" w:cs="Arial"/>
                <w:color w:val="000000"/>
                <w:sz w:val="24"/>
                <w:szCs w:val="24"/>
              </w:rPr>
              <w:t xml:space="preserve"> or where European Funding is included European and UK Regulations</w:t>
            </w:r>
            <w:r w:rsidRPr="00CE68F9">
              <w:rPr>
                <w:rFonts w:ascii="Arial" w:eastAsia="Arial" w:hAnsi="Arial" w:cs="Arial"/>
                <w:color w:val="000000"/>
                <w:sz w:val="24"/>
                <w:szCs w:val="24"/>
              </w:rPr>
              <w:t xml:space="preserve">. </w:t>
            </w:r>
          </w:p>
        </w:tc>
      </w:tr>
      <w:tr w:rsidR="001775D2" w:rsidRPr="00CE68F9" w14:paraId="000D1854"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7E684B6C"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Eligible Applicants</w:t>
            </w:r>
          </w:p>
        </w:tc>
        <w:tc>
          <w:tcPr>
            <w:tcW w:w="8505" w:type="dxa"/>
            <w:tcBorders>
              <w:top w:val="single" w:sz="4" w:space="0" w:color="000000"/>
              <w:left w:val="single" w:sz="4" w:space="0" w:color="000000"/>
              <w:bottom w:val="single" w:sz="4" w:space="0" w:color="000000"/>
              <w:right w:val="single" w:sz="4" w:space="0" w:color="000000"/>
            </w:tcBorders>
          </w:tcPr>
          <w:p w14:paraId="02227C74" w14:textId="59406E1D" w:rsidR="001775D2" w:rsidRPr="00CE68F9" w:rsidRDefault="001775D2" w:rsidP="001775D2">
            <w:pPr>
              <w:jc w:val="both"/>
              <w:rPr>
                <w:rFonts w:ascii="Arial" w:eastAsia="Arial" w:hAnsi="Arial" w:cs="Arial"/>
                <w:sz w:val="24"/>
                <w:szCs w:val="24"/>
              </w:rPr>
            </w:pPr>
            <w:r w:rsidRPr="00CE68F9">
              <w:rPr>
                <w:rFonts w:ascii="Arial" w:eastAsia="Arial" w:hAnsi="Arial" w:cs="Arial"/>
                <w:sz w:val="24"/>
                <w:szCs w:val="24"/>
              </w:rPr>
              <w:t xml:space="preserve">Applicants must be legally constituted at the point of signing a Funding Agreement and be able to enter into a legally binding Funding Agreement. The Applicant will be the organisation that, if the application is successful, enters a contract with the NTCA and therefore carries the liability for ensuring that the terms of the Funding Agreement are met by them and to all delivery partners. </w:t>
            </w:r>
          </w:p>
        </w:tc>
      </w:tr>
      <w:tr w:rsidR="001775D2" w:rsidRPr="00CE68F9" w14:paraId="4A74D9CF"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116B0C1D"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hAnsi="Arial" w:cs="Arial"/>
                <w:b/>
                <w:bCs/>
                <w:sz w:val="24"/>
                <w:szCs w:val="24"/>
              </w:rPr>
              <w:t>Desired Impact</w:t>
            </w:r>
          </w:p>
        </w:tc>
        <w:tc>
          <w:tcPr>
            <w:tcW w:w="8505" w:type="dxa"/>
            <w:tcBorders>
              <w:top w:val="single" w:sz="4" w:space="0" w:color="000000"/>
              <w:left w:val="single" w:sz="4" w:space="0" w:color="000000"/>
              <w:bottom w:val="single" w:sz="4" w:space="0" w:color="000000"/>
              <w:right w:val="single" w:sz="4" w:space="0" w:color="000000"/>
            </w:tcBorders>
          </w:tcPr>
          <w:p w14:paraId="46912CEA" w14:textId="72D714CF" w:rsidR="001775D2" w:rsidRPr="0017551E" w:rsidRDefault="001775D2" w:rsidP="000901AC">
            <w:pPr>
              <w:rPr>
                <w:rFonts w:ascii="Arial" w:eastAsia="Arial" w:hAnsi="Arial" w:cs="Arial"/>
                <w:bCs/>
                <w:sz w:val="24"/>
                <w:szCs w:val="24"/>
              </w:rPr>
            </w:pPr>
            <w:r w:rsidRPr="00CE68F9">
              <w:rPr>
                <w:rFonts w:ascii="Arial" w:eastAsia="Arial" w:hAnsi="Arial" w:cs="Arial"/>
                <w:bCs/>
                <w:sz w:val="24"/>
                <w:szCs w:val="24"/>
              </w:rPr>
              <w:t xml:space="preserve">The primary intent of the investment will be to directly fund </w:t>
            </w:r>
            <w:r>
              <w:rPr>
                <w:rFonts w:ascii="Arial" w:eastAsia="Arial" w:hAnsi="Arial" w:cs="Arial"/>
                <w:bCs/>
                <w:sz w:val="24"/>
                <w:szCs w:val="24"/>
              </w:rPr>
              <w:t xml:space="preserve">skills &amp; training </w:t>
            </w:r>
            <w:r w:rsidRPr="00CE68F9">
              <w:rPr>
                <w:rFonts w:ascii="Arial" w:eastAsia="Arial" w:hAnsi="Arial" w:cs="Arial"/>
                <w:bCs/>
                <w:sz w:val="24"/>
                <w:szCs w:val="24"/>
              </w:rPr>
              <w:t>for residents of North of Tyne – therefore significant out</w:t>
            </w:r>
            <w:r w:rsidR="009E1F96">
              <w:rPr>
                <w:rFonts w:ascii="Arial" w:eastAsia="Arial" w:hAnsi="Arial" w:cs="Arial"/>
                <w:bCs/>
                <w:sz w:val="24"/>
                <w:szCs w:val="24"/>
              </w:rPr>
              <w:t>comes</w:t>
            </w:r>
            <w:r w:rsidRPr="00CE68F9">
              <w:rPr>
                <w:rFonts w:ascii="Arial" w:eastAsia="Arial" w:hAnsi="Arial" w:cs="Arial"/>
                <w:bCs/>
                <w:sz w:val="24"/>
                <w:szCs w:val="24"/>
              </w:rPr>
              <w:t xml:space="preserve"> in relation to </w:t>
            </w:r>
            <w:r w:rsidR="000C1DFF">
              <w:rPr>
                <w:rFonts w:ascii="Arial" w:eastAsia="Arial" w:hAnsi="Arial" w:cs="Arial"/>
                <w:bCs/>
                <w:sz w:val="24"/>
                <w:szCs w:val="24"/>
              </w:rPr>
              <w:t>skills</w:t>
            </w:r>
            <w:r w:rsidRPr="00CE68F9">
              <w:rPr>
                <w:rFonts w:ascii="Arial" w:eastAsia="Arial" w:hAnsi="Arial" w:cs="Arial"/>
                <w:bCs/>
                <w:sz w:val="24"/>
                <w:szCs w:val="24"/>
              </w:rPr>
              <w:t xml:space="preserve"> and employment gained (or safeguarded or progression secured) are expected. </w:t>
            </w:r>
          </w:p>
        </w:tc>
      </w:tr>
    </w:tbl>
    <w:p w14:paraId="4F82D3BE" w14:textId="1E28D7D6" w:rsidR="00A71F7B" w:rsidRPr="00B25421" w:rsidRDefault="00A71F7B" w:rsidP="00B25421">
      <w:pPr>
        <w:rPr>
          <w:rFonts w:ascii="Arial" w:eastAsia="Batang" w:hAnsi="Arial" w:cs="Arial"/>
          <w:sz w:val="24"/>
          <w:szCs w:val="24"/>
        </w:rPr>
        <w:sectPr w:rsidR="00A71F7B" w:rsidRPr="00B25421" w:rsidSect="002378DD">
          <w:headerReference w:type="default" r:id="rId25"/>
          <w:footerReference w:type="default" r:id="rId26"/>
          <w:pgSz w:w="11906" w:h="16838"/>
          <w:pgMar w:top="851" w:right="851" w:bottom="851" w:left="851" w:header="709" w:footer="170" w:gutter="0"/>
          <w:cols w:space="708"/>
          <w:docGrid w:linePitch="360"/>
        </w:sectPr>
      </w:pPr>
    </w:p>
    <w:p w14:paraId="690209AC" w14:textId="20355D3F" w:rsidR="00A71F7B" w:rsidRPr="002378DD" w:rsidRDefault="00A71F7B" w:rsidP="00B25421">
      <w:pPr>
        <w:pStyle w:val="Heading1"/>
        <w:rPr>
          <w:rFonts w:eastAsia="Batang"/>
        </w:rPr>
      </w:pPr>
      <w:bookmarkStart w:id="14" w:name="_Toc84450587"/>
      <w:r w:rsidRPr="002378DD">
        <w:rPr>
          <w:rFonts w:eastAsia="Batang"/>
        </w:rPr>
        <w:lastRenderedPageBreak/>
        <w:t>A</w:t>
      </w:r>
      <w:r w:rsidR="00CA6C6D" w:rsidRPr="002378DD">
        <w:rPr>
          <w:rFonts w:eastAsia="Batang"/>
        </w:rPr>
        <w:t xml:space="preserve">nnex </w:t>
      </w:r>
      <w:r w:rsidR="00B25421">
        <w:t xml:space="preserve">B </w:t>
      </w:r>
      <w:r w:rsidRPr="002378DD">
        <w:rPr>
          <w:rFonts w:eastAsia="Batang"/>
        </w:rPr>
        <w:t>– Detailed Scoring Criteria</w:t>
      </w:r>
      <w:bookmarkEnd w:id="14"/>
      <w:r w:rsidRPr="002378DD">
        <w:rPr>
          <w:rFonts w:eastAsia="Batang"/>
        </w:rPr>
        <w:t xml:space="preserve"> </w:t>
      </w:r>
    </w:p>
    <w:p w14:paraId="0E39E9AC" w14:textId="77777777" w:rsidR="00A71F7B" w:rsidRPr="00803C71" w:rsidRDefault="00A71F7B" w:rsidP="00B25421">
      <w:pPr>
        <w:rPr>
          <w:rFonts w:ascii="Arial" w:hAnsi="Arial" w:cs="Arial"/>
          <w:b/>
          <w:bCs/>
        </w:rPr>
      </w:pPr>
    </w:p>
    <w:tbl>
      <w:tblPr>
        <w:tblStyle w:val="TableGrid1"/>
        <w:tblW w:w="15026" w:type="dxa"/>
        <w:jc w:val="center"/>
        <w:tblLayout w:type="fixed"/>
        <w:tblLook w:val="04A0" w:firstRow="1" w:lastRow="0" w:firstColumn="1" w:lastColumn="0" w:noHBand="0" w:noVBand="1"/>
      </w:tblPr>
      <w:tblGrid>
        <w:gridCol w:w="3544"/>
        <w:gridCol w:w="2410"/>
        <w:gridCol w:w="1276"/>
        <w:gridCol w:w="1984"/>
        <w:gridCol w:w="1134"/>
        <w:gridCol w:w="1843"/>
        <w:gridCol w:w="1984"/>
        <w:gridCol w:w="851"/>
      </w:tblGrid>
      <w:tr w:rsidR="00A71F7B" w:rsidRPr="00803C71" w14:paraId="7378DFB3" w14:textId="77777777" w:rsidTr="00CA6C6D">
        <w:trPr>
          <w:trHeight w:val="161"/>
          <w:jc w:val="center"/>
        </w:trPr>
        <w:tc>
          <w:tcPr>
            <w:tcW w:w="15026" w:type="dxa"/>
            <w:gridSpan w:val="8"/>
            <w:shd w:val="clear" w:color="auto" w:fill="D9D9D9" w:themeFill="background1" w:themeFillShade="D9"/>
          </w:tcPr>
          <w:p w14:paraId="5EC62B52" w14:textId="77777777" w:rsidR="00A71F7B" w:rsidRPr="00803C71" w:rsidRDefault="00A71F7B" w:rsidP="001148B4">
            <w:pPr>
              <w:jc w:val="both"/>
              <w:rPr>
                <w:rFonts w:ascii="Arial" w:eastAsia="Batang" w:hAnsi="Arial" w:cs="Arial"/>
                <w:b/>
              </w:rPr>
            </w:pPr>
            <w:bookmarkStart w:id="15" w:name="_Hlk83390529"/>
            <w:r w:rsidRPr="00803C71">
              <w:rPr>
                <w:rFonts w:ascii="Arial" w:eastAsia="Batang" w:hAnsi="Arial" w:cs="Arial"/>
                <w:b/>
              </w:rPr>
              <w:t>Assessment of Project</w:t>
            </w:r>
          </w:p>
        </w:tc>
      </w:tr>
      <w:tr w:rsidR="00A71F7B" w:rsidRPr="00803C71" w14:paraId="661E50C5" w14:textId="77777777" w:rsidTr="00CA6C6D">
        <w:trPr>
          <w:trHeight w:val="169"/>
          <w:jc w:val="center"/>
        </w:trPr>
        <w:tc>
          <w:tcPr>
            <w:tcW w:w="3544" w:type="dxa"/>
            <w:vMerge w:val="restart"/>
            <w:shd w:val="clear" w:color="auto" w:fill="D9D9D9" w:themeFill="background1" w:themeFillShade="D9"/>
          </w:tcPr>
          <w:p w14:paraId="75D248AA" w14:textId="460532F0" w:rsidR="00B01B1A" w:rsidRDefault="005A0F29" w:rsidP="005A0F29">
            <w:pPr>
              <w:contextualSpacing/>
              <w:rPr>
                <w:rFonts w:ascii="Arial" w:eastAsia="Batang" w:hAnsi="Arial" w:cs="Arial"/>
                <w:b/>
              </w:rPr>
            </w:pPr>
            <w:r w:rsidRPr="005A0F29">
              <w:rPr>
                <w:rFonts w:ascii="Arial" w:eastAsia="Batang" w:hAnsi="Arial" w:cs="Arial"/>
                <w:b/>
              </w:rPr>
              <w:t>S</w:t>
            </w:r>
            <w:r w:rsidR="00A71F7B" w:rsidRPr="005A0F29">
              <w:rPr>
                <w:rFonts w:ascii="Arial" w:eastAsia="Batang" w:hAnsi="Arial" w:cs="Arial"/>
                <w:b/>
              </w:rPr>
              <w:t xml:space="preserve">trategic fit </w:t>
            </w:r>
          </w:p>
          <w:p w14:paraId="507FFAE0" w14:textId="77777777" w:rsidR="00B01B1A" w:rsidRDefault="00B01B1A" w:rsidP="005A0F29">
            <w:pPr>
              <w:contextualSpacing/>
              <w:rPr>
                <w:rFonts w:ascii="Arial" w:eastAsia="Batang" w:hAnsi="Arial" w:cs="Arial"/>
                <w:b/>
              </w:rPr>
            </w:pPr>
          </w:p>
          <w:p w14:paraId="1F3AAB7A" w14:textId="1750FC97"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Fit with NTCA Corporate Plan, Inclusive Economy Statement and call focus area. </w:t>
            </w:r>
          </w:p>
          <w:p w14:paraId="28D13BC4" w14:textId="08F8B306"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The proposal is effective and will lead to innovation in the </w:t>
            </w:r>
            <w:r w:rsidR="00B25421">
              <w:rPr>
                <w:rFonts w:ascii="Arial" w:eastAsia="Times New Roman" w:hAnsi="Arial" w:cs="Arial"/>
              </w:rPr>
              <w:t xml:space="preserve">Culture and Creative sector. </w:t>
            </w:r>
          </w:p>
          <w:p w14:paraId="7DEE9CE0" w14:textId="55EE61AC"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The proposal is developed in adherence with the overarching principles for the call and where appropriate evidence is provided in relation to stakeholder support, value added, etc. </w:t>
            </w:r>
          </w:p>
          <w:p w14:paraId="7F2AB9FA" w14:textId="66107EE1" w:rsidR="00A71F7B" w:rsidRPr="00803C71" w:rsidRDefault="00A71F7B" w:rsidP="00B01B1A">
            <w:pPr>
              <w:contextualSpacing/>
              <w:rPr>
                <w:rFonts w:ascii="Arial" w:eastAsia="Batang" w:hAnsi="Arial" w:cs="Arial"/>
                <w:b/>
              </w:rPr>
            </w:pPr>
          </w:p>
        </w:tc>
        <w:tc>
          <w:tcPr>
            <w:tcW w:w="2410" w:type="dxa"/>
            <w:shd w:val="clear" w:color="auto" w:fill="00B050"/>
          </w:tcPr>
          <w:p w14:paraId="24A4D7FE" w14:textId="617311ED" w:rsidR="00D85F2D" w:rsidRDefault="00A71F7B" w:rsidP="009167AE">
            <w:pPr>
              <w:jc w:val="center"/>
              <w:rPr>
                <w:rFonts w:ascii="Arial" w:eastAsia="Batang" w:hAnsi="Arial" w:cs="Arial"/>
                <w:b/>
                <w:bCs/>
              </w:rPr>
            </w:pPr>
            <w:r w:rsidRPr="00803C71">
              <w:rPr>
                <w:rFonts w:ascii="Arial" w:eastAsia="Batang" w:hAnsi="Arial" w:cs="Arial"/>
                <w:b/>
                <w:bCs/>
              </w:rPr>
              <w:t>[PASS]</w:t>
            </w:r>
            <w:r w:rsidR="007A410C">
              <w:rPr>
                <w:rFonts w:ascii="Arial" w:eastAsia="Batang" w:hAnsi="Arial" w:cs="Arial"/>
                <w:b/>
                <w:bCs/>
              </w:rPr>
              <w:t>:</w:t>
            </w:r>
          </w:p>
          <w:p w14:paraId="252DB803" w14:textId="418EF6F4" w:rsidR="00A71F7B" w:rsidRPr="00803C71" w:rsidRDefault="007A410C" w:rsidP="009167AE">
            <w:pPr>
              <w:jc w:val="center"/>
              <w:rPr>
                <w:rFonts w:ascii="Arial" w:eastAsia="Batang" w:hAnsi="Arial" w:cs="Arial"/>
              </w:rPr>
            </w:pPr>
            <w:r>
              <w:rPr>
                <w:rFonts w:ascii="Arial" w:eastAsia="Batang" w:hAnsi="Arial" w:cs="Arial"/>
                <w:b/>
                <w:bCs/>
              </w:rPr>
              <w:t>15-13</w:t>
            </w:r>
          </w:p>
        </w:tc>
        <w:tc>
          <w:tcPr>
            <w:tcW w:w="1276" w:type="dxa"/>
            <w:tcBorders>
              <w:bottom w:val="nil"/>
            </w:tcBorders>
            <w:shd w:val="clear" w:color="auto" w:fill="00B050"/>
          </w:tcPr>
          <w:p w14:paraId="65F91F3B" w14:textId="656CF101" w:rsidR="00A71F7B" w:rsidRPr="00803C71" w:rsidRDefault="00A71F7B" w:rsidP="009167AE">
            <w:pPr>
              <w:jc w:val="center"/>
              <w:rPr>
                <w:rFonts w:ascii="Arial" w:eastAsia="Batang" w:hAnsi="Arial" w:cs="Arial"/>
              </w:rPr>
            </w:pPr>
            <w:r w:rsidRPr="00803C71">
              <w:rPr>
                <w:rFonts w:ascii="Arial" w:eastAsia="Batang" w:hAnsi="Arial" w:cs="Arial"/>
                <w:b/>
                <w:bCs/>
              </w:rPr>
              <w:t>[PASS]</w:t>
            </w:r>
            <w:r w:rsidR="007A410C">
              <w:rPr>
                <w:rFonts w:ascii="Arial" w:eastAsia="Batang" w:hAnsi="Arial" w:cs="Arial"/>
                <w:b/>
                <w:bCs/>
              </w:rPr>
              <w:t>: 12-10</w:t>
            </w:r>
          </w:p>
        </w:tc>
        <w:tc>
          <w:tcPr>
            <w:tcW w:w="1984" w:type="dxa"/>
            <w:shd w:val="clear" w:color="auto" w:fill="FF0000"/>
          </w:tcPr>
          <w:p w14:paraId="12EA4CBF" w14:textId="7E36DAF7" w:rsidR="00D85F2D"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213019F7" w14:textId="13B49CA6" w:rsidR="00A71F7B" w:rsidRPr="00803C71" w:rsidRDefault="00D85F2D" w:rsidP="009167AE">
            <w:pPr>
              <w:jc w:val="center"/>
              <w:rPr>
                <w:rFonts w:ascii="Arial" w:eastAsia="Batang" w:hAnsi="Arial" w:cs="Arial"/>
              </w:rPr>
            </w:pPr>
            <w:r>
              <w:rPr>
                <w:rFonts w:ascii="Arial" w:eastAsia="Batang" w:hAnsi="Arial" w:cs="Arial"/>
                <w:b/>
                <w:bCs/>
              </w:rPr>
              <w:t>9-7</w:t>
            </w:r>
          </w:p>
        </w:tc>
        <w:tc>
          <w:tcPr>
            <w:tcW w:w="1134" w:type="dxa"/>
            <w:shd w:val="clear" w:color="auto" w:fill="FF0000"/>
          </w:tcPr>
          <w:p w14:paraId="08FAAC67" w14:textId="24839E29" w:rsidR="00D85F2D"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4D60D20D" w14:textId="4A004F9A" w:rsidR="00A71F7B" w:rsidRPr="00803C71" w:rsidRDefault="00D85F2D" w:rsidP="009167AE">
            <w:pPr>
              <w:jc w:val="center"/>
              <w:rPr>
                <w:rFonts w:ascii="Arial" w:eastAsia="Batang" w:hAnsi="Arial" w:cs="Arial"/>
              </w:rPr>
            </w:pPr>
            <w:r>
              <w:rPr>
                <w:rFonts w:ascii="Arial" w:eastAsia="Batang" w:hAnsi="Arial" w:cs="Arial"/>
                <w:b/>
                <w:bCs/>
              </w:rPr>
              <w:t>6-4</w:t>
            </w:r>
          </w:p>
        </w:tc>
        <w:tc>
          <w:tcPr>
            <w:tcW w:w="1843" w:type="dxa"/>
            <w:shd w:val="clear" w:color="auto" w:fill="FF0000"/>
          </w:tcPr>
          <w:p w14:paraId="761B17F9" w14:textId="68574CAE" w:rsidR="00A71F7B"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166714D7" w14:textId="589C3E81" w:rsidR="00D85F2D" w:rsidRPr="00803C71" w:rsidRDefault="009167AE" w:rsidP="009167AE">
            <w:pPr>
              <w:jc w:val="center"/>
              <w:rPr>
                <w:rFonts w:ascii="Arial" w:eastAsia="Batang" w:hAnsi="Arial" w:cs="Arial"/>
              </w:rPr>
            </w:pPr>
            <w:r>
              <w:rPr>
                <w:rFonts w:ascii="Arial" w:eastAsia="Batang" w:hAnsi="Arial" w:cs="Arial"/>
                <w:b/>
                <w:bCs/>
              </w:rPr>
              <w:t>3-1</w:t>
            </w:r>
          </w:p>
        </w:tc>
        <w:tc>
          <w:tcPr>
            <w:tcW w:w="1984" w:type="dxa"/>
            <w:shd w:val="clear" w:color="auto" w:fill="FF0000"/>
          </w:tcPr>
          <w:p w14:paraId="6D6DF305" w14:textId="78259B7B" w:rsidR="009167AE" w:rsidRDefault="00A71F7B" w:rsidP="009167AE">
            <w:pPr>
              <w:jc w:val="center"/>
              <w:rPr>
                <w:rFonts w:ascii="Arial" w:eastAsia="Batang" w:hAnsi="Arial" w:cs="Arial"/>
                <w:b/>
                <w:bCs/>
              </w:rPr>
            </w:pPr>
            <w:r w:rsidRPr="00803C71">
              <w:rPr>
                <w:rFonts w:ascii="Arial" w:eastAsia="Batang" w:hAnsi="Arial" w:cs="Arial"/>
                <w:b/>
                <w:bCs/>
              </w:rPr>
              <w:t>[FAIL]</w:t>
            </w:r>
            <w:r w:rsidR="009167AE">
              <w:rPr>
                <w:rFonts w:ascii="Arial" w:eastAsia="Batang" w:hAnsi="Arial" w:cs="Arial"/>
                <w:b/>
                <w:bCs/>
              </w:rPr>
              <w:t>:</w:t>
            </w:r>
          </w:p>
          <w:p w14:paraId="0B9746F6" w14:textId="2E10FEAA" w:rsidR="009167AE" w:rsidRPr="009167AE" w:rsidRDefault="009167AE" w:rsidP="009167AE">
            <w:pPr>
              <w:jc w:val="center"/>
              <w:rPr>
                <w:rFonts w:ascii="Arial" w:eastAsia="Batang" w:hAnsi="Arial" w:cs="Arial"/>
                <w:b/>
                <w:bCs/>
              </w:rPr>
            </w:pPr>
            <w:r>
              <w:rPr>
                <w:rFonts w:ascii="Arial" w:eastAsia="Batang" w:hAnsi="Arial" w:cs="Arial"/>
                <w:b/>
                <w:bCs/>
              </w:rPr>
              <w:t>0</w:t>
            </w:r>
          </w:p>
        </w:tc>
        <w:tc>
          <w:tcPr>
            <w:tcW w:w="851" w:type="dxa"/>
            <w:vMerge w:val="restart"/>
          </w:tcPr>
          <w:p w14:paraId="458A1073" w14:textId="77777777" w:rsidR="00A71F7B" w:rsidRPr="00803C71" w:rsidRDefault="00A71F7B" w:rsidP="001148B4">
            <w:pPr>
              <w:rPr>
                <w:rFonts w:ascii="Arial" w:eastAsia="Batang" w:hAnsi="Arial" w:cs="Arial"/>
              </w:rPr>
            </w:pPr>
          </w:p>
          <w:p w14:paraId="5CA5F7BF" w14:textId="2505870C" w:rsidR="00A71F7B" w:rsidRPr="00803C71" w:rsidRDefault="00A71F7B" w:rsidP="001148B4">
            <w:pPr>
              <w:rPr>
                <w:rFonts w:ascii="Arial" w:eastAsia="Batang" w:hAnsi="Arial" w:cs="Arial"/>
              </w:rPr>
            </w:pPr>
            <w:r w:rsidRPr="00803C71">
              <w:rPr>
                <w:rFonts w:ascii="Arial" w:eastAsia="Batang" w:hAnsi="Arial" w:cs="Arial"/>
              </w:rPr>
              <w:t xml:space="preserve">Pass </w:t>
            </w:r>
            <w:r w:rsidR="000711B2">
              <w:rPr>
                <w:rFonts w:ascii="Arial" w:eastAsia="Batang" w:hAnsi="Arial" w:cs="Arial"/>
              </w:rPr>
              <w:t xml:space="preserve">(10-15) </w:t>
            </w:r>
            <w:r w:rsidRPr="00803C71">
              <w:rPr>
                <w:rFonts w:ascii="Arial" w:eastAsia="Batang" w:hAnsi="Arial" w:cs="Arial"/>
              </w:rPr>
              <w:t xml:space="preserve">or Fail </w:t>
            </w:r>
            <w:r w:rsidR="000711B2">
              <w:rPr>
                <w:rFonts w:ascii="Arial" w:eastAsia="Batang" w:hAnsi="Arial" w:cs="Arial"/>
              </w:rPr>
              <w:t>(</w:t>
            </w:r>
            <w:r w:rsidR="00D553CB">
              <w:rPr>
                <w:rFonts w:ascii="Arial" w:eastAsia="Batang" w:hAnsi="Arial" w:cs="Arial"/>
              </w:rPr>
              <w:t>0-9)</w:t>
            </w:r>
          </w:p>
        </w:tc>
      </w:tr>
      <w:tr w:rsidR="00A71F7B" w:rsidRPr="00803C71" w14:paraId="3A753BF7" w14:textId="77777777" w:rsidTr="00CA6C6D">
        <w:trPr>
          <w:trHeight w:val="703"/>
          <w:jc w:val="center"/>
        </w:trPr>
        <w:tc>
          <w:tcPr>
            <w:tcW w:w="3544" w:type="dxa"/>
            <w:vMerge/>
            <w:shd w:val="clear" w:color="auto" w:fill="D9D9D9" w:themeFill="background1" w:themeFillShade="D9"/>
          </w:tcPr>
          <w:p w14:paraId="340D9578" w14:textId="77777777" w:rsidR="00A71F7B" w:rsidRPr="00803C71" w:rsidRDefault="00A71F7B" w:rsidP="001148B4">
            <w:pPr>
              <w:rPr>
                <w:rFonts w:ascii="Arial" w:eastAsia="Batang" w:hAnsi="Arial" w:cs="Arial"/>
                <w:b/>
              </w:rPr>
            </w:pPr>
          </w:p>
        </w:tc>
        <w:tc>
          <w:tcPr>
            <w:tcW w:w="2410" w:type="dxa"/>
          </w:tcPr>
          <w:p w14:paraId="082BF8C2" w14:textId="77777777" w:rsidR="00A71F7B" w:rsidRPr="00803C71" w:rsidRDefault="00A71F7B" w:rsidP="001148B4">
            <w:pPr>
              <w:rPr>
                <w:rFonts w:ascii="Arial" w:eastAsia="Batang" w:hAnsi="Arial" w:cs="Arial"/>
              </w:rPr>
            </w:pPr>
            <w:r w:rsidRPr="00803C71">
              <w:rPr>
                <w:rFonts w:ascii="Arial" w:eastAsia="Batang" w:hAnsi="Arial" w:cs="Arial"/>
              </w:rPr>
              <w:t>Very strong fit and strong evidence of need and rationale for intervention</w:t>
            </w:r>
          </w:p>
          <w:p w14:paraId="19F2EDFD" w14:textId="77777777" w:rsidR="00A71F7B" w:rsidRPr="00803C71" w:rsidRDefault="00A71F7B" w:rsidP="001148B4">
            <w:pPr>
              <w:rPr>
                <w:rFonts w:ascii="Arial" w:eastAsia="Batang" w:hAnsi="Arial" w:cs="Arial"/>
                <w:b/>
                <w:bCs/>
              </w:rPr>
            </w:pPr>
          </w:p>
        </w:tc>
        <w:tc>
          <w:tcPr>
            <w:tcW w:w="1276" w:type="dxa"/>
          </w:tcPr>
          <w:p w14:paraId="17A0CFA4" w14:textId="77777777" w:rsidR="00A71F7B" w:rsidRPr="00803C71" w:rsidRDefault="00A71F7B" w:rsidP="001148B4">
            <w:pPr>
              <w:rPr>
                <w:rFonts w:ascii="Arial" w:eastAsia="Batang" w:hAnsi="Arial" w:cs="Arial"/>
                <w:b/>
                <w:bCs/>
              </w:rPr>
            </w:pPr>
          </w:p>
        </w:tc>
        <w:tc>
          <w:tcPr>
            <w:tcW w:w="1984" w:type="dxa"/>
          </w:tcPr>
          <w:p w14:paraId="0F4A7A0F" w14:textId="77777777" w:rsidR="00A71F7B" w:rsidRPr="00803C71" w:rsidRDefault="00A71F7B" w:rsidP="001148B4">
            <w:pPr>
              <w:rPr>
                <w:rFonts w:ascii="Arial" w:eastAsia="Batang" w:hAnsi="Arial" w:cs="Arial"/>
              </w:rPr>
            </w:pPr>
            <w:r w:rsidRPr="00803C71">
              <w:rPr>
                <w:rFonts w:ascii="Arial" w:eastAsia="Batang" w:hAnsi="Arial" w:cs="Arial"/>
              </w:rPr>
              <w:t>Moderate fit with limited evidence of need or rationale for intervention</w:t>
            </w:r>
          </w:p>
        </w:tc>
        <w:tc>
          <w:tcPr>
            <w:tcW w:w="1134" w:type="dxa"/>
          </w:tcPr>
          <w:p w14:paraId="37393CC2" w14:textId="77777777" w:rsidR="00A71F7B" w:rsidRPr="00803C71" w:rsidRDefault="00A71F7B" w:rsidP="001148B4">
            <w:pPr>
              <w:rPr>
                <w:rFonts w:ascii="Arial" w:eastAsia="Batang" w:hAnsi="Arial" w:cs="Arial"/>
                <w:b/>
                <w:bCs/>
              </w:rPr>
            </w:pPr>
          </w:p>
        </w:tc>
        <w:tc>
          <w:tcPr>
            <w:tcW w:w="1843" w:type="dxa"/>
          </w:tcPr>
          <w:p w14:paraId="29DCB7DE" w14:textId="77777777" w:rsidR="00A71F7B" w:rsidRPr="00803C71" w:rsidRDefault="00A71F7B" w:rsidP="001148B4">
            <w:pPr>
              <w:rPr>
                <w:rFonts w:ascii="Arial" w:eastAsia="Batang" w:hAnsi="Arial" w:cs="Arial"/>
              </w:rPr>
            </w:pPr>
            <w:r w:rsidRPr="00803C71">
              <w:rPr>
                <w:rFonts w:ascii="Arial" w:eastAsia="Batang" w:hAnsi="Arial" w:cs="Arial"/>
              </w:rPr>
              <w:t>Low fit with poor evidence of need and rationale for the intervention.</w:t>
            </w:r>
          </w:p>
        </w:tc>
        <w:tc>
          <w:tcPr>
            <w:tcW w:w="1984" w:type="dxa"/>
          </w:tcPr>
          <w:p w14:paraId="13868DE0" w14:textId="77777777" w:rsidR="00A71F7B" w:rsidRPr="00803C71" w:rsidRDefault="00A71F7B" w:rsidP="001148B4">
            <w:pPr>
              <w:rPr>
                <w:rFonts w:ascii="Arial" w:eastAsia="Batang" w:hAnsi="Arial" w:cs="Arial"/>
              </w:rPr>
            </w:pPr>
            <w:r w:rsidRPr="00803C71">
              <w:rPr>
                <w:rFonts w:ascii="Arial" w:eastAsia="Batang" w:hAnsi="Arial" w:cs="Arial"/>
              </w:rPr>
              <w:t xml:space="preserve">No fit with no evidence of need or rationale. </w:t>
            </w:r>
          </w:p>
        </w:tc>
        <w:tc>
          <w:tcPr>
            <w:tcW w:w="851" w:type="dxa"/>
            <w:vMerge/>
          </w:tcPr>
          <w:p w14:paraId="2BFD9621" w14:textId="77777777" w:rsidR="00A71F7B" w:rsidRPr="00803C71" w:rsidRDefault="00A71F7B" w:rsidP="001148B4">
            <w:pPr>
              <w:rPr>
                <w:rFonts w:ascii="Arial" w:eastAsia="Batang" w:hAnsi="Arial" w:cs="Arial"/>
              </w:rPr>
            </w:pPr>
          </w:p>
        </w:tc>
      </w:tr>
      <w:tr w:rsidR="00D553CB" w:rsidRPr="00803C71" w14:paraId="399D3C65" w14:textId="77777777" w:rsidTr="00CA6C6D">
        <w:trPr>
          <w:trHeight w:val="169"/>
          <w:jc w:val="center"/>
        </w:trPr>
        <w:tc>
          <w:tcPr>
            <w:tcW w:w="3544" w:type="dxa"/>
            <w:vMerge w:val="restart"/>
            <w:shd w:val="clear" w:color="auto" w:fill="D9D9D9" w:themeFill="background1" w:themeFillShade="D9"/>
          </w:tcPr>
          <w:p w14:paraId="0039C530" w14:textId="77777777" w:rsidR="00B01B1A" w:rsidRDefault="00B151E5" w:rsidP="005A0F29">
            <w:pPr>
              <w:pStyle w:val="paragraph"/>
              <w:spacing w:before="0" w:beforeAutospacing="0" w:after="0" w:afterAutospacing="0"/>
              <w:textAlignment w:val="baseline"/>
              <w:rPr>
                <w:rFonts w:ascii="Arial" w:eastAsia="Batang" w:hAnsi="Arial" w:cs="Arial"/>
                <w:b/>
                <w:sz w:val="22"/>
                <w:szCs w:val="22"/>
              </w:rPr>
            </w:pPr>
            <w:r w:rsidRPr="005A0F29">
              <w:rPr>
                <w:rFonts w:ascii="Arial" w:eastAsia="Batang" w:hAnsi="Arial" w:cs="Arial"/>
                <w:b/>
                <w:sz w:val="22"/>
                <w:szCs w:val="22"/>
              </w:rPr>
              <w:t>Delivery of desired o</w:t>
            </w:r>
            <w:r w:rsidR="00D553CB" w:rsidRPr="005A0F29">
              <w:rPr>
                <w:rFonts w:ascii="Arial" w:eastAsia="Batang" w:hAnsi="Arial" w:cs="Arial"/>
                <w:b/>
                <w:sz w:val="22"/>
                <w:szCs w:val="22"/>
              </w:rPr>
              <w:t xml:space="preserve">utcomes </w:t>
            </w:r>
          </w:p>
          <w:p w14:paraId="31DAFD08" w14:textId="77777777" w:rsidR="00B01B1A" w:rsidRDefault="00B01B1A" w:rsidP="005A0F29">
            <w:pPr>
              <w:pStyle w:val="paragraph"/>
              <w:spacing w:before="0" w:beforeAutospacing="0" w:after="0" w:afterAutospacing="0"/>
              <w:textAlignment w:val="baseline"/>
              <w:rPr>
                <w:rFonts w:ascii="Arial" w:eastAsia="Batang" w:hAnsi="Arial" w:cs="Arial"/>
                <w:b/>
                <w:sz w:val="22"/>
                <w:szCs w:val="22"/>
              </w:rPr>
            </w:pPr>
          </w:p>
          <w:p w14:paraId="63746A5D" w14:textId="4AA94C87" w:rsidR="005A0F29" w:rsidRPr="00B01B1A" w:rsidRDefault="00B01B1A" w:rsidP="005A0F29">
            <w:pPr>
              <w:pStyle w:val="paragraph"/>
              <w:spacing w:before="0" w:beforeAutospacing="0" w:after="0" w:afterAutospacing="0"/>
              <w:textAlignment w:val="baseline"/>
              <w:rPr>
                <w:rFonts w:ascii="Arial" w:hAnsi="Arial" w:cs="Arial"/>
                <w:bCs/>
                <w:sz w:val="22"/>
                <w:szCs w:val="22"/>
              </w:rPr>
            </w:pPr>
            <w:r w:rsidRPr="00B01B1A">
              <w:rPr>
                <w:rFonts w:ascii="Arial" w:eastAsia="Batang" w:hAnsi="Arial" w:cs="Arial"/>
                <w:bCs/>
                <w:sz w:val="22"/>
                <w:szCs w:val="22"/>
              </w:rPr>
              <w:t>D</w:t>
            </w:r>
            <w:r w:rsidR="005A0F29" w:rsidRPr="00B01B1A">
              <w:rPr>
                <w:rFonts w:ascii="Arial" w:hAnsi="Arial" w:cs="Arial"/>
                <w:bCs/>
                <w:color w:val="000000"/>
                <w:sz w:val="22"/>
                <w:szCs w:val="22"/>
              </w:rPr>
              <w:t xml:space="preserve">emonstration of clear knowledge of the </w:t>
            </w:r>
            <w:r w:rsidR="00B25421">
              <w:rPr>
                <w:rFonts w:ascii="Arial" w:hAnsi="Arial" w:cs="Arial"/>
                <w:bCs/>
                <w:color w:val="000000"/>
                <w:sz w:val="22"/>
                <w:szCs w:val="22"/>
              </w:rPr>
              <w:t xml:space="preserve">Culture and Creative Sector in the </w:t>
            </w:r>
            <w:r w:rsidR="005A0F29" w:rsidRPr="00B01B1A">
              <w:rPr>
                <w:rFonts w:ascii="Arial" w:hAnsi="Arial" w:cs="Arial"/>
                <w:bCs/>
                <w:sz w:val="22"/>
                <w:szCs w:val="22"/>
              </w:rPr>
              <w:t xml:space="preserve">NTCA area; and </w:t>
            </w:r>
          </w:p>
          <w:p w14:paraId="04215E83" w14:textId="77777777" w:rsidR="005A0F29" w:rsidRPr="00B01B1A" w:rsidRDefault="005A0F29" w:rsidP="005A0F29">
            <w:pPr>
              <w:autoSpaceDE w:val="0"/>
              <w:autoSpaceDN w:val="0"/>
              <w:adjustRightInd w:val="0"/>
              <w:rPr>
                <w:rFonts w:ascii="Arial" w:hAnsi="Arial" w:cs="Arial"/>
                <w:bCs/>
                <w:color w:val="000000"/>
              </w:rPr>
            </w:pPr>
            <w:r w:rsidRPr="00B01B1A">
              <w:rPr>
                <w:rFonts w:ascii="Arial" w:hAnsi="Arial" w:cs="Arial"/>
                <w:bCs/>
                <w:color w:val="000000"/>
              </w:rPr>
              <w:t xml:space="preserve">Clear alignment of proposals with the overarching principles and funding priorities set out in the call definition document. </w:t>
            </w:r>
          </w:p>
          <w:p w14:paraId="166CD89A" w14:textId="77777777" w:rsidR="00D553CB" w:rsidRDefault="00D553CB" w:rsidP="00D553CB">
            <w:pPr>
              <w:rPr>
                <w:rFonts w:ascii="Arial" w:eastAsia="Batang" w:hAnsi="Arial" w:cs="Arial"/>
                <w:b/>
              </w:rPr>
            </w:pPr>
          </w:p>
          <w:p w14:paraId="3E8A539D" w14:textId="3929DF6B" w:rsidR="00B01B1A" w:rsidRPr="00803C71" w:rsidRDefault="00B01B1A" w:rsidP="00D553CB">
            <w:pPr>
              <w:rPr>
                <w:rFonts w:ascii="Arial" w:eastAsia="Batang" w:hAnsi="Arial" w:cs="Arial"/>
                <w:b/>
              </w:rPr>
            </w:pPr>
          </w:p>
        </w:tc>
        <w:tc>
          <w:tcPr>
            <w:tcW w:w="2410" w:type="dxa"/>
            <w:shd w:val="clear" w:color="auto" w:fill="00B050"/>
          </w:tcPr>
          <w:p w14:paraId="3B5379F6" w14:textId="09473CEE"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5BB6828E" w14:textId="76DDF02A" w:rsidR="00D553CB" w:rsidRPr="00803C71" w:rsidRDefault="00D553CB" w:rsidP="00D553CB">
            <w:pPr>
              <w:jc w:val="center"/>
              <w:rPr>
                <w:rFonts w:ascii="Arial" w:eastAsia="Batang" w:hAnsi="Arial" w:cs="Arial"/>
              </w:rPr>
            </w:pPr>
            <w:r>
              <w:rPr>
                <w:rFonts w:ascii="Arial" w:eastAsia="Batang" w:hAnsi="Arial" w:cs="Arial"/>
                <w:b/>
                <w:bCs/>
              </w:rPr>
              <w:t>15-13</w:t>
            </w:r>
          </w:p>
        </w:tc>
        <w:tc>
          <w:tcPr>
            <w:tcW w:w="1276" w:type="dxa"/>
            <w:shd w:val="clear" w:color="auto" w:fill="00B050"/>
          </w:tcPr>
          <w:p w14:paraId="2DD4FABE" w14:textId="77777777"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03BB573C" w14:textId="478AB29A" w:rsidR="00D553CB" w:rsidRPr="00803C71" w:rsidRDefault="00D553CB" w:rsidP="00D553CB">
            <w:pPr>
              <w:jc w:val="center"/>
              <w:rPr>
                <w:rFonts w:ascii="Arial" w:eastAsia="Batang" w:hAnsi="Arial" w:cs="Arial"/>
              </w:rPr>
            </w:pPr>
            <w:r>
              <w:rPr>
                <w:rFonts w:ascii="Arial" w:eastAsia="Batang" w:hAnsi="Arial" w:cs="Arial"/>
                <w:b/>
                <w:bCs/>
              </w:rPr>
              <w:t>12-10</w:t>
            </w:r>
          </w:p>
        </w:tc>
        <w:tc>
          <w:tcPr>
            <w:tcW w:w="1984" w:type="dxa"/>
            <w:shd w:val="clear" w:color="auto" w:fill="00B050"/>
          </w:tcPr>
          <w:p w14:paraId="6E362E94" w14:textId="50F26985"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450E3D83" w14:textId="789E5BD7" w:rsidR="00D553CB" w:rsidRPr="00803C71" w:rsidRDefault="00D553CB" w:rsidP="00D553CB">
            <w:pPr>
              <w:jc w:val="center"/>
              <w:rPr>
                <w:rFonts w:ascii="Arial" w:eastAsia="Batang" w:hAnsi="Arial" w:cs="Arial"/>
              </w:rPr>
            </w:pPr>
            <w:r>
              <w:rPr>
                <w:rFonts w:ascii="Arial" w:eastAsia="Batang" w:hAnsi="Arial" w:cs="Arial"/>
                <w:b/>
                <w:bCs/>
              </w:rPr>
              <w:t>9-7</w:t>
            </w:r>
          </w:p>
        </w:tc>
        <w:tc>
          <w:tcPr>
            <w:tcW w:w="1134" w:type="dxa"/>
            <w:shd w:val="clear" w:color="auto" w:fill="FF0000"/>
          </w:tcPr>
          <w:p w14:paraId="1DD2CDB1"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4E5AA494" w14:textId="072294F0" w:rsidR="00D553CB" w:rsidRPr="00803C71" w:rsidRDefault="00D553CB" w:rsidP="00D553CB">
            <w:pPr>
              <w:jc w:val="center"/>
              <w:rPr>
                <w:rFonts w:ascii="Arial" w:eastAsia="Batang" w:hAnsi="Arial" w:cs="Arial"/>
              </w:rPr>
            </w:pPr>
            <w:r>
              <w:rPr>
                <w:rFonts w:ascii="Arial" w:eastAsia="Batang" w:hAnsi="Arial" w:cs="Arial"/>
                <w:b/>
                <w:bCs/>
              </w:rPr>
              <w:t>6-4</w:t>
            </w:r>
          </w:p>
        </w:tc>
        <w:tc>
          <w:tcPr>
            <w:tcW w:w="1843" w:type="dxa"/>
            <w:shd w:val="clear" w:color="auto" w:fill="FF0000"/>
          </w:tcPr>
          <w:p w14:paraId="0E108F61"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0668A161" w14:textId="10C68299" w:rsidR="00D553CB" w:rsidRPr="00803C71" w:rsidRDefault="00D553CB" w:rsidP="00D553CB">
            <w:pPr>
              <w:jc w:val="center"/>
              <w:rPr>
                <w:rFonts w:ascii="Arial" w:eastAsia="Batang" w:hAnsi="Arial" w:cs="Arial"/>
              </w:rPr>
            </w:pPr>
            <w:r>
              <w:rPr>
                <w:rFonts w:ascii="Arial" w:eastAsia="Batang" w:hAnsi="Arial" w:cs="Arial"/>
                <w:b/>
                <w:bCs/>
              </w:rPr>
              <w:t>3-1</w:t>
            </w:r>
          </w:p>
        </w:tc>
        <w:tc>
          <w:tcPr>
            <w:tcW w:w="1984" w:type="dxa"/>
            <w:shd w:val="clear" w:color="auto" w:fill="FF0000"/>
          </w:tcPr>
          <w:p w14:paraId="08F217A8"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7703B105" w14:textId="4A8247F2" w:rsidR="00D553CB" w:rsidRPr="00803C71" w:rsidRDefault="00D553CB" w:rsidP="00D553CB">
            <w:pPr>
              <w:jc w:val="center"/>
              <w:rPr>
                <w:rFonts w:ascii="Arial" w:eastAsia="Batang" w:hAnsi="Arial" w:cs="Arial"/>
              </w:rPr>
            </w:pPr>
            <w:r>
              <w:rPr>
                <w:rFonts w:ascii="Arial" w:eastAsia="Batang" w:hAnsi="Arial" w:cs="Arial"/>
                <w:b/>
                <w:bCs/>
              </w:rPr>
              <w:t>0</w:t>
            </w:r>
          </w:p>
        </w:tc>
        <w:tc>
          <w:tcPr>
            <w:tcW w:w="851" w:type="dxa"/>
            <w:vMerge w:val="restart"/>
          </w:tcPr>
          <w:p w14:paraId="4FA26414" w14:textId="77777777" w:rsidR="00D553CB" w:rsidRPr="00803C71" w:rsidRDefault="00D553CB" w:rsidP="00D553CB">
            <w:pPr>
              <w:rPr>
                <w:rFonts w:ascii="Arial" w:eastAsia="Batang" w:hAnsi="Arial" w:cs="Arial"/>
              </w:rPr>
            </w:pPr>
          </w:p>
          <w:p w14:paraId="327E7D64" w14:textId="5B0EEBEA" w:rsidR="00D553CB" w:rsidRPr="00803C71" w:rsidRDefault="00D553CB" w:rsidP="00D553CB">
            <w:pPr>
              <w:rPr>
                <w:rFonts w:ascii="Arial" w:eastAsia="Batang" w:hAnsi="Arial" w:cs="Arial"/>
              </w:rPr>
            </w:pPr>
            <w:r w:rsidRPr="00803C71">
              <w:rPr>
                <w:rFonts w:ascii="Arial" w:eastAsia="Batang" w:hAnsi="Arial" w:cs="Arial"/>
              </w:rPr>
              <w:t xml:space="preserve">Pass </w:t>
            </w:r>
            <w:r>
              <w:rPr>
                <w:rFonts w:ascii="Arial" w:eastAsia="Batang" w:hAnsi="Arial" w:cs="Arial"/>
              </w:rPr>
              <w:t>(</w:t>
            </w:r>
            <w:r w:rsidR="001C183A">
              <w:rPr>
                <w:rFonts w:ascii="Arial" w:eastAsia="Batang" w:hAnsi="Arial" w:cs="Arial"/>
              </w:rPr>
              <w:t>15-7</w:t>
            </w:r>
            <w:r>
              <w:rPr>
                <w:rFonts w:ascii="Arial" w:eastAsia="Batang" w:hAnsi="Arial" w:cs="Arial"/>
              </w:rPr>
              <w:t xml:space="preserve">) </w:t>
            </w:r>
            <w:r w:rsidRPr="00803C71">
              <w:rPr>
                <w:rFonts w:ascii="Arial" w:eastAsia="Batang" w:hAnsi="Arial" w:cs="Arial"/>
              </w:rPr>
              <w:t xml:space="preserve">or Fail </w:t>
            </w:r>
            <w:r>
              <w:rPr>
                <w:rFonts w:ascii="Arial" w:eastAsia="Batang" w:hAnsi="Arial" w:cs="Arial"/>
              </w:rPr>
              <w:t>(0-</w:t>
            </w:r>
            <w:r w:rsidR="001C183A">
              <w:rPr>
                <w:rFonts w:ascii="Arial" w:eastAsia="Batang" w:hAnsi="Arial" w:cs="Arial"/>
              </w:rPr>
              <w:t>6</w:t>
            </w:r>
            <w:r>
              <w:rPr>
                <w:rFonts w:ascii="Arial" w:eastAsia="Batang" w:hAnsi="Arial" w:cs="Arial"/>
              </w:rPr>
              <w:t>)</w:t>
            </w:r>
          </w:p>
        </w:tc>
      </w:tr>
      <w:tr w:rsidR="00D553CB" w:rsidRPr="00803C71" w14:paraId="2C087749" w14:textId="77777777" w:rsidTr="00CA6C6D">
        <w:trPr>
          <w:trHeight w:val="239"/>
          <w:jc w:val="center"/>
        </w:trPr>
        <w:tc>
          <w:tcPr>
            <w:tcW w:w="3544" w:type="dxa"/>
            <w:vMerge/>
            <w:shd w:val="clear" w:color="auto" w:fill="D9D9D9" w:themeFill="background1" w:themeFillShade="D9"/>
          </w:tcPr>
          <w:p w14:paraId="6022CB14" w14:textId="77777777" w:rsidR="00D553CB" w:rsidRPr="00803C71" w:rsidRDefault="00D553CB" w:rsidP="00D553CB">
            <w:pPr>
              <w:rPr>
                <w:rFonts w:ascii="Arial" w:eastAsia="Batang" w:hAnsi="Arial" w:cs="Arial"/>
                <w:b/>
              </w:rPr>
            </w:pPr>
          </w:p>
        </w:tc>
        <w:tc>
          <w:tcPr>
            <w:tcW w:w="2410" w:type="dxa"/>
          </w:tcPr>
          <w:p w14:paraId="31D596AF" w14:textId="3D58D6A1" w:rsidR="00D553CB" w:rsidRPr="00803C71" w:rsidRDefault="00D553CB" w:rsidP="00D553CB">
            <w:pPr>
              <w:rPr>
                <w:rFonts w:ascii="Arial" w:eastAsia="Batang" w:hAnsi="Arial" w:cs="Arial"/>
              </w:rPr>
            </w:pPr>
            <w:r>
              <w:rPr>
                <w:rFonts w:ascii="Arial" w:eastAsia="Batang" w:hAnsi="Arial" w:cs="Arial"/>
              </w:rPr>
              <w:t xml:space="preserve">Very </w:t>
            </w:r>
            <w:r w:rsidR="00B151E5">
              <w:rPr>
                <w:rFonts w:ascii="Arial" w:eastAsia="Batang" w:hAnsi="Arial" w:cs="Arial"/>
              </w:rPr>
              <w:t>l</w:t>
            </w:r>
            <w:r>
              <w:rPr>
                <w:rFonts w:ascii="Arial" w:eastAsia="Batang" w:hAnsi="Arial" w:cs="Arial"/>
              </w:rPr>
              <w:t>ikely to deliver exceptional and relevant</w:t>
            </w:r>
            <w:r w:rsidRPr="00803C71">
              <w:rPr>
                <w:rFonts w:ascii="Arial" w:eastAsia="Batang" w:hAnsi="Arial" w:cs="Arial"/>
              </w:rPr>
              <w:t xml:space="preserve"> outcomes </w:t>
            </w:r>
          </w:p>
        </w:tc>
        <w:tc>
          <w:tcPr>
            <w:tcW w:w="1276" w:type="dxa"/>
          </w:tcPr>
          <w:p w14:paraId="6A0277EF" w14:textId="77777777" w:rsidR="00D553CB" w:rsidRPr="00803C71" w:rsidRDefault="00D553CB" w:rsidP="00D553CB">
            <w:pPr>
              <w:rPr>
                <w:rFonts w:ascii="Arial" w:eastAsia="Batang" w:hAnsi="Arial" w:cs="Arial"/>
              </w:rPr>
            </w:pPr>
          </w:p>
        </w:tc>
        <w:tc>
          <w:tcPr>
            <w:tcW w:w="1984" w:type="dxa"/>
          </w:tcPr>
          <w:p w14:paraId="7BC00D26" w14:textId="57F3F76B" w:rsidR="00D553CB" w:rsidRPr="00803C71" w:rsidRDefault="00D553CB" w:rsidP="00D553CB">
            <w:pPr>
              <w:rPr>
                <w:rFonts w:ascii="Arial" w:eastAsia="Batang" w:hAnsi="Arial" w:cs="Arial"/>
              </w:rPr>
            </w:pPr>
            <w:r w:rsidRPr="00803C71">
              <w:rPr>
                <w:rFonts w:ascii="Arial" w:eastAsia="Batang" w:hAnsi="Arial" w:cs="Arial"/>
              </w:rPr>
              <w:t xml:space="preserve">Likely to </w:t>
            </w:r>
            <w:r>
              <w:rPr>
                <w:rFonts w:ascii="Arial" w:eastAsia="Batang" w:hAnsi="Arial" w:cs="Arial"/>
              </w:rPr>
              <w:t>deliver a reasonable</w:t>
            </w:r>
            <w:r w:rsidRPr="00803C71">
              <w:rPr>
                <w:rFonts w:ascii="Arial" w:eastAsia="Batang" w:hAnsi="Arial" w:cs="Arial"/>
              </w:rPr>
              <w:t xml:space="preserve"> </w:t>
            </w:r>
            <w:r>
              <w:rPr>
                <w:rFonts w:ascii="Arial" w:eastAsia="Batang" w:hAnsi="Arial" w:cs="Arial"/>
              </w:rPr>
              <w:t xml:space="preserve">level of relevant </w:t>
            </w:r>
            <w:r w:rsidRPr="00803C71">
              <w:rPr>
                <w:rFonts w:ascii="Arial" w:eastAsia="Batang" w:hAnsi="Arial" w:cs="Arial"/>
              </w:rPr>
              <w:t>outcomes</w:t>
            </w:r>
          </w:p>
        </w:tc>
        <w:tc>
          <w:tcPr>
            <w:tcW w:w="1134" w:type="dxa"/>
          </w:tcPr>
          <w:p w14:paraId="11C55847" w14:textId="77777777" w:rsidR="00D553CB" w:rsidRPr="00803C71" w:rsidRDefault="00D553CB" w:rsidP="00D553CB">
            <w:pPr>
              <w:rPr>
                <w:rFonts w:ascii="Arial" w:eastAsia="Batang" w:hAnsi="Arial" w:cs="Arial"/>
              </w:rPr>
            </w:pPr>
          </w:p>
        </w:tc>
        <w:tc>
          <w:tcPr>
            <w:tcW w:w="1843" w:type="dxa"/>
          </w:tcPr>
          <w:p w14:paraId="5AD85DCE" w14:textId="6134492E" w:rsidR="00D553CB" w:rsidRPr="00803C71" w:rsidRDefault="00D553CB" w:rsidP="00D553CB">
            <w:pPr>
              <w:rPr>
                <w:rFonts w:ascii="Arial" w:eastAsia="Batang" w:hAnsi="Arial" w:cs="Arial"/>
              </w:rPr>
            </w:pPr>
            <w:r w:rsidRPr="00803C71">
              <w:rPr>
                <w:rFonts w:ascii="Arial" w:eastAsia="Batang" w:hAnsi="Arial" w:cs="Arial"/>
              </w:rPr>
              <w:t xml:space="preserve">Likely to provide limited outcomes </w:t>
            </w:r>
          </w:p>
        </w:tc>
        <w:tc>
          <w:tcPr>
            <w:tcW w:w="1984" w:type="dxa"/>
          </w:tcPr>
          <w:p w14:paraId="399382A6" w14:textId="3708CF35" w:rsidR="00D553CB" w:rsidRPr="00803C71" w:rsidRDefault="00D553CB" w:rsidP="00D553CB">
            <w:pPr>
              <w:rPr>
                <w:rFonts w:ascii="Arial" w:eastAsia="Batang" w:hAnsi="Arial" w:cs="Arial"/>
              </w:rPr>
            </w:pPr>
            <w:r w:rsidRPr="00803C71">
              <w:rPr>
                <w:rFonts w:ascii="Arial" w:eastAsia="Batang" w:hAnsi="Arial" w:cs="Arial"/>
              </w:rPr>
              <w:t>Unlikely to meet any of defined outcomes</w:t>
            </w:r>
          </w:p>
        </w:tc>
        <w:tc>
          <w:tcPr>
            <w:tcW w:w="851" w:type="dxa"/>
            <w:vMerge/>
          </w:tcPr>
          <w:p w14:paraId="6B07F9D6" w14:textId="77777777" w:rsidR="00D553CB" w:rsidRPr="00803C71" w:rsidRDefault="00D553CB" w:rsidP="00D553CB">
            <w:pPr>
              <w:rPr>
                <w:rFonts w:ascii="Arial" w:eastAsia="Batang" w:hAnsi="Arial" w:cs="Arial"/>
              </w:rPr>
            </w:pPr>
          </w:p>
        </w:tc>
      </w:tr>
      <w:tr w:rsidR="00D553CB" w:rsidRPr="00803C71" w14:paraId="3C171EDA" w14:textId="77777777" w:rsidTr="00C62F21">
        <w:trPr>
          <w:trHeight w:val="239"/>
          <w:jc w:val="center"/>
        </w:trPr>
        <w:tc>
          <w:tcPr>
            <w:tcW w:w="3544" w:type="dxa"/>
            <w:vMerge w:val="restart"/>
            <w:shd w:val="clear" w:color="auto" w:fill="D9D9D9" w:themeFill="background1" w:themeFillShade="D9"/>
          </w:tcPr>
          <w:p w14:paraId="268CF77B" w14:textId="77777777" w:rsidR="00D553CB" w:rsidRPr="00803C71" w:rsidRDefault="00D553CB" w:rsidP="00D553CB">
            <w:pPr>
              <w:rPr>
                <w:rFonts w:ascii="Arial" w:eastAsia="Batang" w:hAnsi="Arial" w:cs="Arial"/>
                <w:b/>
              </w:rPr>
            </w:pPr>
            <w:r>
              <w:rPr>
                <w:rFonts w:ascii="Arial" w:eastAsia="Batang" w:hAnsi="Arial" w:cs="Arial"/>
                <w:b/>
              </w:rPr>
              <w:lastRenderedPageBreak/>
              <w:t xml:space="preserve">Value for Money </w:t>
            </w:r>
          </w:p>
          <w:p w14:paraId="6A638885" w14:textId="1C13FEF2"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07794F2E" w14:textId="1B5AB112"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53DF4AA9" w14:textId="3AF86098"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38402304" w14:textId="0BE6E3CE"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0F8C2054" w14:textId="1DFF0226"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0DC1021F" w14:textId="7DA485BC"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407B1D4D" w14:textId="6DD4DF6A"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4E1FFC19" w14:textId="65F733EE" w:rsidR="00D553CB" w:rsidRPr="00803C71" w:rsidRDefault="00D553CB" w:rsidP="00D553CB">
            <w:pPr>
              <w:rPr>
                <w:rFonts w:ascii="Arial" w:eastAsia="Batang" w:hAnsi="Arial" w:cs="Arial"/>
              </w:rPr>
            </w:pPr>
            <w:r>
              <w:rPr>
                <w:rFonts w:ascii="Arial" w:eastAsia="Batang" w:hAnsi="Arial" w:cs="Arial"/>
              </w:rPr>
              <w:t>5</w:t>
            </w:r>
          </w:p>
        </w:tc>
      </w:tr>
      <w:tr w:rsidR="00D553CB" w:rsidRPr="00803C71" w14:paraId="67FC8011" w14:textId="77777777" w:rsidTr="00CA6C6D">
        <w:trPr>
          <w:trHeight w:val="239"/>
          <w:jc w:val="center"/>
        </w:trPr>
        <w:tc>
          <w:tcPr>
            <w:tcW w:w="3544" w:type="dxa"/>
            <w:vMerge/>
            <w:shd w:val="clear" w:color="auto" w:fill="D9D9D9" w:themeFill="background1" w:themeFillShade="D9"/>
          </w:tcPr>
          <w:p w14:paraId="105AAB5A" w14:textId="7E6B3D7C" w:rsidR="00D553CB" w:rsidRDefault="00D553CB" w:rsidP="00D553CB">
            <w:pPr>
              <w:rPr>
                <w:rFonts w:ascii="Arial" w:eastAsia="Batang" w:hAnsi="Arial" w:cs="Arial"/>
                <w:b/>
              </w:rPr>
            </w:pPr>
          </w:p>
        </w:tc>
        <w:tc>
          <w:tcPr>
            <w:tcW w:w="2410" w:type="dxa"/>
          </w:tcPr>
          <w:p w14:paraId="016C55C5" w14:textId="40F32725" w:rsidR="00D553CB" w:rsidRPr="00803C71" w:rsidRDefault="00D553CB" w:rsidP="00D553CB">
            <w:pPr>
              <w:rPr>
                <w:rFonts w:ascii="Arial" w:eastAsia="Batang" w:hAnsi="Arial" w:cs="Arial"/>
              </w:rPr>
            </w:pPr>
            <w:r>
              <w:rPr>
                <w:rFonts w:ascii="Arial" w:eastAsia="Batang" w:hAnsi="Arial" w:cs="Arial"/>
              </w:rPr>
              <w:t>Exceptional value for money</w:t>
            </w:r>
            <w:r w:rsidR="00A36651">
              <w:rPr>
                <w:rFonts w:ascii="Arial" w:eastAsia="Batang" w:hAnsi="Arial" w:cs="Arial"/>
              </w:rPr>
              <w:t xml:space="preserve"> </w:t>
            </w:r>
          </w:p>
        </w:tc>
        <w:tc>
          <w:tcPr>
            <w:tcW w:w="1276" w:type="dxa"/>
          </w:tcPr>
          <w:p w14:paraId="34231147" w14:textId="713089CC" w:rsidR="00D553CB" w:rsidRPr="00803C71" w:rsidRDefault="00D553CB" w:rsidP="00D553CB">
            <w:pPr>
              <w:rPr>
                <w:rFonts w:ascii="Arial" w:eastAsia="Batang" w:hAnsi="Arial" w:cs="Arial"/>
              </w:rPr>
            </w:pPr>
            <w:r w:rsidRPr="00803C71">
              <w:rPr>
                <w:rFonts w:ascii="Arial" w:eastAsia="Batang" w:hAnsi="Arial" w:cs="Arial"/>
              </w:rPr>
              <w:t>potentially very good value for money</w:t>
            </w:r>
          </w:p>
        </w:tc>
        <w:tc>
          <w:tcPr>
            <w:tcW w:w="1984" w:type="dxa"/>
          </w:tcPr>
          <w:p w14:paraId="405A98CD" w14:textId="16E4B9C4" w:rsidR="00D553CB" w:rsidRPr="00803C71" w:rsidRDefault="00D553CB" w:rsidP="00D553CB">
            <w:pPr>
              <w:rPr>
                <w:rFonts w:ascii="Arial" w:eastAsia="Batang" w:hAnsi="Arial" w:cs="Arial"/>
              </w:rPr>
            </w:pPr>
            <w:r w:rsidRPr="00803C71">
              <w:rPr>
                <w:rFonts w:ascii="Arial" w:eastAsia="Batang" w:hAnsi="Arial" w:cs="Arial"/>
              </w:rPr>
              <w:t>represent</w:t>
            </w:r>
            <w:r>
              <w:rPr>
                <w:rFonts w:ascii="Arial" w:eastAsia="Batang" w:hAnsi="Arial" w:cs="Arial"/>
              </w:rPr>
              <w:t>s</w:t>
            </w:r>
            <w:r w:rsidRPr="00803C71">
              <w:rPr>
                <w:rFonts w:ascii="Arial" w:eastAsia="Batang" w:hAnsi="Arial" w:cs="Arial"/>
              </w:rPr>
              <w:t xml:space="preserve"> reasonable value for money</w:t>
            </w:r>
          </w:p>
        </w:tc>
        <w:tc>
          <w:tcPr>
            <w:tcW w:w="1134" w:type="dxa"/>
          </w:tcPr>
          <w:p w14:paraId="6EA4C4CD" w14:textId="4D211462" w:rsidR="00D553CB" w:rsidRPr="00803C71" w:rsidRDefault="00D553CB" w:rsidP="00D553CB">
            <w:pPr>
              <w:rPr>
                <w:rFonts w:ascii="Arial" w:eastAsia="Batang" w:hAnsi="Arial" w:cs="Arial"/>
              </w:rPr>
            </w:pPr>
            <w:r w:rsidRPr="00803C71">
              <w:rPr>
                <w:rFonts w:ascii="Arial" w:eastAsia="Batang" w:hAnsi="Arial" w:cs="Arial"/>
              </w:rPr>
              <w:t>4-3</w:t>
            </w:r>
          </w:p>
        </w:tc>
        <w:tc>
          <w:tcPr>
            <w:tcW w:w="1843" w:type="dxa"/>
          </w:tcPr>
          <w:p w14:paraId="421EEA34" w14:textId="7FA36F93" w:rsidR="00D553CB" w:rsidRPr="00803C71" w:rsidRDefault="00D553CB" w:rsidP="00D553CB">
            <w:pPr>
              <w:rPr>
                <w:rFonts w:ascii="Arial" w:eastAsia="Batang" w:hAnsi="Arial" w:cs="Arial"/>
              </w:rPr>
            </w:pPr>
            <w:r>
              <w:rPr>
                <w:rFonts w:ascii="Arial" w:eastAsia="Batang" w:hAnsi="Arial" w:cs="Arial"/>
              </w:rPr>
              <w:t>Offers less favourable value for money.</w:t>
            </w:r>
          </w:p>
        </w:tc>
        <w:tc>
          <w:tcPr>
            <w:tcW w:w="1984" w:type="dxa"/>
          </w:tcPr>
          <w:p w14:paraId="370B9EF0" w14:textId="088812B7" w:rsidR="00D553CB" w:rsidRPr="00803C71" w:rsidRDefault="00D553CB" w:rsidP="00D553CB">
            <w:pPr>
              <w:rPr>
                <w:rFonts w:ascii="Arial" w:eastAsia="Batang" w:hAnsi="Arial" w:cs="Arial"/>
              </w:rPr>
            </w:pPr>
            <w:r>
              <w:rPr>
                <w:rFonts w:ascii="Arial" w:eastAsia="Batang" w:hAnsi="Arial" w:cs="Arial"/>
              </w:rPr>
              <w:t xml:space="preserve">Unlikely to offer any value for money. </w:t>
            </w:r>
          </w:p>
        </w:tc>
        <w:tc>
          <w:tcPr>
            <w:tcW w:w="851" w:type="dxa"/>
            <w:vMerge/>
          </w:tcPr>
          <w:p w14:paraId="53DD330E" w14:textId="661BF442" w:rsidR="00D553CB" w:rsidRDefault="00D553CB" w:rsidP="00D553CB">
            <w:pPr>
              <w:rPr>
                <w:rFonts w:ascii="Arial" w:eastAsia="Batang" w:hAnsi="Arial" w:cs="Arial"/>
              </w:rPr>
            </w:pPr>
          </w:p>
        </w:tc>
      </w:tr>
      <w:tr w:rsidR="00D553CB" w:rsidRPr="00803C71" w14:paraId="0E535109" w14:textId="77777777" w:rsidTr="00CA6C6D">
        <w:trPr>
          <w:trHeight w:val="169"/>
          <w:jc w:val="center"/>
        </w:trPr>
        <w:tc>
          <w:tcPr>
            <w:tcW w:w="3544" w:type="dxa"/>
            <w:vMerge w:val="restart"/>
            <w:shd w:val="clear" w:color="auto" w:fill="D9D9D9" w:themeFill="background1" w:themeFillShade="D9"/>
          </w:tcPr>
          <w:p w14:paraId="1474DFCD" w14:textId="77777777" w:rsidR="00D553CB" w:rsidRDefault="00D553CB" w:rsidP="00D553CB">
            <w:pPr>
              <w:rPr>
                <w:rFonts w:ascii="Arial" w:eastAsia="Batang" w:hAnsi="Arial" w:cs="Arial"/>
                <w:bCs/>
              </w:rPr>
            </w:pPr>
            <w:r w:rsidRPr="00803C71">
              <w:rPr>
                <w:rFonts w:ascii="Arial" w:eastAsia="Batang" w:hAnsi="Arial" w:cs="Arial"/>
                <w:b/>
              </w:rPr>
              <w:t xml:space="preserve">Intensity of grant request </w:t>
            </w:r>
            <w:r w:rsidRPr="00803C71">
              <w:rPr>
                <w:rFonts w:ascii="Arial" w:eastAsia="Batang" w:hAnsi="Arial" w:cs="Arial"/>
                <w:bCs/>
              </w:rPr>
              <w:t>(% of total funding requested from NTCA)</w:t>
            </w:r>
          </w:p>
          <w:p w14:paraId="5BD4FEC3" w14:textId="26029313"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153E777A" w14:textId="6BB9BDF4"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187A47BC" w14:textId="0BA5B691"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261EA48E" w14:textId="5AFD9358"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009BAA57" w14:textId="28341D3B"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6EE27B68" w14:textId="541D08EF"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01A540A5" w14:textId="27365042"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3BAD9C56" w14:textId="1EABB75D" w:rsidR="00D553CB" w:rsidRPr="00803C71" w:rsidRDefault="00D553CB" w:rsidP="00D553CB">
            <w:pPr>
              <w:rPr>
                <w:rFonts w:ascii="Arial" w:eastAsia="Batang" w:hAnsi="Arial" w:cs="Arial"/>
              </w:rPr>
            </w:pPr>
            <w:r>
              <w:rPr>
                <w:rFonts w:ascii="Arial" w:eastAsia="Batang" w:hAnsi="Arial" w:cs="Arial"/>
              </w:rPr>
              <w:t>5</w:t>
            </w:r>
          </w:p>
        </w:tc>
      </w:tr>
      <w:tr w:rsidR="00D553CB" w:rsidRPr="00803C71" w14:paraId="180AED38" w14:textId="77777777" w:rsidTr="00CA6C6D">
        <w:trPr>
          <w:trHeight w:val="340"/>
          <w:jc w:val="center"/>
        </w:trPr>
        <w:tc>
          <w:tcPr>
            <w:tcW w:w="3544" w:type="dxa"/>
            <w:vMerge/>
            <w:shd w:val="clear" w:color="auto" w:fill="D9D9D9" w:themeFill="background1" w:themeFillShade="D9"/>
          </w:tcPr>
          <w:p w14:paraId="2D587148" w14:textId="77777777" w:rsidR="00D553CB" w:rsidRPr="00803C71" w:rsidRDefault="00D553CB" w:rsidP="00D553CB">
            <w:pPr>
              <w:rPr>
                <w:rFonts w:ascii="Arial" w:eastAsia="Batang" w:hAnsi="Arial" w:cs="Arial"/>
                <w:b/>
              </w:rPr>
            </w:pPr>
          </w:p>
        </w:tc>
        <w:tc>
          <w:tcPr>
            <w:tcW w:w="2410" w:type="dxa"/>
          </w:tcPr>
          <w:p w14:paraId="34FE94AC" w14:textId="77777777" w:rsidR="00D553CB" w:rsidRPr="00803C71" w:rsidRDefault="00D553CB" w:rsidP="00D553CB">
            <w:pPr>
              <w:rPr>
                <w:rFonts w:ascii="Arial" w:eastAsia="Batang" w:hAnsi="Arial" w:cs="Arial"/>
              </w:rPr>
            </w:pPr>
            <w:r w:rsidRPr="00803C71">
              <w:rPr>
                <w:rFonts w:ascii="Arial" w:eastAsia="Batang" w:hAnsi="Arial" w:cs="Arial"/>
              </w:rPr>
              <w:t>1-20%</w:t>
            </w:r>
          </w:p>
          <w:p w14:paraId="259A6932" w14:textId="77777777" w:rsidR="00D553CB" w:rsidRPr="00803C71" w:rsidRDefault="00D553CB" w:rsidP="00D553CB">
            <w:pPr>
              <w:rPr>
                <w:rFonts w:ascii="Arial" w:eastAsia="Batang" w:hAnsi="Arial" w:cs="Arial"/>
              </w:rPr>
            </w:pPr>
          </w:p>
        </w:tc>
        <w:tc>
          <w:tcPr>
            <w:tcW w:w="1276" w:type="dxa"/>
          </w:tcPr>
          <w:p w14:paraId="2FC26D6B" w14:textId="77777777" w:rsidR="00D553CB" w:rsidRPr="00803C71" w:rsidRDefault="00D553CB" w:rsidP="00D553CB">
            <w:pPr>
              <w:rPr>
                <w:rFonts w:ascii="Arial" w:eastAsia="Batang" w:hAnsi="Arial" w:cs="Arial"/>
              </w:rPr>
            </w:pPr>
            <w:r w:rsidRPr="00803C71">
              <w:rPr>
                <w:rFonts w:ascii="Arial" w:eastAsia="Batang" w:hAnsi="Arial" w:cs="Arial"/>
              </w:rPr>
              <w:t>21-40%</w:t>
            </w:r>
          </w:p>
        </w:tc>
        <w:tc>
          <w:tcPr>
            <w:tcW w:w="1984" w:type="dxa"/>
          </w:tcPr>
          <w:p w14:paraId="50EC7BEF" w14:textId="77777777" w:rsidR="00D553CB" w:rsidRPr="00803C71" w:rsidRDefault="00D553CB" w:rsidP="00D553CB">
            <w:pPr>
              <w:rPr>
                <w:rFonts w:ascii="Arial" w:eastAsia="Batang" w:hAnsi="Arial" w:cs="Arial"/>
              </w:rPr>
            </w:pPr>
            <w:r w:rsidRPr="00803C71">
              <w:rPr>
                <w:rFonts w:ascii="Arial" w:eastAsia="Batang" w:hAnsi="Arial" w:cs="Arial"/>
              </w:rPr>
              <w:t>41- 60%</w:t>
            </w:r>
          </w:p>
        </w:tc>
        <w:tc>
          <w:tcPr>
            <w:tcW w:w="1134" w:type="dxa"/>
          </w:tcPr>
          <w:p w14:paraId="1B5B6667" w14:textId="77777777" w:rsidR="00D553CB" w:rsidRPr="00803C71" w:rsidRDefault="00D553CB" w:rsidP="00D553CB">
            <w:pPr>
              <w:rPr>
                <w:rFonts w:ascii="Arial" w:eastAsia="Batang" w:hAnsi="Arial" w:cs="Arial"/>
              </w:rPr>
            </w:pPr>
            <w:r w:rsidRPr="00803C71">
              <w:rPr>
                <w:rFonts w:ascii="Arial" w:eastAsia="Batang" w:hAnsi="Arial" w:cs="Arial"/>
              </w:rPr>
              <w:t>61-70%</w:t>
            </w:r>
          </w:p>
        </w:tc>
        <w:tc>
          <w:tcPr>
            <w:tcW w:w="1843" w:type="dxa"/>
          </w:tcPr>
          <w:p w14:paraId="1C744A72" w14:textId="77777777" w:rsidR="00D553CB" w:rsidRPr="00803C71" w:rsidRDefault="00D553CB" w:rsidP="00D553CB">
            <w:pPr>
              <w:rPr>
                <w:rFonts w:ascii="Arial" w:eastAsia="Batang" w:hAnsi="Arial" w:cs="Arial"/>
              </w:rPr>
            </w:pPr>
            <w:r w:rsidRPr="00803C71">
              <w:rPr>
                <w:rFonts w:ascii="Arial" w:eastAsia="Batang" w:hAnsi="Arial" w:cs="Arial"/>
              </w:rPr>
              <w:t>71-80%</w:t>
            </w:r>
          </w:p>
        </w:tc>
        <w:tc>
          <w:tcPr>
            <w:tcW w:w="1984" w:type="dxa"/>
            <w:shd w:val="clear" w:color="auto" w:fill="FFFFFF" w:themeFill="background1"/>
          </w:tcPr>
          <w:p w14:paraId="3458C6C4" w14:textId="77777777" w:rsidR="00D553CB" w:rsidRPr="00803C71" w:rsidRDefault="00D553CB" w:rsidP="00D553CB">
            <w:pPr>
              <w:rPr>
                <w:rFonts w:ascii="Arial" w:eastAsia="Batang" w:hAnsi="Arial" w:cs="Arial"/>
              </w:rPr>
            </w:pPr>
            <w:r w:rsidRPr="00803C71">
              <w:rPr>
                <w:rFonts w:ascii="Arial" w:eastAsia="Batang" w:hAnsi="Arial" w:cs="Arial"/>
              </w:rPr>
              <w:t>80-100%</w:t>
            </w:r>
          </w:p>
        </w:tc>
        <w:tc>
          <w:tcPr>
            <w:tcW w:w="851" w:type="dxa"/>
            <w:vMerge/>
          </w:tcPr>
          <w:p w14:paraId="4CCE0E64" w14:textId="77777777" w:rsidR="00D553CB" w:rsidRPr="00803C71" w:rsidRDefault="00D553CB" w:rsidP="00D553CB">
            <w:pPr>
              <w:rPr>
                <w:rFonts w:ascii="Arial" w:eastAsia="Batang" w:hAnsi="Arial" w:cs="Arial"/>
              </w:rPr>
            </w:pPr>
          </w:p>
        </w:tc>
      </w:tr>
      <w:tr w:rsidR="00D553CB" w:rsidRPr="00803C71" w14:paraId="31E01C7C" w14:textId="77777777" w:rsidTr="00CA6C6D">
        <w:trPr>
          <w:trHeight w:val="161"/>
          <w:jc w:val="center"/>
        </w:trPr>
        <w:tc>
          <w:tcPr>
            <w:tcW w:w="3544" w:type="dxa"/>
            <w:vMerge w:val="restart"/>
            <w:shd w:val="clear" w:color="auto" w:fill="D9D9D9" w:themeFill="background1" w:themeFillShade="D9"/>
          </w:tcPr>
          <w:p w14:paraId="763B3D7B" w14:textId="77777777" w:rsidR="00D553CB" w:rsidRPr="00803C71" w:rsidRDefault="00D553CB" w:rsidP="00D553CB">
            <w:pPr>
              <w:rPr>
                <w:rFonts w:ascii="Arial" w:eastAsia="Batang" w:hAnsi="Arial" w:cs="Arial"/>
                <w:b/>
              </w:rPr>
            </w:pPr>
            <w:r w:rsidRPr="00803C71">
              <w:rPr>
                <w:rFonts w:ascii="Arial" w:eastAsia="Batang" w:hAnsi="Arial" w:cs="Arial"/>
                <w:b/>
              </w:rPr>
              <w:t xml:space="preserve">Status of the match funding </w:t>
            </w:r>
          </w:p>
        </w:tc>
        <w:tc>
          <w:tcPr>
            <w:tcW w:w="2410" w:type="dxa"/>
            <w:shd w:val="clear" w:color="auto" w:fill="538135" w:themeFill="accent6" w:themeFillShade="BF"/>
          </w:tcPr>
          <w:p w14:paraId="59B2841B" w14:textId="77777777"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3082D35B" w14:textId="77777777"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25F311D8" w14:textId="77777777"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79003F64" w14:textId="77777777"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198CDAD0" w14:textId="77777777"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4BB31E3A"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319B678B" w14:textId="77777777" w:rsidR="00D553CB" w:rsidRPr="00803C71" w:rsidRDefault="00D553CB" w:rsidP="00D553CB">
            <w:pPr>
              <w:rPr>
                <w:rFonts w:ascii="Arial" w:eastAsia="Batang" w:hAnsi="Arial" w:cs="Arial"/>
              </w:rPr>
            </w:pPr>
            <w:r w:rsidRPr="00803C71">
              <w:rPr>
                <w:rFonts w:ascii="Arial" w:eastAsia="Batang" w:hAnsi="Arial" w:cs="Arial"/>
              </w:rPr>
              <w:t>5</w:t>
            </w:r>
          </w:p>
        </w:tc>
      </w:tr>
      <w:tr w:rsidR="00D553CB" w:rsidRPr="00803C71" w14:paraId="237EC9E3" w14:textId="77777777" w:rsidTr="00CA6C6D">
        <w:trPr>
          <w:trHeight w:val="673"/>
          <w:jc w:val="center"/>
        </w:trPr>
        <w:tc>
          <w:tcPr>
            <w:tcW w:w="3544" w:type="dxa"/>
            <w:vMerge/>
            <w:shd w:val="clear" w:color="auto" w:fill="D9D9D9" w:themeFill="background1" w:themeFillShade="D9"/>
          </w:tcPr>
          <w:p w14:paraId="7DB1847B" w14:textId="77777777" w:rsidR="00D553CB" w:rsidRPr="00803C71" w:rsidRDefault="00D553CB" w:rsidP="00D553CB">
            <w:pPr>
              <w:rPr>
                <w:rFonts w:ascii="Arial" w:eastAsia="Batang" w:hAnsi="Arial" w:cs="Arial"/>
                <w:b/>
              </w:rPr>
            </w:pPr>
          </w:p>
        </w:tc>
        <w:tc>
          <w:tcPr>
            <w:tcW w:w="2410" w:type="dxa"/>
          </w:tcPr>
          <w:p w14:paraId="2DD371FE" w14:textId="77777777" w:rsidR="00D553CB" w:rsidRDefault="00D553CB" w:rsidP="00D553CB">
            <w:pPr>
              <w:rPr>
                <w:rFonts w:ascii="Arial" w:eastAsia="Batang" w:hAnsi="Arial" w:cs="Arial"/>
              </w:rPr>
            </w:pPr>
            <w:r w:rsidRPr="00803C71">
              <w:rPr>
                <w:rFonts w:ascii="Arial" w:eastAsia="Batang" w:hAnsi="Arial" w:cs="Arial"/>
              </w:rPr>
              <w:t xml:space="preserve">Fully confirmed </w:t>
            </w:r>
          </w:p>
          <w:p w14:paraId="1E344ECF" w14:textId="0BD06575" w:rsidR="00CB77CC" w:rsidRPr="00803C71" w:rsidRDefault="00CB77CC" w:rsidP="00D553CB">
            <w:pPr>
              <w:rPr>
                <w:rFonts w:ascii="Arial" w:eastAsia="Batang" w:hAnsi="Arial" w:cs="Arial"/>
              </w:rPr>
            </w:pPr>
            <w:r>
              <w:rPr>
                <w:rFonts w:ascii="Arial" w:eastAsia="Batang" w:hAnsi="Arial" w:cs="Arial"/>
              </w:rPr>
              <w:t>50%</w:t>
            </w:r>
          </w:p>
        </w:tc>
        <w:tc>
          <w:tcPr>
            <w:tcW w:w="1276" w:type="dxa"/>
          </w:tcPr>
          <w:p w14:paraId="57C012DF" w14:textId="752FDA60" w:rsidR="00D553CB" w:rsidRPr="00803C71" w:rsidRDefault="00CB77CC" w:rsidP="00D553CB">
            <w:pPr>
              <w:rPr>
                <w:rFonts w:ascii="Arial" w:eastAsia="Batang" w:hAnsi="Arial" w:cs="Arial"/>
              </w:rPr>
            </w:pPr>
            <w:r>
              <w:rPr>
                <w:rFonts w:ascii="Arial" w:eastAsia="Batang" w:hAnsi="Arial" w:cs="Arial"/>
              </w:rPr>
              <w:t>40%</w:t>
            </w:r>
          </w:p>
        </w:tc>
        <w:tc>
          <w:tcPr>
            <w:tcW w:w="1984" w:type="dxa"/>
          </w:tcPr>
          <w:p w14:paraId="7EA0CD46" w14:textId="0AA1D5A5" w:rsidR="00D553CB" w:rsidRPr="00803C71" w:rsidRDefault="00CB77CC" w:rsidP="00D553CB">
            <w:pPr>
              <w:rPr>
                <w:rFonts w:ascii="Arial" w:eastAsia="Batang" w:hAnsi="Arial" w:cs="Arial"/>
              </w:rPr>
            </w:pPr>
            <w:r>
              <w:rPr>
                <w:rFonts w:ascii="Arial" w:eastAsia="Batang" w:hAnsi="Arial" w:cs="Arial"/>
              </w:rPr>
              <w:t>30%</w:t>
            </w:r>
          </w:p>
        </w:tc>
        <w:tc>
          <w:tcPr>
            <w:tcW w:w="1134" w:type="dxa"/>
          </w:tcPr>
          <w:p w14:paraId="79EFF594" w14:textId="5C2306A8" w:rsidR="00D553CB" w:rsidRPr="00803C71" w:rsidRDefault="00CB77CC" w:rsidP="00D553CB">
            <w:pPr>
              <w:rPr>
                <w:rFonts w:ascii="Arial" w:eastAsia="Batang" w:hAnsi="Arial" w:cs="Arial"/>
              </w:rPr>
            </w:pPr>
            <w:r>
              <w:rPr>
                <w:rFonts w:ascii="Arial" w:eastAsia="Batang" w:hAnsi="Arial" w:cs="Arial"/>
              </w:rPr>
              <w:t>20%</w:t>
            </w:r>
          </w:p>
        </w:tc>
        <w:tc>
          <w:tcPr>
            <w:tcW w:w="1843" w:type="dxa"/>
          </w:tcPr>
          <w:p w14:paraId="2EB827EA" w14:textId="77777777" w:rsidR="00D553CB" w:rsidRDefault="00D553CB" w:rsidP="00D553CB">
            <w:pPr>
              <w:rPr>
                <w:rFonts w:ascii="Arial" w:eastAsia="Batang" w:hAnsi="Arial" w:cs="Arial"/>
              </w:rPr>
            </w:pPr>
            <w:r w:rsidRPr="00803C71">
              <w:rPr>
                <w:rFonts w:ascii="Arial" w:eastAsia="Batang" w:hAnsi="Arial" w:cs="Arial"/>
              </w:rPr>
              <w:t>Little match funding in place</w:t>
            </w:r>
          </w:p>
          <w:p w14:paraId="05AD386A" w14:textId="689C647E" w:rsidR="00CB77CC" w:rsidRPr="00803C71" w:rsidRDefault="00CB77CC" w:rsidP="00D553CB">
            <w:pPr>
              <w:rPr>
                <w:rFonts w:ascii="Arial" w:eastAsia="Batang" w:hAnsi="Arial" w:cs="Arial"/>
              </w:rPr>
            </w:pPr>
            <w:r>
              <w:rPr>
                <w:rFonts w:ascii="Arial" w:eastAsia="Batang" w:hAnsi="Arial" w:cs="Arial"/>
              </w:rPr>
              <w:t>&gt;20%</w:t>
            </w:r>
          </w:p>
        </w:tc>
        <w:tc>
          <w:tcPr>
            <w:tcW w:w="1984" w:type="dxa"/>
          </w:tcPr>
          <w:p w14:paraId="4E661A4D" w14:textId="77777777" w:rsidR="00D553CB" w:rsidRDefault="00D553CB" w:rsidP="00D553CB">
            <w:pPr>
              <w:rPr>
                <w:rFonts w:ascii="Arial" w:eastAsia="Batang" w:hAnsi="Arial" w:cs="Arial"/>
              </w:rPr>
            </w:pPr>
            <w:r w:rsidRPr="00803C71">
              <w:rPr>
                <w:rFonts w:ascii="Arial" w:eastAsia="Batang" w:hAnsi="Arial" w:cs="Arial"/>
              </w:rPr>
              <w:t xml:space="preserve">No source of match funding identified </w:t>
            </w:r>
          </w:p>
          <w:p w14:paraId="6159E18B" w14:textId="6657B921" w:rsidR="00CA6C6D" w:rsidRPr="00803C71" w:rsidRDefault="00CA6C6D" w:rsidP="00D553CB">
            <w:pPr>
              <w:rPr>
                <w:rFonts w:ascii="Arial" w:eastAsia="Batang" w:hAnsi="Arial" w:cs="Arial"/>
              </w:rPr>
            </w:pPr>
          </w:p>
        </w:tc>
        <w:tc>
          <w:tcPr>
            <w:tcW w:w="851" w:type="dxa"/>
            <w:vMerge/>
          </w:tcPr>
          <w:p w14:paraId="502E83B0" w14:textId="77777777" w:rsidR="00D553CB" w:rsidRPr="00803C71" w:rsidRDefault="00D553CB" w:rsidP="00D553CB">
            <w:pPr>
              <w:rPr>
                <w:rFonts w:ascii="Arial" w:eastAsia="Batang" w:hAnsi="Arial" w:cs="Arial"/>
              </w:rPr>
            </w:pPr>
          </w:p>
        </w:tc>
      </w:tr>
      <w:tr w:rsidR="00D553CB" w:rsidRPr="00803C71" w14:paraId="48CFF21B" w14:textId="77777777" w:rsidTr="00CA6C6D">
        <w:trPr>
          <w:trHeight w:val="161"/>
          <w:jc w:val="center"/>
        </w:trPr>
        <w:tc>
          <w:tcPr>
            <w:tcW w:w="3544" w:type="dxa"/>
            <w:vMerge w:val="restart"/>
            <w:shd w:val="clear" w:color="auto" w:fill="D9D9D9" w:themeFill="background1" w:themeFillShade="D9"/>
          </w:tcPr>
          <w:p w14:paraId="6593E3E7" w14:textId="77777777" w:rsidR="00D553CB" w:rsidRDefault="00D553CB" w:rsidP="00D553CB">
            <w:pPr>
              <w:rPr>
                <w:rFonts w:ascii="Arial" w:eastAsia="Batang" w:hAnsi="Arial" w:cs="Arial"/>
                <w:b/>
              </w:rPr>
            </w:pPr>
            <w:r>
              <w:rPr>
                <w:rFonts w:ascii="Arial" w:eastAsia="Batang" w:hAnsi="Arial" w:cs="Arial"/>
                <w:b/>
              </w:rPr>
              <w:t>Subsi</w:t>
            </w:r>
            <w:r w:rsidR="009F5096">
              <w:rPr>
                <w:rFonts w:ascii="Arial" w:eastAsia="Batang" w:hAnsi="Arial" w:cs="Arial"/>
                <w:b/>
              </w:rPr>
              <w:t>d</w:t>
            </w:r>
            <w:r>
              <w:rPr>
                <w:rFonts w:ascii="Arial" w:eastAsia="Batang" w:hAnsi="Arial" w:cs="Arial"/>
                <w:b/>
              </w:rPr>
              <w:t>y</w:t>
            </w:r>
            <w:r w:rsidR="00B7168A">
              <w:rPr>
                <w:rFonts w:ascii="Arial" w:eastAsia="Batang" w:hAnsi="Arial" w:cs="Arial"/>
                <w:b/>
              </w:rPr>
              <w:t xml:space="preserve"> Control Risk</w:t>
            </w:r>
          </w:p>
          <w:p w14:paraId="5974D8B5" w14:textId="77777777" w:rsidR="00B01B1A" w:rsidRDefault="00B01B1A" w:rsidP="00D553CB">
            <w:pPr>
              <w:rPr>
                <w:rFonts w:ascii="Arial" w:eastAsia="Batang" w:hAnsi="Arial" w:cs="Arial"/>
                <w:b/>
              </w:rPr>
            </w:pPr>
          </w:p>
          <w:p w14:paraId="1377FBFE" w14:textId="77777777" w:rsidR="00B01B1A" w:rsidRDefault="00B01B1A" w:rsidP="00D553CB">
            <w:pPr>
              <w:rPr>
                <w:rFonts w:ascii="Arial" w:eastAsia="Batang" w:hAnsi="Arial" w:cs="Arial"/>
                <w:b/>
              </w:rPr>
            </w:pPr>
          </w:p>
          <w:p w14:paraId="29237502" w14:textId="77777777" w:rsidR="00B01B1A" w:rsidRDefault="00B01B1A" w:rsidP="00D553CB">
            <w:pPr>
              <w:rPr>
                <w:rFonts w:ascii="Arial" w:eastAsia="Batang" w:hAnsi="Arial" w:cs="Arial"/>
                <w:b/>
              </w:rPr>
            </w:pPr>
          </w:p>
          <w:p w14:paraId="25EDCC8F" w14:textId="77777777" w:rsidR="00B01B1A" w:rsidRDefault="00B01B1A" w:rsidP="00D553CB">
            <w:pPr>
              <w:rPr>
                <w:rFonts w:ascii="Arial" w:eastAsia="Batang" w:hAnsi="Arial" w:cs="Arial"/>
                <w:b/>
              </w:rPr>
            </w:pPr>
          </w:p>
          <w:p w14:paraId="1635682E" w14:textId="77777777" w:rsidR="00B01B1A" w:rsidRDefault="00B01B1A" w:rsidP="00D553CB">
            <w:pPr>
              <w:rPr>
                <w:rFonts w:ascii="Arial" w:eastAsia="Batang" w:hAnsi="Arial" w:cs="Arial"/>
                <w:b/>
              </w:rPr>
            </w:pPr>
          </w:p>
          <w:p w14:paraId="536CB596" w14:textId="77777777" w:rsidR="00B01B1A" w:rsidRDefault="00B01B1A" w:rsidP="00D553CB">
            <w:pPr>
              <w:rPr>
                <w:rFonts w:ascii="Arial" w:eastAsia="Batang" w:hAnsi="Arial" w:cs="Arial"/>
                <w:b/>
              </w:rPr>
            </w:pPr>
          </w:p>
          <w:p w14:paraId="0364E3EA" w14:textId="77777777" w:rsidR="00B01B1A" w:rsidRDefault="00B01B1A" w:rsidP="00D553CB">
            <w:pPr>
              <w:rPr>
                <w:rFonts w:ascii="Arial" w:eastAsia="Batang" w:hAnsi="Arial" w:cs="Arial"/>
                <w:b/>
              </w:rPr>
            </w:pPr>
          </w:p>
          <w:p w14:paraId="17364083" w14:textId="77777777" w:rsidR="00B01B1A" w:rsidRDefault="00B01B1A" w:rsidP="00D553CB">
            <w:pPr>
              <w:rPr>
                <w:rFonts w:ascii="Arial" w:eastAsia="Batang" w:hAnsi="Arial" w:cs="Arial"/>
                <w:b/>
              </w:rPr>
            </w:pPr>
          </w:p>
          <w:p w14:paraId="4B66A646" w14:textId="77777777" w:rsidR="00B01B1A" w:rsidRDefault="00B01B1A" w:rsidP="00D553CB">
            <w:pPr>
              <w:rPr>
                <w:rFonts w:ascii="Arial" w:eastAsia="Batang" w:hAnsi="Arial" w:cs="Arial"/>
                <w:b/>
              </w:rPr>
            </w:pPr>
          </w:p>
          <w:p w14:paraId="42F4F375" w14:textId="77777777" w:rsidR="00B01B1A" w:rsidRDefault="00B01B1A" w:rsidP="00D553CB">
            <w:pPr>
              <w:rPr>
                <w:rFonts w:ascii="Arial" w:eastAsia="Batang" w:hAnsi="Arial" w:cs="Arial"/>
                <w:b/>
              </w:rPr>
            </w:pPr>
          </w:p>
          <w:p w14:paraId="2F8319F8" w14:textId="77777777" w:rsidR="00B01B1A" w:rsidRDefault="00B01B1A" w:rsidP="00D553CB">
            <w:pPr>
              <w:rPr>
                <w:rFonts w:ascii="Arial" w:eastAsia="Batang" w:hAnsi="Arial" w:cs="Arial"/>
                <w:b/>
              </w:rPr>
            </w:pPr>
          </w:p>
          <w:p w14:paraId="2417FE31" w14:textId="77777777" w:rsidR="00B01B1A" w:rsidRDefault="00B01B1A" w:rsidP="00D553CB">
            <w:pPr>
              <w:rPr>
                <w:rFonts w:ascii="Arial" w:eastAsia="Batang" w:hAnsi="Arial" w:cs="Arial"/>
                <w:b/>
              </w:rPr>
            </w:pPr>
          </w:p>
          <w:p w14:paraId="7E06F84D" w14:textId="77777777" w:rsidR="00B01B1A" w:rsidRDefault="00B01B1A" w:rsidP="00D553CB">
            <w:pPr>
              <w:rPr>
                <w:rFonts w:ascii="Arial" w:eastAsia="Batang" w:hAnsi="Arial" w:cs="Arial"/>
                <w:b/>
              </w:rPr>
            </w:pPr>
          </w:p>
          <w:p w14:paraId="37DC6C2A" w14:textId="77777777" w:rsidR="00B01B1A" w:rsidRDefault="00B01B1A" w:rsidP="00D553CB">
            <w:pPr>
              <w:rPr>
                <w:rFonts w:ascii="Arial" w:eastAsia="Batang" w:hAnsi="Arial" w:cs="Arial"/>
                <w:b/>
              </w:rPr>
            </w:pPr>
          </w:p>
          <w:p w14:paraId="5213BFDD" w14:textId="6C70A0F9" w:rsidR="00B01B1A" w:rsidRPr="00803C71" w:rsidRDefault="00B01B1A" w:rsidP="00D553CB">
            <w:pPr>
              <w:rPr>
                <w:rFonts w:ascii="Arial" w:eastAsia="Batang" w:hAnsi="Arial" w:cs="Arial"/>
                <w:b/>
              </w:rPr>
            </w:pPr>
          </w:p>
        </w:tc>
        <w:tc>
          <w:tcPr>
            <w:tcW w:w="2410" w:type="dxa"/>
            <w:shd w:val="clear" w:color="auto" w:fill="538135" w:themeFill="accent6" w:themeFillShade="BF"/>
          </w:tcPr>
          <w:p w14:paraId="5AB4562D" w14:textId="77777777"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535AF4D5" w14:textId="77777777"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636F6C37" w14:textId="77777777"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449755D8" w14:textId="77777777"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7CC50D77" w14:textId="77777777"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2EA291CE"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2DC0642E" w14:textId="77777777" w:rsidR="00D553CB" w:rsidRPr="00803C71" w:rsidRDefault="00D553CB" w:rsidP="00D553CB">
            <w:pPr>
              <w:rPr>
                <w:rFonts w:ascii="Arial" w:eastAsia="Batang" w:hAnsi="Arial" w:cs="Arial"/>
              </w:rPr>
            </w:pPr>
            <w:r w:rsidRPr="00803C71">
              <w:rPr>
                <w:rFonts w:ascii="Arial" w:eastAsia="Batang" w:hAnsi="Arial" w:cs="Arial"/>
              </w:rPr>
              <w:t>5</w:t>
            </w:r>
          </w:p>
        </w:tc>
      </w:tr>
      <w:tr w:rsidR="00D553CB" w:rsidRPr="00803C71" w14:paraId="3AC541D2" w14:textId="77777777" w:rsidTr="00CA6C6D">
        <w:trPr>
          <w:trHeight w:val="1328"/>
          <w:jc w:val="center"/>
        </w:trPr>
        <w:tc>
          <w:tcPr>
            <w:tcW w:w="3544" w:type="dxa"/>
            <w:vMerge/>
            <w:shd w:val="clear" w:color="auto" w:fill="D9D9D9" w:themeFill="background1" w:themeFillShade="D9"/>
          </w:tcPr>
          <w:p w14:paraId="6C87D4E4" w14:textId="77777777" w:rsidR="00D553CB" w:rsidRPr="00803C71" w:rsidRDefault="00D553CB" w:rsidP="00D553CB">
            <w:pPr>
              <w:rPr>
                <w:rFonts w:ascii="Arial" w:eastAsia="Batang" w:hAnsi="Arial" w:cs="Arial"/>
                <w:b/>
              </w:rPr>
            </w:pPr>
          </w:p>
        </w:tc>
        <w:tc>
          <w:tcPr>
            <w:tcW w:w="2410" w:type="dxa"/>
          </w:tcPr>
          <w:p w14:paraId="31FF1BED" w14:textId="2758716A" w:rsidR="00D553CB" w:rsidRPr="00803C71" w:rsidRDefault="00D553CB" w:rsidP="00D553CB">
            <w:pPr>
              <w:rPr>
                <w:rFonts w:ascii="Arial" w:eastAsia="Batang" w:hAnsi="Arial" w:cs="Arial"/>
              </w:rPr>
            </w:pPr>
            <w:r w:rsidRPr="00803C71">
              <w:rPr>
                <w:rFonts w:ascii="Arial" w:eastAsia="Batang" w:hAnsi="Arial" w:cs="Arial"/>
              </w:rPr>
              <w:t xml:space="preserve">Independent legal opinion supports compliant route or confirm no </w:t>
            </w:r>
            <w:r w:rsidR="00B7168A">
              <w:rPr>
                <w:rFonts w:ascii="Arial" w:eastAsia="Batang" w:hAnsi="Arial" w:cs="Arial"/>
              </w:rPr>
              <w:t>Subsidy</w:t>
            </w:r>
            <w:r w:rsidRPr="00803C71">
              <w:rPr>
                <w:rFonts w:ascii="Arial" w:eastAsia="Batang" w:hAnsi="Arial" w:cs="Arial"/>
              </w:rPr>
              <w:t>.</w:t>
            </w:r>
          </w:p>
        </w:tc>
        <w:tc>
          <w:tcPr>
            <w:tcW w:w="1276" w:type="dxa"/>
          </w:tcPr>
          <w:p w14:paraId="22DF188F" w14:textId="0703BDD0" w:rsidR="00D553CB" w:rsidRPr="00803C71" w:rsidRDefault="00D553CB" w:rsidP="00D553CB">
            <w:pPr>
              <w:rPr>
                <w:rFonts w:ascii="Arial" w:eastAsia="Batang" w:hAnsi="Arial" w:cs="Arial"/>
              </w:rPr>
            </w:pPr>
            <w:r w:rsidRPr="00803C71">
              <w:rPr>
                <w:rFonts w:ascii="Arial" w:eastAsia="Batang" w:hAnsi="Arial" w:cs="Arial"/>
              </w:rPr>
              <w:t xml:space="preserve">Applicant identifies a compliant </w:t>
            </w:r>
            <w:r w:rsidR="00B7168A">
              <w:rPr>
                <w:rFonts w:ascii="Arial" w:eastAsia="Batang" w:hAnsi="Arial" w:cs="Arial"/>
              </w:rPr>
              <w:t>Subsidy</w:t>
            </w:r>
            <w:r w:rsidRPr="00803C71">
              <w:rPr>
                <w:rFonts w:ascii="Arial" w:eastAsia="Batang" w:hAnsi="Arial" w:cs="Arial"/>
              </w:rPr>
              <w:t xml:space="preserve"> route.</w:t>
            </w:r>
          </w:p>
        </w:tc>
        <w:tc>
          <w:tcPr>
            <w:tcW w:w="1984" w:type="dxa"/>
          </w:tcPr>
          <w:p w14:paraId="63BDE809" w14:textId="359580EC" w:rsidR="00D553CB" w:rsidRPr="00803C71" w:rsidRDefault="00D553CB" w:rsidP="00D553CB">
            <w:pPr>
              <w:rPr>
                <w:rFonts w:ascii="Arial" w:eastAsia="Batang" w:hAnsi="Arial" w:cs="Arial"/>
              </w:rPr>
            </w:pPr>
            <w:r w:rsidRPr="00803C71">
              <w:rPr>
                <w:rFonts w:ascii="Arial" w:eastAsia="Batang" w:hAnsi="Arial" w:cs="Arial"/>
              </w:rPr>
              <w:t xml:space="preserve">Relevant </w:t>
            </w:r>
            <w:r w:rsidR="00B7168A">
              <w:rPr>
                <w:rFonts w:ascii="Arial" w:eastAsia="Batang" w:hAnsi="Arial" w:cs="Arial"/>
              </w:rPr>
              <w:t>Subsidy Control</w:t>
            </w:r>
            <w:r w:rsidRPr="00803C71">
              <w:rPr>
                <w:rFonts w:ascii="Arial" w:eastAsia="Batang" w:hAnsi="Arial" w:cs="Arial"/>
              </w:rPr>
              <w:t xml:space="preserve"> issues understood and clarified</w:t>
            </w:r>
          </w:p>
        </w:tc>
        <w:tc>
          <w:tcPr>
            <w:tcW w:w="1134" w:type="dxa"/>
          </w:tcPr>
          <w:p w14:paraId="077B830E" w14:textId="437FA597" w:rsidR="00D553CB" w:rsidRPr="00803C71" w:rsidRDefault="00D553CB" w:rsidP="00D553CB">
            <w:pPr>
              <w:rPr>
                <w:rFonts w:ascii="Arial" w:eastAsia="Batang" w:hAnsi="Arial" w:cs="Arial"/>
              </w:rPr>
            </w:pPr>
            <w:r w:rsidRPr="00803C71">
              <w:rPr>
                <w:rFonts w:ascii="Arial" w:eastAsia="Batang" w:hAnsi="Arial" w:cs="Arial"/>
              </w:rPr>
              <w:t xml:space="preserve">Relevant </w:t>
            </w:r>
            <w:r w:rsidR="00B7168A">
              <w:rPr>
                <w:rFonts w:ascii="Arial" w:eastAsia="Batang" w:hAnsi="Arial" w:cs="Arial"/>
              </w:rPr>
              <w:t>Subsidy Control</w:t>
            </w:r>
            <w:r w:rsidRPr="00803C71">
              <w:rPr>
                <w:rFonts w:ascii="Arial" w:eastAsia="Batang" w:hAnsi="Arial" w:cs="Arial"/>
              </w:rPr>
              <w:t xml:space="preserve"> issues understood but currently unable to be clarified</w:t>
            </w:r>
          </w:p>
        </w:tc>
        <w:tc>
          <w:tcPr>
            <w:tcW w:w="1843" w:type="dxa"/>
          </w:tcPr>
          <w:p w14:paraId="285F6523" w14:textId="1300731E" w:rsidR="00D553CB" w:rsidRPr="00803C71" w:rsidRDefault="00D553CB" w:rsidP="00D553CB">
            <w:pPr>
              <w:rPr>
                <w:rFonts w:ascii="Arial" w:eastAsia="Batang" w:hAnsi="Arial" w:cs="Arial"/>
              </w:rPr>
            </w:pPr>
            <w:r w:rsidRPr="00803C71">
              <w:rPr>
                <w:rFonts w:ascii="Arial" w:eastAsia="Batang" w:hAnsi="Arial" w:cs="Arial"/>
              </w:rPr>
              <w:t xml:space="preserve">No appropriate consideration of </w:t>
            </w:r>
            <w:r w:rsidR="00B7168A">
              <w:rPr>
                <w:rFonts w:ascii="Arial" w:eastAsia="Batang" w:hAnsi="Arial" w:cs="Arial"/>
              </w:rPr>
              <w:t>Subsidy Control</w:t>
            </w:r>
            <w:r w:rsidRPr="00803C71">
              <w:rPr>
                <w:rFonts w:ascii="Arial" w:eastAsia="Batang" w:hAnsi="Arial" w:cs="Arial"/>
              </w:rPr>
              <w:t xml:space="preserve"> provided</w:t>
            </w:r>
          </w:p>
        </w:tc>
        <w:tc>
          <w:tcPr>
            <w:tcW w:w="1984" w:type="dxa"/>
          </w:tcPr>
          <w:p w14:paraId="6EB7BA44" w14:textId="134CF089" w:rsidR="00D553CB" w:rsidRPr="00803C71" w:rsidRDefault="00D553CB" w:rsidP="00D553CB">
            <w:pPr>
              <w:rPr>
                <w:rFonts w:ascii="Arial" w:eastAsia="Batang" w:hAnsi="Arial" w:cs="Arial"/>
              </w:rPr>
            </w:pPr>
            <w:r w:rsidRPr="00803C71">
              <w:rPr>
                <w:rFonts w:ascii="Arial" w:eastAsia="Batang" w:hAnsi="Arial" w:cs="Arial"/>
              </w:rPr>
              <w:t xml:space="preserve">Request not compliant with </w:t>
            </w:r>
            <w:r w:rsidR="00B7168A">
              <w:rPr>
                <w:rFonts w:ascii="Arial" w:eastAsia="Batang" w:hAnsi="Arial" w:cs="Arial"/>
              </w:rPr>
              <w:t>UK Subsidy Control</w:t>
            </w:r>
            <w:r w:rsidRPr="00803C71">
              <w:rPr>
                <w:rFonts w:ascii="Arial" w:eastAsia="Batang" w:hAnsi="Arial" w:cs="Arial"/>
              </w:rPr>
              <w:t>.</w:t>
            </w:r>
          </w:p>
        </w:tc>
        <w:tc>
          <w:tcPr>
            <w:tcW w:w="851" w:type="dxa"/>
            <w:vMerge/>
          </w:tcPr>
          <w:p w14:paraId="1971B8A5" w14:textId="77777777" w:rsidR="00D553CB" w:rsidRPr="00803C71" w:rsidRDefault="00D553CB" w:rsidP="00D553CB">
            <w:pPr>
              <w:rPr>
                <w:rFonts w:ascii="Arial" w:eastAsia="Batang" w:hAnsi="Arial" w:cs="Arial"/>
              </w:rPr>
            </w:pPr>
          </w:p>
        </w:tc>
      </w:tr>
      <w:tr w:rsidR="00D553CB" w:rsidRPr="00803C71" w14:paraId="1594B4DE" w14:textId="77777777" w:rsidTr="00CA6C6D">
        <w:trPr>
          <w:trHeight w:val="169"/>
          <w:jc w:val="center"/>
        </w:trPr>
        <w:tc>
          <w:tcPr>
            <w:tcW w:w="3544" w:type="dxa"/>
            <w:vMerge w:val="restart"/>
            <w:shd w:val="clear" w:color="auto" w:fill="D9D9D9" w:themeFill="background1" w:themeFillShade="D9"/>
          </w:tcPr>
          <w:p w14:paraId="184ABC15" w14:textId="77777777" w:rsidR="00D553CB" w:rsidRDefault="00D553CB" w:rsidP="00D553CB">
            <w:pPr>
              <w:rPr>
                <w:rFonts w:ascii="Arial" w:eastAsia="Batang" w:hAnsi="Arial" w:cs="Arial"/>
                <w:b/>
              </w:rPr>
            </w:pPr>
            <w:r w:rsidRPr="00803C71">
              <w:rPr>
                <w:rFonts w:ascii="Arial" w:eastAsia="Batang" w:hAnsi="Arial" w:cs="Arial"/>
                <w:b/>
              </w:rPr>
              <w:lastRenderedPageBreak/>
              <w:t>Deliverability Risk</w:t>
            </w:r>
          </w:p>
          <w:p w14:paraId="4CB91788" w14:textId="77777777" w:rsidR="00B01B1A" w:rsidRDefault="00B01B1A" w:rsidP="00D553CB">
            <w:pPr>
              <w:rPr>
                <w:rFonts w:ascii="Arial" w:eastAsia="Batang" w:hAnsi="Arial" w:cs="Arial"/>
                <w:b/>
              </w:rPr>
            </w:pPr>
          </w:p>
          <w:p w14:paraId="73C8A9B9" w14:textId="77777777"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Clear explanation of delivery routes, timeframes, and key milestones. </w:t>
            </w:r>
          </w:p>
          <w:p w14:paraId="74241EEE" w14:textId="77777777"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Evidence of partnership strength, commitment (as appropriate) and strategic backing. </w:t>
            </w:r>
          </w:p>
          <w:p w14:paraId="3C7AF1C0" w14:textId="061E1FDD" w:rsidR="00B01B1A" w:rsidRPr="00803C71" w:rsidRDefault="00B01B1A" w:rsidP="00D553CB">
            <w:pPr>
              <w:rPr>
                <w:rFonts w:ascii="Arial" w:eastAsia="Batang" w:hAnsi="Arial" w:cs="Arial"/>
                <w:b/>
              </w:rPr>
            </w:pPr>
          </w:p>
        </w:tc>
        <w:tc>
          <w:tcPr>
            <w:tcW w:w="2410" w:type="dxa"/>
            <w:shd w:val="clear" w:color="auto" w:fill="538135" w:themeFill="accent6" w:themeFillShade="BF"/>
          </w:tcPr>
          <w:p w14:paraId="53993222" w14:textId="77777777" w:rsidR="00D553CB" w:rsidRPr="00803C71" w:rsidRDefault="00D553CB" w:rsidP="00D553CB">
            <w:pPr>
              <w:rPr>
                <w:rFonts w:ascii="Arial" w:eastAsia="Batang" w:hAnsi="Arial" w:cs="Arial"/>
              </w:rPr>
            </w:pPr>
            <w:r w:rsidRPr="00803C71">
              <w:rPr>
                <w:rFonts w:ascii="Arial" w:eastAsia="Batang" w:hAnsi="Arial" w:cs="Arial"/>
              </w:rPr>
              <w:t>15-13</w:t>
            </w:r>
          </w:p>
        </w:tc>
        <w:tc>
          <w:tcPr>
            <w:tcW w:w="1276" w:type="dxa"/>
            <w:shd w:val="clear" w:color="auto" w:fill="A8D08D" w:themeFill="accent6" w:themeFillTint="99"/>
          </w:tcPr>
          <w:p w14:paraId="372524F5" w14:textId="77777777" w:rsidR="00D553CB" w:rsidRPr="00803C71" w:rsidRDefault="00D553CB" w:rsidP="00D553CB">
            <w:pPr>
              <w:rPr>
                <w:rFonts w:ascii="Arial" w:eastAsia="Batang" w:hAnsi="Arial" w:cs="Arial"/>
              </w:rPr>
            </w:pPr>
            <w:r w:rsidRPr="00803C71">
              <w:rPr>
                <w:rFonts w:ascii="Arial" w:eastAsia="Batang" w:hAnsi="Arial" w:cs="Arial"/>
              </w:rPr>
              <w:t>12-10</w:t>
            </w:r>
          </w:p>
        </w:tc>
        <w:tc>
          <w:tcPr>
            <w:tcW w:w="1984" w:type="dxa"/>
            <w:shd w:val="clear" w:color="auto" w:fill="E2EFD9" w:themeFill="accent6" w:themeFillTint="33"/>
          </w:tcPr>
          <w:p w14:paraId="2707A658" w14:textId="77777777" w:rsidR="00D553CB" w:rsidRPr="00803C71" w:rsidRDefault="00D553CB" w:rsidP="00D553CB">
            <w:pPr>
              <w:rPr>
                <w:rFonts w:ascii="Arial" w:eastAsia="Batang" w:hAnsi="Arial" w:cs="Arial"/>
              </w:rPr>
            </w:pPr>
            <w:r w:rsidRPr="00803C71">
              <w:rPr>
                <w:rFonts w:ascii="Arial" w:eastAsia="Batang" w:hAnsi="Arial" w:cs="Arial"/>
              </w:rPr>
              <w:t>9-7</w:t>
            </w:r>
          </w:p>
        </w:tc>
        <w:tc>
          <w:tcPr>
            <w:tcW w:w="1134" w:type="dxa"/>
            <w:shd w:val="clear" w:color="auto" w:fill="FFE599" w:themeFill="accent4" w:themeFillTint="66"/>
          </w:tcPr>
          <w:p w14:paraId="6B85418D" w14:textId="77777777" w:rsidR="00D553CB" w:rsidRPr="00803C71" w:rsidRDefault="00D553CB" w:rsidP="00D553CB">
            <w:pPr>
              <w:rPr>
                <w:rFonts w:ascii="Arial" w:eastAsia="Batang" w:hAnsi="Arial" w:cs="Arial"/>
              </w:rPr>
            </w:pPr>
            <w:r w:rsidRPr="00803C71">
              <w:rPr>
                <w:rFonts w:ascii="Arial" w:eastAsia="Batang" w:hAnsi="Arial" w:cs="Arial"/>
              </w:rPr>
              <w:t>6-4</w:t>
            </w:r>
          </w:p>
        </w:tc>
        <w:tc>
          <w:tcPr>
            <w:tcW w:w="1843" w:type="dxa"/>
            <w:shd w:val="clear" w:color="auto" w:fill="FFC000"/>
          </w:tcPr>
          <w:p w14:paraId="7230B847" w14:textId="77777777" w:rsidR="00D553CB" w:rsidRPr="00803C71" w:rsidRDefault="00D553CB" w:rsidP="00D553CB">
            <w:pPr>
              <w:rPr>
                <w:rFonts w:ascii="Arial" w:eastAsia="Batang" w:hAnsi="Arial" w:cs="Arial"/>
              </w:rPr>
            </w:pPr>
            <w:r w:rsidRPr="00803C71">
              <w:rPr>
                <w:rFonts w:ascii="Arial" w:eastAsia="Batang" w:hAnsi="Arial" w:cs="Arial"/>
              </w:rPr>
              <w:t>3-1</w:t>
            </w:r>
          </w:p>
        </w:tc>
        <w:tc>
          <w:tcPr>
            <w:tcW w:w="1984" w:type="dxa"/>
            <w:shd w:val="clear" w:color="auto" w:fill="FF0000"/>
          </w:tcPr>
          <w:p w14:paraId="521A77F3"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5C787E5E" w14:textId="77777777" w:rsidR="00D553CB" w:rsidRPr="00803C71" w:rsidRDefault="00D553CB" w:rsidP="00D553CB">
            <w:pPr>
              <w:rPr>
                <w:rFonts w:ascii="Arial" w:eastAsia="Batang" w:hAnsi="Arial" w:cs="Arial"/>
              </w:rPr>
            </w:pPr>
            <w:r w:rsidRPr="00803C71">
              <w:rPr>
                <w:rFonts w:ascii="Arial" w:eastAsia="Batang" w:hAnsi="Arial" w:cs="Arial"/>
              </w:rPr>
              <w:t>15</w:t>
            </w:r>
          </w:p>
        </w:tc>
      </w:tr>
      <w:tr w:rsidR="00D553CB" w:rsidRPr="00803C71" w14:paraId="0C6D29B4" w14:textId="77777777" w:rsidTr="00CA6C6D">
        <w:trPr>
          <w:trHeight w:val="558"/>
          <w:jc w:val="center"/>
        </w:trPr>
        <w:tc>
          <w:tcPr>
            <w:tcW w:w="3544" w:type="dxa"/>
            <w:vMerge/>
            <w:shd w:val="clear" w:color="auto" w:fill="D9D9D9" w:themeFill="background1" w:themeFillShade="D9"/>
          </w:tcPr>
          <w:p w14:paraId="04EB5E87" w14:textId="77777777" w:rsidR="00D553CB" w:rsidRPr="00803C71" w:rsidRDefault="00D553CB" w:rsidP="00D553CB">
            <w:pPr>
              <w:rPr>
                <w:rFonts w:ascii="Arial" w:eastAsia="Batang" w:hAnsi="Arial" w:cs="Arial"/>
                <w:b/>
              </w:rPr>
            </w:pPr>
          </w:p>
        </w:tc>
        <w:tc>
          <w:tcPr>
            <w:tcW w:w="2410" w:type="dxa"/>
          </w:tcPr>
          <w:p w14:paraId="54960528" w14:textId="77777777" w:rsidR="00D553CB" w:rsidRPr="00803C71" w:rsidRDefault="00D553CB" w:rsidP="00D553CB">
            <w:pPr>
              <w:rPr>
                <w:rFonts w:ascii="Arial" w:eastAsia="Batang" w:hAnsi="Arial" w:cs="Arial"/>
              </w:rPr>
            </w:pPr>
            <w:r w:rsidRPr="00803C71">
              <w:rPr>
                <w:rFonts w:ascii="Arial" w:eastAsia="Batang" w:hAnsi="Arial" w:cs="Arial"/>
              </w:rPr>
              <w:t xml:space="preserve">Considered to be have a high chance of success &amp; completion by the timescales indicated - risks well managed. </w:t>
            </w:r>
          </w:p>
          <w:p w14:paraId="1A50BE81" w14:textId="77777777" w:rsidR="00D553CB" w:rsidRPr="00803C71" w:rsidRDefault="00D553CB" w:rsidP="00D553CB">
            <w:pPr>
              <w:rPr>
                <w:rFonts w:ascii="Arial" w:eastAsia="Batang" w:hAnsi="Arial" w:cs="Arial"/>
              </w:rPr>
            </w:pPr>
          </w:p>
          <w:p w14:paraId="26A90EB7" w14:textId="77777777" w:rsidR="00D553CB" w:rsidRPr="00803C71" w:rsidRDefault="00D553CB" w:rsidP="00D553CB">
            <w:pPr>
              <w:rPr>
                <w:rFonts w:ascii="Arial" w:eastAsia="Batang" w:hAnsi="Arial" w:cs="Arial"/>
              </w:rPr>
            </w:pPr>
            <w:r w:rsidRPr="00803C71">
              <w:rPr>
                <w:rFonts w:ascii="Arial" w:eastAsia="Batang" w:hAnsi="Arial" w:cs="Arial"/>
              </w:rPr>
              <w:t>Likely to have a significant and immediate impact.</w:t>
            </w:r>
          </w:p>
        </w:tc>
        <w:tc>
          <w:tcPr>
            <w:tcW w:w="1276" w:type="dxa"/>
          </w:tcPr>
          <w:p w14:paraId="3EA650A2" w14:textId="77777777" w:rsidR="00D553CB" w:rsidRPr="00803C71" w:rsidRDefault="00D553CB" w:rsidP="00D553CB">
            <w:pPr>
              <w:rPr>
                <w:rFonts w:ascii="Arial" w:eastAsia="Batang" w:hAnsi="Arial" w:cs="Arial"/>
              </w:rPr>
            </w:pPr>
          </w:p>
        </w:tc>
        <w:tc>
          <w:tcPr>
            <w:tcW w:w="1984" w:type="dxa"/>
          </w:tcPr>
          <w:p w14:paraId="0D701BA4" w14:textId="77777777" w:rsidR="00D553CB" w:rsidRPr="00803C71" w:rsidRDefault="00D553CB" w:rsidP="00D553CB">
            <w:pPr>
              <w:rPr>
                <w:rFonts w:ascii="Arial" w:eastAsia="Batang" w:hAnsi="Arial" w:cs="Arial"/>
              </w:rPr>
            </w:pPr>
            <w:r w:rsidRPr="00803C71">
              <w:rPr>
                <w:rFonts w:ascii="Arial" w:eastAsia="Batang" w:hAnsi="Arial" w:cs="Arial"/>
              </w:rPr>
              <w:t xml:space="preserve">Moderately likely to succeed and be delivered by the timescales indicated, some risks with strategies to mitigate in place. </w:t>
            </w:r>
          </w:p>
          <w:p w14:paraId="20E10C51" w14:textId="77777777" w:rsidR="00D553CB" w:rsidRPr="00803C71" w:rsidRDefault="00D553CB" w:rsidP="00D553CB">
            <w:pPr>
              <w:rPr>
                <w:rFonts w:ascii="Arial" w:eastAsia="Batang" w:hAnsi="Arial" w:cs="Arial"/>
              </w:rPr>
            </w:pPr>
          </w:p>
        </w:tc>
        <w:tc>
          <w:tcPr>
            <w:tcW w:w="1134" w:type="dxa"/>
          </w:tcPr>
          <w:p w14:paraId="74A23991" w14:textId="77777777" w:rsidR="00D553CB" w:rsidRPr="00803C71" w:rsidRDefault="00D553CB" w:rsidP="00D553CB">
            <w:pPr>
              <w:rPr>
                <w:rFonts w:ascii="Arial" w:eastAsia="Batang" w:hAnsi="Arial" w:cs="Arial"/>
              </w:rPr>
            </w:pPr>
          </w:p>
        </w:tc>
        <w:tc>
          <w:tcPr>
            <w:tcW w:w="1843" w:type="dxa"/>
          </w:tcPr>
          <w:p w14:paraId="0E876E15" w14:textId="77777777" w:rsidR="00D553CB" w:rsidRPr="00803C71" w:rsidRDefault="00D553CB" w:rsidP="00D553CB">
            <w:pPr>
              <w:rPr>
                <w:rFonts w:ascii="Arial" w:eastAsia="Batang" w:hAnsi="Arial" w:cs="Arial"/>
              </w:rPr>
            </w:pPr>
            <w:r w:rsidRPr="00803C71">
              <w:rPr>
                <w:rFonts w:ascii="Arial" w:eastAsia="Batang" w:hAnsi="Arial" w:cs="Arial"/>
              </w:rPr>
              <w:t xml:space="preserve">Management and delivery arrangements considered to be weak. High risk of failure with limited mitigation considered. </w:t>
            </w:r>
          </w:p>
          <w:p w14:paraId="7C96DF96" w14:textId="77777777" w:rsidR="00D553CB" w:rsidRPr="00803C71" w:rsidRDefault="00D553CB" w:rsidP="00D553CB">
            <w:pPr>
              <w:rPr>
                <w:rFonts w:ascii="Arial" w:eastAsia="Batang" w:hAnsi="Arial" w:cs="Arial"/>
              </w:rPr>
            </w:pPr>
          </w:p>
          <w:p w14:paraId="430C7407" w14:textId="77777777" w:rsidR="00D553CB" w:rsidRPr="00803C71" w:rsidRDefault="00D553CB" w:rsidP="00D553CB">
            <w:pPr>
              <w:rPr>
                <w:rFonts w:ascii="Arial" w:eastAsia="Batang" w:hAnsi="Arial" w:cs="Arial"/>
              </w:rPr>
            </w:pPr>
            <w:r w:rsidRPr="00803C71">
              <w:rPr>
                <w:rFonts w:ascii="Arial" w:eastAsia="Batang" w:hAnsi="Arial" w:cs="Arial"/>
              </w:rPr>
              <w:t xml:space="preserve">Impact unlikely to be significant or speed of delivery slow. </w:t>
            </w:r>
          </w:p>
        </w:tc>
        <w:tc>
          <w:tcPr>
            <w:tcW w:w="1984" w:type="dxa"/>
          </w:tcPr>
          <w:p w14:paraId="4FCC182B" w14:textId="04ED7909" w:rsidR="00D553CB" w:rsidRPr="00803C71" w:rsidRDefault="00D553CB" w:rsidP="00D553CB">
            <w:pPr>
              <w:rPr>
                <w:rFonts w:ascii="Arial" w:eastAsia="Batang" w:hAnsi="Arial" w:cs="Arial"/>
              </w:rPr>
            </w:pPr>
            <w:r w:rsidRPr="00803C71">
              <w:rPr>
                <w:rFonts w:ascii="Arial" w:eastAsia="Batang" w:hAnsi="Arial" w:cs="Arial"/>
              </w:rPr>
              <w:t>Considered to have a very low likelihood of successful completion by the timescales indicated / multiple high-level risks with no clear management</w:t>
            </w:r>
          </w:p>
        </w:tc>
        <w:tc>
          <w:tcPr>
            <w:tcW w:w="851" w:type="dxa"/>
            <w:vMerge/>
          </w:tcPr>
          <w:p w14:paraId="63C80B7A" w14:textId="77777777" w:rsidR="00D553CB" w:rsidRPr="00803C71" w:rsidRDefault="00D553CB" w:rsidP="00D553CB">
            <w:pPr>
              <w:rPr>
                <w:rFonts w:ascii="Arial" w:eastAsia="Batang" w:hAnsi="Arial" w:cs="Arial"/>
              </w:rPr>
            </w:pPr>
          </w:p>
        </w:tc>
      </w:tr>
      <w:tr w:rsidR="00D553CB" w:rsidRPr="00803C71" w14:paraId="0015725B" w14:textId="77777777" w:rsidTr="00CA6C6D">
        <w:trPr>
          <w:trHeight w:val="169"/>
          <w:jc w:val="center"/>
        </w:trPr>
        <w:tc>
          <w:tcPr>
            <w:tcW w:w="3544" w:type="dxa"/>
            <w:vMerge w:val="restart"/>
            <w:shd w:val="clear" w:color="auto" w:fill="D9D9D9" w:themeFill="background1" w:themeFillShade="D9"/>
          </w:tcPr>
          <w:p w14:paraId="52E5A4D3" w14:textId="1E2E5CE7" w:rsidR="00D553CB" w:rsidRDefault="00D553CB" w:rsidP="00D553CB">
            <w:pPr>
              <w:rPr>
                <w:rFonts w:ascii="Arial" w:eastAsia="Batang" w:hAnsi="Arial" w:cs="Arial"/>
                <w:b/>
              </w:rPr>
            </w:pPr>
            <w:r w:rsidRPr="00803C71">
              <w:rPr>
                <w:rFonts w:ascii="Arial" w:eastAsia="Batang" w:hAnsi="Arial" w:cs="Arial"/>
                <w:b/>
              </w:rPr>
              <w:t>Inclusive Economy fit</w:t>
            </w:r>
          </w:p>
          <w:p w14:paraId="6514DA0F" w14:textId="77777777" w:rsidR="00B01B1A" w:rsidRDefault="00B01B1A" w:rsidP="00B01B1A">
            <w:pPr>
              <w:tabs>
                <w:tab w:val="left" w:pos="1740"/>
              </w:tabs>
              <w:contextualSpacing/>
              <w:rPr>
                <w:rFonts w:ascii="Arial" w:eastAsia="Times New Roman" w:hAnsi="Arial" w:cs="Arial"/>
                <w:sz w:val="24"/>
                <w:szCs w:val="24"/>
              </w:rPr>
            </w:pPr>
          </w:p>
          <w:p w14:paraId="61786190" w14:textId="072D0491"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The ability of the project to make a proactive and targeted impact on the inclusive economy ambitions of the NTCA and to have a positive impact on residents. </w:t>
            </w:r>
          </w:p>
          <w:p w14:paraId="73AED4FE" w14:textId="152E14A1" w:rsidR="00B01B1A" w:rsidRPr="00B01B1A" w:rsidRDefault="00B01B1A" w:rsidP="00D553CB">
            <w:pPr>
              <w:rPr>
                <w:rFonts w:ascii="Arial" w:eastAsia="Batang" w:hAnsi="Arial" w:cs="Arial"/>
                <w:b/>
              </w:rPr>
            </w:pPr>
          </w:p>
          <w:p w14:paraId="23DA1DCF" w14:textId="01B66652" w:rsidR="00B01B1A" w:rsidRDefault="00B01B1A" w:rsidP="00D553CB">
            <w:pPr>
              <w:rPr>
                <w:rFonts w:ascii="Arial" w:eastAsia="Batang" w:hAnsi="Arial" w:cs="Arial"/>
                <w:b/>
              </w:rPr>
            </w:pPr>
          </w:p>
          <w:p w14:paraId="2302D10D" w14:textId="77777777" w:rsidR="00B01B1A" w:rsidRPr="00803C71" w:rsidRDefault="00B01B1A" w:rsidP="00D553CB">
            <w:pPr>
              <w:rPr>
                <w:rFonts w:ascii="Arial" w:eastAsia="Batang" w:hAnsi="Arial" w:cs="Arial"/>
                <w:b/>
              </w:rPr>
            </w:pPr>
          </w:p>
          <w:p w14:paraId="4EF1029A" w14:textId="77777777"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0EFDA085" w14:textId="77777777" w:rsidR="00D553CB" w:rsidRPr="00803C71" w:rsidRDefault="00D553CB" w:rsidP="00D553CB">
            <w:pPr>
              <w:rPr>
                <w:rFonts w:ascii="Arial" w:eastAsia="Batang" w:hAnsi="Arial" w:cs="Arial"/>
              </w:rPr>
            </w:pPr>
            <w:r w:rsidRPr="00803C71">
              <w:rPr>
                <w:rFonts w:ascii="Arial" w:eastAsia="Batang" w:hAnsi="Arial" w:cs="Arial"/>
              </w:rPr>
              <w:t>10-9</w:t>
            </w:r>
          </w:p>
        </w:tc>
        <w:tc>
          <w:tcPr>
            <w:tcW w:w="1276" w:type="dxa"/>
            <w:shd w:val="clear" w:color="auto" w:fill="A8D08D" w:themeFill="accent6" w:themeFillTint="99"/>
          </w:tcPr>
          <w:p w14:paraId="3303C83D" w14:textId="77777777" w:rsidR="00D553CB" w:rsidRPr="00803C71" w:rsidRDefault="00D553CB" w:rsidP="00D553CB">
            <w:pPr>
              <w:rPr>
                <w:rFonts w:ascii="Arial" w:eastAsia="Batang" w:hAnsi="Arial" w:cs="Arial"/>
              </w:rPr>
            </w:pPr>
            <w:r w:rsidRPr="00803C71">
              <w:rPr>
                <w:rFonts w:ascii="Arial" w:eastAsia="Batang" w:hAnsi="Arial" w:cs="Arial"/>
              </w:rPr>
              <w:t>8-7</w:t>
            </w:r>
          </w:p>
        </w:tc>
        <w:tc>
          <w:tcPr>
            <w:tcW w:w="1984" w:type="dxa"/>
            <w:shd w:val="clear" w:color="auto" w:fill="E2EFD9" w:themeFill="accent6" w:themeFillTint="33"/>
          </w:tcPr>
          <w:p w14:paraId="33258F4C" w14:textId="77777777" w:rsidR="00D553CB" w:rsidRPr="00803C71" w:rsidRDefault="00D553CB" w:rsidP="00D553CB">
            <w:pPr>
              <w:rPr>
                <w:rFonts w:ascii="Arial" w:eastAsia="Batang" w:hAnsi="Arial" w:cs="Arial"/>
              </w:rPr>
            </w:pPr>
            <w:r w:rsidRPr="00803C71">
              <w:rPr>
                <w:rFonts w:ascii="Arial" w:eastAsia="Batang" w:hAnsi="Arial" w:cs="Arial"/>
              </w:rPr>
              <w:t>6-5</w:t>
            </w:r>
          </w:p>
        </w:tc>
        <w:tc>
          <w:tcPr>
            <w:tcW w:w="1134" w:type="dxa"/>
            <w:shd w:val="clear" w:color="auto" w:fill="FFE599" w:themeFill="accent4" w:themeFillTint="66"/>
          </w:tcPr>
          <w:p w14:paraId="42F726DC" w14:textId="77777777" w:rsidR="00D553CB" w:rsidRPr="00803C71" w:rsidRDefault="00D553CB" w:rsidP="00D553CB">
            <w:pPr>
              <w:rPr>
                <w:rFonts w:ascii="Arial" w:eastAsia="Batang" w:hAnsi="Arial" w:cs="Arial"/>
              </w:rPr>
            </w:pPr>
            <w:r w:rsidRPr="00803C71">
              <w:rPr>
                <w:rFonts w:ascii="Arial" w:eastAsia="Batang" w:hAnsi="Arial" w:cs="Arial"/>
              </w:rPr>
              <w:t>4-3</w:t>
            </w:r>
          </w:p>
        </w:tc>
        <w:tc>
          <w:tcPr>
            <w:tcW w:w="1843" w:type="dxa"/>
            <w:shd w:val="clear" w:color="auto" w:fill="FFC000"/>
          </w:tcPr>
          <w:p w14:paraId="1E9A8E01" w14:textId="77777777" w:rsidR="00D553CB" w:rsidRPr="00803C71" w:rsidRDefault="00D553CB" w:rsidP="00D553CB">
            <w:pPr>
              <w:rPr>
                <w:rFonts w:ascii="Arial" w:eastAsia="Batang" w:hAnsi="Arial" w:cs="Arial"/>
              </w:rPr>
            </w:pPr>
            <w:r w:rsidRPr="00803C71">
              <w:rPr>
                <w:rFonts w:ascii="Arial" w:eastAsia="Batang" w:hAnsi="Arial" w:cs="Arial"/>
              </w:rPr>
              <w:t>2-1</w:t>
            </w:r>
          </w:p>
        </w:tc>
        <w:tc>
          <w:tcPr>
            <w:tcW w:w="1984" w:type="dxa"/>
            <w:shd w:val="clear" w:color="auto" w:fill="FF0000"/>
          </w:tcPr>
          <w:p w14:paraId="2A468C2A"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6F7BEBE4" w14:textId="77777777" w:rsidR="00D553CB" w:rsidRPr="00803C71" w:rsidRDefault="00D553CB" w:rsidP="00D553CB">
            <w:pPr>
              <w:rPr>
                <w:rFonts w:ascii="Arial" w:eastAsia="Batang" w:hAnsi="Arial" w:cs="Arial"/>
              </w:rPr>
            </w:pPr>
            <w:r w:rsidRPr="00803C71">
              <w:rPr>
                <w:rFonts w:ascii="Arial" w:eastAsia="Batang" w:hAnsi="Arial" w:cs="Arial"/>
              </w:rPr>
              <w:t>10</w:t>
            </w:r>
          </w:p>
        </w:tc>
      </w:tr>
      <w:tr w:rsidR="00D553CB" w:rsidRPr="00803C71" w14:paraId="14BF7623" w14:textId="77777777" w:rsidTr="00CA6C6D">
        <w:trPr>
          <w:trHeight w:val="331"/>
          <w:jc w:val="center"/>
        </w:trPr>
        <w:tc>
          <w:tcPr>
            <w:tcW w:w="3544" w:type="dxa"/>
            <w:vMerge/>
            <w:shd w:val="clear" w:color="auto" w:fill="D9D9D9" w:themeFill="background1" w:themeFillShade="D9"/>
          </w:tcPr>
          <w:p w14:paraId="51D0CF85" w14:textId="77777777" w:rsidR="00D553CB" w:rsidRPr="00803C71" w:rsidRDefault="00D553CB" w:rsidP="00D553CB">
            <w:pPr>
              <w:rPr>
                <w:rFonts w:ascii="Arial" w:eastAsia="Batang" w:hAnsi="Arial" w:cs="Arial"/>
                <w:b/>
              </w:rPr>
            </w:pPr>
          </w:p>
        </w:tc>
        <w:tc>
          <w:tcPr>
            <w:tcW w:w="2410" w:type="dxa"/>
          </w:tcPr>
          <w:p w14:paraId="52B5FF94" w14:textId="2B6B0D94" w:rsidR="00D553CB" w:rsidRPr="00803C71" w:rsidRDefault="00D553CB" w:rsidP="00D553CB">
            <w:pPr>
              <w:rPr>
                <w:rFonts w:ascii="Arial" w:eastAsia="Batang" w:hAnsi="Arial" w:cs="Arial"/>
              </w:rPr>
            </w:pPr>
            <w:r w:rsidRPr="00803C71">
              <w:rPr>
                <w:rFonts w:ascii="Arial" w:eastAsia="Batang" w:hAnsi="Arial" w:cs="Arial"/>
              </w:rPr>
              <w:t xml:space="preserve">Very </w:t>
            </w:r>
            <w:r w:rsidR="00B01B1A">
              <w:rPr>
                <w:rFonts w:ascii="Arial" w:eastAsia="Batang" w:hAnsi="Arial" w:cs="Arial"/>
              </w:rPr>
              <w:t>st</w:t>
            </w:r>
            <w:r w:rsidRPr="00803C71">
              <w:rPr>
                <w:rFonts w:ascii="Arial" w:eastAsia="Batang" w:hAnsi="Arial" w:cs="Arial"/>
              </w:rPr>
              <w:t xml:space="preserve">rong fit </w:t>
            </w:r>
          </w:p>
        </w:tc>
        <w:tc>
          <w:tcPr>
            <w:tcW w:w="1276" w:type="dxa"/>
          </w:tcPr>
          <w:p w14:paraId="2B1AA536" w14:textId="77777777" w:rsidR="00D553CB" w:rsidRPr="00803C71" w:rsidRDefault="00D553CB" w:rsidP="00D553CB">
            <w:pPr>
              <w:rPr>
                <w:rFonts w:ascii="Arial" w:eastAsia="Batang" w:hAnsi="Arial" w:cs="Arial"/>
              </w:rPr>
            </w:pPr>
          </w:p>
        </w:tc>
        <w:tc>
          <w:tcPr>
            <w:tcW w:w="1984" w:type="dxa"/>
          </w:tcPr>
          <w:p w14:paraId="3840D74B" w14:textId="77777777" w:rsidR="00D553CB" w:rsidRPr="00803C71" w:rsidRDefault="00D553CB" w:rsidP="00D553CB">
            <w:pPr>
              <w:rPr>
                <w:rFonts w:ascii="Arial" w:eastAsia="Batang" w:hAnsi="Arial" w:cs="Arial"/>
              </w:rPr>
            </w:pPr>
            <w:r w:rsidRPr="00803C71">
              <w:rPr>
                <w:rFonts w:ascii="Arial" w:eastAsia="Batang" w:hAnsi="Arial" w:cs="Arial"/>
              </w:rPr>
              <w:t xml:space="preserve">Moderate fit </w:t>
            </w:r>
          </w:p>
        </w:tc>
        <w:tc>
          <w:tcPr>
            <w:tcW w:w="1134" w:type="dxa"/>
          </w:tcPr>
          <w:p w14:paraId="2A902772" w14:textId="77777777" w:rsidR="00D553CB" w:rsidRPr="00803C71" w:rsidRDefault="00D553CB" w:rsidP="00D553CB">
            <w:pPr>
              <w:rPr>
                <w:rFonts w:ascii="Arial" w:eastAsia="Batang" w:hAnsi="Arial" w:cs="Arial"/>
              </w:rPr>
            </w:pPr>
          </w:p>
        </w:tc>
        <w:tc>
          <w:tcPr>
            <w:tcW w:w="1843" w:type="dxa"/>
          </w:tcPr>
          <w:p w14:paraId="77461A06" w14:textId="77777777" w:rsidR="00D553CB" w:rsidRPr="00803C71" w:rsidRDefault="00D553CB" w:rsidP="00D553CB">
            <w:pPr>
              <w:rPr>
                <w:rFonts w:ascii="Arial" w:eastAsia="Batang" w:hAnsi="Arial" w:cs="Arial"/>
              </w:rPr>
            </w:pPr>
            <w:r w:rsidRPr="00803C71">
              <w:rPr>
                <w:rFonts w:ascii="Arial" w:eastAsia="Batang" w:hAnsi="Arial" w:cs="Arial"/>
              </w:rPr>
              <w:t>Low fit</w:t>
            </w:r>
          </w:p>
        </w:tc>
        <w:tc>
          <w:tcPr>
            <w:tcW w:w="1984" w:type="dxa"/>
          </w:tcPr>
          <w:p w14:paraId="576161AC" w14:textId="77777777" w:rsidR="00D553CB" w:rsidRPr="00803C71" w:rsidRDefault="00D553CB" w:rsidP="00D553CB">
            <w:pPr>
              <w:rPr>
                <w:rFonts w:ascii="Arial" w:eastAsia="Batang" w:hAnsi="Arial" w:cs="Arial"/>
              </w:rPr>
            </w:pPr>
            <w:r w:rsidRPr="00803C71">
              <w:rPr>
                <w:rFonts w:ascii="Arial" w:eastAsia="Batang" w:hAnsi="Arial" w:cs="Arial"/>
              </w:rPr>
              <w:t xml:space="preserve">No fit </w:t>
            </w:r>
          </w:p>
        </w:tc>
        <w:tc>
          <w:tcPr>
            <w:tcW w:w="851" w:type="dxa"/>
            <w:vMerge/>
          </w:tcPr>
          <w:p w14:paraId="4DECE950" w14:textId="77777777" w:rsidR="00D553CB" w:rsidRPr="00803C71" w:rsidRDefault="00D553CB" w:rsidP="00D553CB">
            <w:pPr>
              <w:rPr>
                <w:rFonts w:ascii="Arial" w:eastAsia="Batang" w:hAnsi="Arial" w:cs="Arial"/>
              </w:rPr>
            </w:pPr>
          </w:p>
        </w:tc>
      </w:tr>
      <w:tr w:rsidR="00D553CB" w:rsidRPr="00803C71" w14:paraId="35819FE0" w14:textId="77777777" w:rsidTr="00CA6C6D">
        <w:trPr>
          <w:trHeight w:val="161"/>
          <w:jc w:val="center"/>
        </w:trPr>
        <w:tc>
          <w:tcPr>
            <w:tcW w:w="12191" w:type="dxa"/>
            <w:gridSpan w:val="6"/>
          </w:tcPr>
          <w:p w14:paraId="1023C88D" w14:textId="77777777" w:rsidR="00D553CB" w:rsidRPr="00803C71" w:rsidRDefault="00D553CB" w:rsidP="00D553CB">
            <w:pPr>
              <w:rPr>
                <w:rFonts w:ascii="Arial" w:eastAsia="Batang" w:hAnsi="Arial" w:cs="Arial"/>
              </w:rPr>
            </w:pPr>
          </w:p>
        </w:tc>
        <w:tc>
          <w:tcPr>
            <w:tcW w:w="1984" w:type="dxa"/>
          </w:tcPr>
          <w:p w14:paraId="47D186AA" w14:textId="77777777" w:rsidR="00D553CB" w:rsidRPr="00803C71" w:rsidRDefault="00D553CB" w:rsidP="00D553CB">
            <w:pPr>
              <w:rPr>
                <w:rFonts w:ascii="Arial" w:eastAsia="Batang" w:hAnsi="Arial" w:cs="Arial"/>
              </w:rPr>
            </w:pPr>
            <w:r w:rsidRPr="00803C71">
              <w:rPr>
                <w:rFonts w:ascii="Arial" w:eastAsia="Batang" w:hAnsi="Arial" w:cs="Arial"/>
              </w:rPr>
              <w:t xml:space="preserve">Score </w:t>
            </w:r>
          </w:p>
        </w:tc>
        <w:tc>
          <w:tcPr>
            <w:tcW w:w="851" w:type="dxa"/>
          </w:tcPr>
          <w:p w14:paraId="4C27FF80" w14:textId="637130C5" w:rsidR="00D553CB" w:rsidRPr="00803C71" w:rsidRDefault="00D553CB" w:rsidP="00D553CB">
            <w:pPr>
              <w:rPr>
                <w:rFonts w:ascii="Arial" w:eastAsia="Batang" w:hAnsi="Arial" w:cs="Arial"/>
              </w:rPr>
            </w:pPr>
            <w:r w:rsidRPr="00803C71">
              <w:rPr>
                <w:rFonts w:ascii="Arial" w:eastAsia="Batang" w:hAnsi="Arial" w:cs="Arial"/>
              </w:rPr>
              <w:t xml:space="preserve"> /</w:t>
            </w:r>
            <w:r>
              <w:rPr>
                <w:rFonts w:ascii="Arial" w:eastAsia="Batang" w:hAnsi="Arial" w:cs="Arial"/>
              </w:rPr>
              <w:t>7</w:t>
            </w:r>
            <w:r w:rsidRPr="00803C71">
              <w:rPr>
                <w:rFonts w:ascii="Arial" w:eastAsia="Batang" w:hAnsi="Arial" w:cs="Arial"/>
              </w:rPr>
              <w:t>5</w:t>
            </w:r>
          </w:p>
        </w:tc>
      </w:tr>
      <w:bookmarkEnd w:id="15"/>
    </w:tbl>
    <w:p w14:paraId="75E6841D" w14:textId="77777777" w:rsidR="001148B4" w:rsidRDefault="001148B4"/>
    <w:sectPr w:rsidR="001148B4" w:rsidSect="00B25421">
      <w:headerReference w:type="even" r:id="rId27"/>
      <w:headerReference w:type="default" r:id="rId28"/>
      <w:footerReference w:type="default" r:id="rId29"/>
      <w:headerReference w:type="first" r:id="rId3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8F737" w14:textId="77777777" w:rsidR="00C4382A" w:rsidRDefault="00C4382A" w:rsidP="00A71F7B">
      <w:pPr>
        <w:spacing w:after="0" w:line="240" w:lineRule="auto"/>
      </w:pPr>
      <w:r>
        <w:separator/>
      </w:r>
    </w:p>
  </w:endnote>
  <w:endnote w:type="continuationSeparator" w:id="0">
    <w:p w14:paraId="7A833FEE" w14:textId="77777777" w:rsidR="00C4382A" w:rsidRDefault="00C4382A" w:rsidP="00A7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Albert-Light">
    <w:altName w:val="Calibri"/>
    <w:panose1 w:val="00000000000000000000"/>
    <w:charset w:val="00"/>
    <w:family w:val="swiss"/>
    <w:notTrueType/>
    <w:pitch w:val="default"/>
    <w:sig w:usb0="00000003" w:usb1="00000000" w:usb2="00000000" w:usb3="00000000" w:csb0="00000001" w:csb1="00000000"/>
  </w:font>
  <w:font w:name="FSAlbert-Bold">
    <w:altName w:val="Calibri"/>
    <w:panose1 w:val="00000000000000000000"/>
    <w:charset w:val="00"/>
    <w:family w:val="swiss"/>
    <w:notTrueType/>
    <w:pitch w:val="default"/>
    <w:sig w:usb0="00000003" w:usb1="00000000" w:usb2="00000000" w:usb3="00000000" w:csb0="00000001" w:csb1="00000000"/>
  </w:font>
  <w:font w:name="DMSans-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870509"/>
      <w:docPartObj>
        <w:docPartGallery w:val="Page Numbers (Bottom of Page)"/>
        <w:docPartUnique/>
      </w:docPartObj>
    </w:sdtPr>
    <w:sdtEndPr>
      <w:rPr>
        <w:noProof/>
      </w:rPr>
    </w:sdtEndPr>
    <w:sdtContent>
      <w:p w14:paraId="057D93A1" w14:textId="2176E23B" w:rsidR="007A5000" w:rsidRDefault="007A5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83D8F" w14:textId="77777777" w:rsidR="007A5000" w:rsidRDefault="007A5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809539"/>
      <w:docPartObj>
        <w:docPartGallery w:val="Page Numbers (Bottom of Page)"/>
        <w:docPartUnique/>
      </w:docPartObj>
    </w:sdtPr>
    <w:sdtEndPr>
      <w:rPr>
        <w:noProof/>
      </w:rPr>
    </w:sdtEndPr>
    <w:sdtContent>
      <w:p w14:paraId="1FB955F8" w14:textId="77777777" w:rsidR="007A5000" w:rsidRDefault="007A5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3DEA4" w14:textId="77777777" w:rsidR="007A5000" w:rsidRDefault="007A5000">
    <w:pPr>
      <w:pStyle w:val="Footer"/>
    </w:pPr>
  </w:p>
  <w:p w14:paraId="0F21015D" w14:textId="77777777" w:rsidR="007A5000" w:rsidRDefault="007A5000"/>
  <w:p w14:paraId="003E00B7" w14:textId="77777777" w:rsidR="007A5000" w:rsidRDefault="007A5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1197" w14:textId="77777777" w:rsidR="00C4382A" w:rsidRDefault="00C4382A" w:rsidP="00A71F7B">
      <w:pPr>
        <w:spacing w:after="0" w:line="240" w:lineRule="auto"/>
      </w:pPr>
      <w:r>
        <w:separator/>
      </w:r>
    </w:p>
  </w:footnote>
  <w:footnote w:type="continuationSeparator" w:id="0">
    <w:p w14:paraId="07FFAF38" w14:textId="77777777" w:rsidR="00C4382A" w:rsidRDefault="00C4382A" w:rsidP="00A71F7B">
      <w:pPr>
        <w:spacing w:after="0" w:line="240" w:lineRule="auto"/>
      </w:pPr>
      <w:r>
        <w:continuationSeparator/>
      </w:r>
    </w:p>
  </w:footnote>
  <w:footnote w:id="1">
    <w:p w14:paraId="469E6E82" w14:textId="5B836248" w:rsidR="007A5000" w:rsidRDefault="007A5000">
      <w:pPr>
        <w:pStyle w:val="FootnoteText"/>
      </w:pPr>
      <w:r>
        <w:rPr>
          <w:rStyle w:val="FootnoteReference"/>
        </w:rPr>
        <w:footnoteRef/>
      </w:r>
      <w:r>
        <w:t xml:space="preserve"> </w:t>
      </w:r>
      <w:hyperlink r:id="rId1" w:history="1">
        <w:r w:rsidRPr="00115BC0">
          <w:rPr>
            <w:rStyle w:val="Hyperlink"/>
          </w:rPr>
          <w:t>https://www.northoftyne-ca.gov.uk/wp-content/uploads/2020/11/North-of-Tyne-Combined-Authority-Outputs-Guidance.pdf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253745"/>
      <w:docPartObj>
        <w:docPartGallery w:val="Watermarks"/>
        <w:docPartUnique/>
      </w:docPartObj>
    </w:sdtPr>
    <w:sdtEndPr/>
    <w:sdtContent>
      <w:p w14:paraId="11FC09D7" w14:textId="37821C59" w:rsidR="007A5000" w:rsidRDefault="00D00BB8">
        <w:pPr>
          <w:pStyle w:val="Header"/>
        </w:pPr>
        <w:r>
          <w:rPr>
            <w:noProof/>
          </w:rPr>
          <w:pict w14:anchorId="0D2A8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DECD" w14:textId="77777777" w:rsidR="007A5000" w:rsidRDefault="007A5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DF11" w14:textId="77777777" w:rsidR="007A5000" w:rsidRDefault="007A5000">
    <w:pPr>
      <w:pStyle w:val="Header"/>
    </w:pPr>
  </w:p>
  <w:p w14:paraId="4E0E505D" w14:textId="77777777" w:rsidR="007A5000" w:rsidRDefault="007A5000"/>
  <w:p w14:paraId="162DDAAD" w14:textId="77777777" w:rsidR="007A5000" w:rsidRDefault="007A5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B3D3" w14:textId="77777777" w:rsidR="007A5000" w:rsidRDefault="007A5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1F7B20"/>
    <w:multiLevelType w:val="hybridMultilevel"/>
    <w:tmpl w:val="5B5A70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A6943"/>
    <w:multiLevelType w:val="multilevel"/>
    <w:tmpl w:val="9EE4126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6B5D6F"/>
    <w:multiLevelType w:val="hybridMultilevel"/>
    <w:tmpl w:val="887C6FF0"/>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E3F1C"/>
    <w:multiLevelType w:val="hybridMultilevel"/>
    <w:tmpl w:val="B0C4D9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900186"/>
    <w:multiLevelType w:val="hybridMultilevel"/>
    <w:tmpl w:val="FCF8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82EEB"/>
    <w:multiLevelType w:val="hybridMultilevel"/>
    <w:tmpl w:val="63148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C24CC"/>
    <w:multiLevelType w:val="hybridMultilevel"/>
    <w:tmpl w:val="DE22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DF0EC"/>
    <w:multiLevelType w:val="hybridMultilevel"/>
    <w:tmpl w:val="873AE9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4026CB"/>
    <w:multiLevelType w:val="hybridMultilevel"/>
    <w:tmpl w:val="51182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41425D"/>
    <w:multiLevelType w:val="hybridMultilevel"/>
    <w:tmpl w:val="4E38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E5A11"/>
    <w:multiLevelType w:val="hybridMultilevel"/>
    <w:tmpl w:val="6DC6DC7A"/>
    <w:lvl w:ilvl="0" w:tplc="F19EBB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92D66"/>
    <w:multiLevelType w:val="hybridMultilevel"/>
    <w:tmpl w:val="AF8C139C"/>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B2285"/>
    <w:multiLevelType w:val="hybridMultilevel"/>
    <w:tmpl w:val="EBA60892"/>
    <w:lvl w:ilvl="0" w:tplc="8B748856">
      <w:start w:val="1"/>
      <w:numFmt w:val="bullet"/>
      <w:lvlText w:val=""/>
      <w:lvlJc w:val="left"/>
      <w:pPr>
        <w:tabs>
          <w:tab w:val="num" w:pos="720"/>
        </w:tabs>
        <w:ind w:left="720" w:hanging="360"/>
      </w:pPr>
      <w:rPr>
        <w:rFonts w:ascii="Symbol" w:hAnsi="Symbol" w:hint="default"/>
        <w:sz w:val="20"/>
      </w:rPr>
    </w:lvl>
    <w:lvl w:ilvl="1" w:tplc="BCBC0622">
      <w:start w:val="4"/>
      <w:numFmt w:val="decimal"/>
      <w:lvlText w:val="%2."/>
      <w:lvlJc w:val="left"/>
      <w:pPr>
        <w:ind w:left="1440" w:hanging="360"/>
      </w:pPr>
      <w:rPr>
        <w:rFonts w:hint="default"/>
      </w:rPr>
    </w:lvl>
    <w:lvl w:ilvl="2" w:tplc="85E04664" w:tentative="1">
      <w:start w:val="1"/>
      <w:numFmt w:val="bullet"/>
      <w:lvlText w:val=""/>
      <w:lvlJc w:val="left"/>
      <w:pPr>
        <w:tabs>
          <w:tab w:val="num" w:pos="2160"/>
        </w:tabs>
        <w:ind w:left="2160" w:hanging="360"/>
      </w:pPr>
      <w:rPr>
        <w:rFonts w:ascii="Symbol" w:hAnsi="Symbol" w:hint="default"/>
        <w:sz w:val="20"/>
      </w:rPr>
    </w:lvl>
    <w:lvl w:ilvl="3" w:tplc="B5E0F576" w:tentative="1">
      <w:start w:val="1"/>
      <w:numFmt w:val="bullet"/>
      <w:lvlText w:val=""/>
      <w:lvlJc w:val="left"/>
      <w:pPr>
        <w:tabs>
          <w:tab w:val="num" w:pos="2880"/>
        </w:tabs>
        <w:ind w:left="2880" w:hanging="360"/>
      </w:pPr>
      <w:rPr>
        <w:rFonts w:ascii="Symbol" w:hAnsi="Symbol" w:hint="default"/>
        <w:sz w:val="20"/>
      </w:rPr>
    </w:lvl>
    <w:lvl w:ilvl="4" w:tplc="79F2DA5C" w:tentative="1">
      <w:start w:val="1"/>
      <w:numFmt w:val="bullet"/>
      <w:lvlText w:val=""/>
      <w:lvlJc w:val="left"/>
      <w:pPr>
        <w:tabs>
          <w:tab w:val="num" w:pos="3600"/>
        </w:tabs>
        <w:ind w:left="3600" w:hanging="360"/>
      </w:pPr>
      <w:rPr>
        <w:rFonts w:ascii="Symbol" w:hAnsi="Symbol" w:hint="default"/>
        <w:sz w:val="20"/>
      </w:rPr>
    </w:lvl>
    <w:lvl w:ilvl="5" w:tplc="A44462D4" w:tentative="1">
      <w:start w:val="1"/>
      <w:numFmt w:val="bullet"/>
      <w:lvlText w:val=""/>
      <w:lvlJc w:val="left"/>
      <w:pPr>
        <w:tabs>
          <w:tab w:val="num" w:pos="4320"/>
        </w:tabs>
        <w:ind w:left="4320" w:hanging="360"/>
      </w:pPr>
      <w:rPr>
        <w:rFonts w:ascii="Symbol" w:hAnsi="Symbol" w:hint="default"/>
        <w:sz w:val="20"/>
      </w:rPr>
    </w:lvl>
    <w:lvl w:ilvl="6" w:tplc="CB3447A8" w:tentative="1">
      <w:start w:val="1"/>
      <w:numFmt w:val="bullet"/>
      <w:lvlText w:val=""/>
      <w:lvlJc w:val="left"/>
      <w:pPr>
        <w:tabs>
          <w:tab w:val="num" w:pos="5040"/>
        </w:tabs>
        <w:ind w:left="5040" w:hanging="360"/>
      </w:pPr>
      <w:rPr>
        <w:rFonts w:ascii="Symbol" w:hAnsi="Symbol" w:hint="default"/>
        <w:sz w:val="20"/>
      </w:rPr>
    </w:lvl>
    <w:lvl w:ilvl="7" w:tplc="84169E08" w:tentative="1">
      <w:start w:val="1"/>
      <w:numFmt w:val="bullet"/>
      <w:lvlText w:val=""/>
      <w:lvlJc w:val="left"/>
      <w:pPr>
        <w:tabs>
          <w:tab w:val="num" w:pos="5760"/>
        </w:tabs>
        <w:ind w:left="5760" w:hanging="360"/>
      </w:pPr>
      <w:rPr>
        <w:rFonts w:ascii="Symbol" w:hAnsi="Symbol" w:hint="default"/>
        <w:sz w:val="20"/>
      </w:rPr>
    </w:lvl>
    <w:lvl w:ilvl="8" w:tplc="03DC75C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166ED"/>
    <w:multiLevelType w:val="hybridMultilevel"/>
    <w:tmpl w:val="BDC0F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BE6E2E"/>
    <w:multiLevelType w:val="hybridMultilevel"/>
    <w:tmpl w:val="C63EB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663EF3"/>
    <w:multiLevelType w:val="hybridMultilevel"/>
    <w:tmpl w:val="A4D4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B38FB"/>
    <w:multiLevelType w:val="hybridMultilevel"/>
    <w:tmpl w:val="12ACCB6C"/>
    <w:lvl w:ilvl="0" w:tplc="5ACEF6B0">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A78673EE">
      <w:start w:val="1"/>
      <w:numFmt w:val="bullet"/>
      <w:lvlText w:val=""/>
      <w:lvlJc w:val="left"/>
      <w:pPr>
        <w:ind w:left="1800" w:hanging="360"/>
      </w:pPr>
      <w:rPr>
        <w:rFonts w:ascii="Wingdings" w:hAnsi="Wingdings" w:hint="default"/>
      </w:rPr>
    </w:lvl>
    <w:lvl w:ilvl="3" w:tplc="12F80564">
      <w:start w:val="1"/>
      <w:numFmt w:val="bullet"/>
      <w:lvlText w:val=""/>
      <w:lvlJc w:val="left"/>
      <w:pPr>
        <w:ind w:left="2520" w:hanging="360"/>
      </w:pPr>
      <w:rPr>
        <w:rFonts w:ascii="Symbol" w:hAnsi="Symbol" w:hint="default"/>
      </w:rPr>
    </w:lvl>
    <w:lvl w:ilvl="4" w:tplc="17F21532">
      <w:start w:val="1"/>
      <w:numFmt w:val="bullet"/>
      <w:lvlText w:val="o"/>
      <w:lvlJc w:val="left"/>
      <w:pPr>
        <w:ind w:left="3240" w:hanging="360"/>
      </w:pPr>
      <w:rPr>
        <w:rFonts w:ascii="Courier New" w:hAnsi="Courier New" w:hint="default"/>
      </w:rPr>
    </w:lvl>
    <w:lvl w:ilvl="5" w:tplc="8B606936">
      <w:start w:val="1"/>
      <w:numFmt w:val="bullet"/>
      <w:lvlText w:val=""/>
      <w:lvlJc w:val="left"/>
      <w:pPr>
        <w:ind w:left="3960" w:hanging="360"/>
      </w:pPr>
      <w:rPr>
        <w:rFonts w:ascii="Wingdings" w:hAnsi="Wingdings" w:hint="default"/>
      </w:rPr>
    </w:lvl>
    <w:lvl w:ilvl="6" w:tplc="9D7C13CC">
      <w:start w:val="1"/>
      <w:numFmt w:val="bullet"/>
      <w:lvlText w:val=""/>
      <w:lvlJc w:val="left"/>
      <w:pPr>
        <w:ind w:left="4680" w:hanging="360"/>
      </w:pPr>
      <w:rPr>
        <w:rFonts w:ascii="Symbol" w:hAnsi="Symbol" w:hint="default"/>
      </w:rPr>
    </w:lvl>
    <w:lvl w:ilvl="7" w:tplc="C8BA1C08">
      <w:start w:val="1"/>
      <w:numFmt w:val="bullet"/>
      <w:lvlText w:val="o"/>
      <w:lvlJc w:val="left"/>
      <w:pPr>
        <w:ind w:left="5400" w:hanging="360"/>
      </w:pPr>
      <w:rPr>
        <w:rFonts w:ascii="Courier New" w:hAnsi="Courier New" w:hint="default"/>
      </w:rPr>
    </w:lvl>
    <w:lvl w:ilvl="8" w:tplc="B2E20A7C">
      <w:start w:val="1"/>
      <w:numFmt w:val="bullet"/>
      <w:lvlText w:val=""/>
      <w:lvlJc w:val="left"/>
      <w:pPr>
        <w:ind w:left="6120" w:hanging="360"/>
      </w:pPr>
      <w:rPr>
        <w:rFonts w:ascii="Wingdings" w:hAnsi="Wingdings" w:hint="default"/>
      </w:rPr>
    </w:lvl>
  </w:abstractNum>
  <w:abstractNum w:abstractNumId="17" w15:restartNumberingAfterBreak="0">
    <w:nsid w:val="290904BA"/>
    <w:multiLevelType w:val="hybridMultilevel"/>
    <w:tmpl w:val="AC4A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93B48"/>
    <w:multiLevelType w:val="hybridMultilevel"/>
    <w:tmpl w:val="D5E8A3A4"/>
    <w:lvl w:ilvl="0" w:tplc="D10C3A9A">
      <w:start w:val="4"/>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BE20259"/>
    <w:multiLevelType w:val="hybridMultilevel"/>
    <w:tmpl w:val="1F14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653F4"/>
    <w:multiLevelType w:val="hybridMultilevel"/>
    <w:tmpl w:val="FFAC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FAE4565"/>
    <w:multiLevelType w:val="hybridMultilevel"/>
    <w:tmpl w:val="D1E6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D0B1C"/>
    <w:multiLevelType w:val="hybridMultilevel"/>
    <w:tmpl w:val="384A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470E4"/>
    <w:multiLevelType w:val="hybridMultilevel"/>
    <w:tmpl w:val="F500993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02A98"/>
    <w:multiLevelType w:val="hybridMultilevel"/>
    <w:tmpl w:val="A8B823AA"/>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769545B"/>
    <w:multiLevelType w:val="multilevel"/>
    <w:tmpl w:val="C19E7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FF34D3"/>
    <w:multiLevelType w:val="hybridMultilevel"/>
    <w:tmpl w:val="9E1A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04FD1"/>
    <w:multiLevelType w:val="hybridMultilevel"/>
    <w:tmpl w:val="9AA2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B5277"/>
    <w:multiLevelType w:val="hybridMultilevel"/>
    <w:tmpl w:val="EEEC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F3723"/>
    <w:multiLevelType w:val="hybridMultilevel"/>
    <w:tmpl w:val="0DB4F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E36C31"/>
    <w:multiLevelType w:val="hybridMultilevel"/>
    <w:tmpl w:val="F84ADC66"/>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3B18A0"/>
    <w:multiLevelType w:val="hybridMultilevel"/>
    <w:tmpl w:val="EB56F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557FC6"/>
    <w:multiLevelType w:val="hybridMultilevel"/>
    <w:tmpl w:val="29F8649E"/>
    <w:lvl w:ilvl="0" w:tplc="807EEFF8">
      <w:start w:val="1"/>
      <w:numFmt w:val="bullet"/>
      <w:lvlText w:val=""/>
      <w:lvlJc w:val="left"/>
      <w:pPr>
        <w:tabs>
          <w:tab w:val="num" w:pos="720"/>
        </w:tabs>
        <w:ind w:left="720" w:hanging="360"/>
      </w:pPr>
      <w:rPr>
        <w:rFonts w:ascii="Symbol" w:hAnsi="Symbol" w:hint="default"/>
        <w:sz w:val="20"/>
      </w:rPr>
    </w:lvl>
    <w:lvl w:ilvl="1" w:tplc="9754E3FE" w:tentative="1">
      <w:start w:val="1"/>
      <w:numFmt w:val="bullet"/>
      <w:lvlText w:val=""/>
      <w:lvlJc w:val="left"/>
      <w:pPr>
        <w:tabs>
          <w:tab w:val="num" w:pos="1440"/>
        </w:tabs>
        <w:ind w:left="1440" w:hanging="360"/>
      </w:pPr>
      <w:rPr>
        <w:rFonts w:ascii="Symbol" w:hAnsi="Symbol" w:hint="default"/>
        <w:sz w:val="20"/>
      </w:rPr>
    </w:lvl>
    <w:lvl w:ilvl="2" w:tplc="341A4870" w:tentative="1">
      <w:start w:val="1"/>
      <w:numFmt w:val="bullet"/>
      <w:lvlText w:val=""/>
      <w:lvlJc w:val="left"/>
      <w:pPr>
        <w:tabs>
          <w:tab w:val="num" w:pos="2160"/>
        </w:tabs>
        <w:ind w:left="2160" w:hanging="360"/>
      </w:pPr>
      <w:rPr>
        <w:rFonts w:ascii="Symbol" w:hAnsi="Symbol" w:hint="default"/>
        <w:sz w:val="20"/>
      </w:rPr>
    </w:lvl>
    <w:lvl w:ilvl="3" w:tplc="7ED8AE9E" w:tentative="1">
      <w:start w:val="1"/>
      <w:numFmt w:val="bullet"/>
      <w:lvlText w:val=""/>
      <w:lvlJc w:val="left"/>
      <w:pPr>
        <w:tabs>
          <w:tab w:val="num" w:pos="2880"/>
        </w:tabs>
        <w:ind w:left="2880" w:hanging="360"/>
      </w:pPr>
      <w:rPr>
        <w:rFonts w:ascii="Symbol" w:hAnsi="Symbol" w:hint="default"/>
        <w:sz w:val="20"/>
      </w:rPr>
    </w:lvl>
    <w:lvl w:ilvl="4" w:tplc="986030F4" w:tentative="1">
      <w:start w:val="1"/>
      <w:numFmt w:val="bullet"/>
      <w:lvlText w:val=""/>
      <w:lvlJc w:val="left"/>
      <w:pPr>
        <w:tabs>
          <w:tab w:val="num" w:pos="3600"/>
        </w:tabs>
        <w:ind w:left="3600" w:hanging="360"/>
      </w:pPr>
      <w:rPr>
        <w:rFonts w:ascii="Symbol" w:hAnsi="Symbol" w:hint="default"/>
        <w:sz w:val="20"/>
      </w:rPr>
    </w:lvl>
    <w:lvl w:ilvl="5" w:tplc="69BE2984" w:tentative="1">
      <w:start w:val="1"/>
      <w:numFmt w:val="bullet"/>
      <w:lvlText w:val=""/>
      <w:lvlJc w:val="left"/>
      <w:pPr>
        <w:tabs>
          <w:tab w:val="num" w:pos="4320"/>
        </w:tabs>
        <w:ind w:left="4320" w:hanging="360"/>
      </w:pPr>
      <w:rPr>
        <w:rFonts w:ascii="Symbol" w:hAnsi="Symbol" w:hint="default"/>
        <w:sz w:val="20"/>
      </w:rPr>
    </w:lvl>
    <w:lvl w:ilvl="6" w:tplc="0AE8DCA0" w:tentative="1">
      <w:start w:val="1"/>
      <w:numFmt w:val="bullet"/>
      <w:lvlText w:val=""/>
      <w:lvlJc w:val="left"/>
      <w:pPr>
        <w:tabs>
          <w:tab w:val="num" w:pos="5040"/>
        </w:tabs>
        <w:ind w:left="5040" w:hanging="360"/>
      </w:pPr>
      <w:rPr>
        <w:rFonts w:ascii="Symbol" w:hAnsi="Symbol" w:hint="default"/>
        <w:sz w:val="20"/>
      </w:rPr>
    </w:lvl>
    <w:lvl w:ilvl="7" w:tplc="A1C0B25C" w:tentative="1">
      <w:start w:val="1"/>
      <w:numFmt w:val="bullet"/>
      <w:lvlText w:val=""/>
      <w:lvlJc w:val="left"/>
      <w:pPr>
        <w:tabs>
          <w:tab w:val="num" w:pos="5760"/>
        </w:tabs>
        <w:ind w:left="5760" w:hanging="360"/>
      </w:pPr>
      <w:rPr>
        <w:rFonts w:ascii="Symbol" w:hAnsi="Symbol" w:hint="default"/>
        <w:sz w:val="20"/>
      </w:rPr>
    </w:lvl>
    <w:lvl w:ilvl="8" w:tplc="F3129B9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E65418"/>
    <w:multiLevelType w:val="hybridMultilevel"/>
    <w:tmpl w:val="C796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F47B6"/>
    <w:multiLevelType w:val="hybridMultilevel"/>
    <w:tmpl w:val="D6BEBAA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0157B7"/>
    <w:multiLevelType w:val="hybridMultilevel"/>
    <w:tmpl w:val="82929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0F4934"/>
    <w:multiLevelType w:val="hybridMultilevel"/>
    <w:tmpl w:val="24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3412F"/>
    <w:multiLevelType w:val="hybridMultilevel"/>
    <w:tmpl w:val="B4EAF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1A618B"/>
    <w:multiLevelType w:val="hybridMultilevel"/>
    <w:tmpl w:val="D4C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02A2B"/>
    <w:multiLevelType w:val="hybridMultilevel"/>
    <w:tmpl w:val="FC0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E636F"/>
    <w:multiLevelType w:val="hybridMultilevel"/>
    <w:tmpl w:val="D03E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03F85"/>
    <w:multiLevelType w:val="hybridMultilevel"/>
    <w:tmpl w:val="4A22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A380E"/>
    <w:multiLevelType w:val="hybridMultilevel"/>
    <w:tmpl w:val="86308688"/>
    <w:lvl w:ilvl="0" w:tplc="0809000F">
      <w:start w:val="1"/>
      <w:numFmt w:val="decimal"/>
      <w:lvlText w:val="%1."/>
      <w:lvlJc w:val="left"/>
      <w:pPr>
        <w:ind w:left="360" w:hanging="360"/>
      </w:pPr>
      <w:rPr>
        <w:rFonts w:hint="default"/>
        <w:b/>
        <w:bCs/>
      </w:rPr>
    </w:lvl>
    <w:lvl w:ilvl="1" w:tplc="08090001">
      <w:start w:val="1"/>
      <w:numFmt w:val="bullet"/>
      <w:lvlText w:val=""/>
      <w:lvlJc w:val="left"/>
      <w:pPr>
        <w:ind w:left="1080" w:hanging="360"/>
      </w:pPr>
      <w:rPr>
        <w:rFonts w:ascii="Symbol" w:hAnsi="Symbol" w:hint="default"/>
      </w:rPr>
    </w:lvl>
    <w:lvl w:ilvl="2" w:tplc="0809000D">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EA6289B"/>
    <w:multiLevelType w:val="hybridMultilevel"/>
    <w:tmpl w:val="DBFA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DA77D4"/>
    <w:multiLevelType w:val="hybridMultilevel"/>
    <w:tmpl w:val="F9FE2B12"/>
    <w:lvl w:ilvl="0" w:tplc="0809000F">
      <w:start w:val="1"/>
      <w:numFmt w:val="decimal"/>
      <w:lvlText w:val="%1."/>
      <w:lvlJc w:val="left"/>
      <w:pPr>
        <w:ind w:left="360" w:hanging="360"/>
      </w:pPr>
      <w:rPr>
        <w:rFonts w:hint="default"/>
        <w:b/>
        <w:bCs/>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9B1934"/>
    <w:multiLevelType w:val="hybridMultilevel"/>
    <w:tmpl w:val="1DB63E36"/>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4F3CCA"/>
    <w:multiLevelType w:val="hybridMultilevel"/>
    <w:tmpl w:val="A5A2A1F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E4EE9"/>
    <w:multiLevelType w:val="hybridMultilevel"/>
    <w:tmpl w:val="25F0C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DFC07E3"/>
    <w:multiLevelType w:val="hybridMultilevel"/>
    <w:tmpl w:val="531CBF0A"/>
    <w:lvl w:ilvl="0" w:tplc="08090001">
      <w:start w:val="1"/>
      <w:numFmt w:val="bullet"/>
      <w:lvlText w:val=""/>
      <w:lvlJc w:val="left"/>
      <w:pPr>
        <w:ind w:left="720" w:hanging="360"/>
      </w:pPr>
      <w:rPr>
        <w:rFonts w:ascii="Symbol" w:hAnsi="Symbol" w:hint="default"/>
      </w:rPr>
    </w:lvl>
    <w:lvl w:ilvl="1" w:tplc="8E783692">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1"/>
  </w:num>
  <w:num w:numId="4">
    <w:abstractNumId w:val="12"/>
  </w:num>
  <w:num w:numId="5">
    <w:abstractNumId w:val="32"/>
  </w:num>
  <w:num w:numId="6">
    <w:abstractNumId w:val="35"/>
  </w:num>
  <w:num w:numId="7">
    <w:abstractNumId w:val="44"/>
  </w:num>
  <w:num w:numId="8">
    <w:abstractNumId w:val="45"/>
  </w:num>
  <w:num w:numId="9">
    <w:abstractNumId w:val="26"/>
  </w:num>
  <w:num w:numId="10">
    <w:abstractNumId w:val="15"/>
  </w:num>
  <w:num w:numId="11">
    <w:abstractNumId w:val="36"/>
  </w:num>
  <w:num w:numId="12">
    <w:abstractNumId w:val="40"/>
  </w:num>
  <w:num w:numId="13">
    <w:abstractNumId w:val="10"/>
  </w:num>
  <w:num w:numId="14">
    <w:abstractNumId w:val="42"/>
  </w:num>
  <w:num w:numId="15">
    <w:abstractNumId w:val="47"/>
  </w:num>
  <w:num w:numId="16">
    <w:abstractNumId w:val="18"/>
  </w:num>
  <w:num w:numId="17">
    <w:abstractNumId w:val="41"/>
  </w:num>
  <w:num w:numId="18">
    <w:abstractNumId w:val="9"/>
  </w:num>
  <w:num w:numId="19">
    <w:abstractNumId w:val="16"/>
  </w:num>
  <w:num w:numId="20">
    <w:abstractNumId w:val="3"/>
  </w:num>
  <w:num w:numId="21">
    <w:abstractNumId w:val="4"/>
  </w:num>
  <w:num w:numId="22">
    <w:abstractNumId w:val="29"/>
  </w:num>
  <w:num w:numId="23">
    <w:abstractNumId w:val="34"/>
  </w:num>
  <w:num w:numId="24">
    <w:abstractNumId w:val="24"/>
  </w:num>
  <w:num w:numId="25">
    <w:abstractNumId w:val="46"/>
  </w:num>
  <w:num w:numId="26">
    <w:abstractNumId w:val="20"/>
  </w:num>
  <w:num w:numId="27">
    <w:abstractNumId w:val="1"/>
  </w:num>
  <w:num w:numId="28">
    <w:abstractNumId w:val="2"/>
  </w:num>
  <w:num w:numId="29">
    <w:abstractNumId w:val="23"/>
  </w:num>
  <w:num w:numId="30">
    <w:abstractNumId w:val="6"/>
  </w:num>
  <w:num w:numId="31">
    <w:abstractNumId w:val="31"/>
  </w:num>
  <w:num w:numId="32">
    <w:abstractNumId w:val="22"/>
  </w:num>
  <w:num w:numId="33">
    <w:abstractNumId w:val="19"/>
  </w:num>
  <w:num w:numId="34">
    <w:abstractNumId w:val="48"/>
  </w:num>
  <w:num w:numId="35">
    <w:abstractNumId w:val="8"/>
  </w:num>
  <w:num w:numId="36">
    <w:abstractNumId w:val="7"/>
  </w:num>
  <w:num w:numId="37">
    <w:abstractNumId w:val="13"/>
  </w:num>
  <w:num w:numId="38">
    <w:abstractNumId w:val="25"/>
  </w:num>
  <w:num w:numId="39">
    <w:abstractNumId w:val="38"/>
  </w:num>
  <w:num w:numId="40">
    <w:abstractNumId w:val="28"/>
  </w:num>
  <w:num w:numId="41">
    <w:abstractNumId w:val="39"/>
  </w:num>
  <w:num w:numId="42">
    <w:abstractNumId w:val="5"/>
  </w:num>
  <w:num w:numId="43">
    <w:abstractNumId w:val="37"/>
  </w:num>
  <w:num w:numId="44">
    <w:abstractNumId w:val="27"/>
  </w:num>
  <w:num w:numId="45">
    <w:abstractNumId w:val="17"/>
  </w:num>
  <w:num w:numId="46">
    <w:abstractNumId w:val="0"/>
  </w:num>
  <w:num w:numId="47">
    <w:abstractNumId w:val="33"/>
  </w:num>
  <w:num w:numId="48">
    <w:abstractNumId w:val="4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7B"/>
    <w:rsid w:val="00004DFF"/>
    <w:rsid w:val="00005118"/>
    <w:rsid w:val="0001222F"/>
    <w:rsid w:val="00013031"/>
    <w:rsid w:val="000234D8"/>
    <w:rsid w:val="000251C6"/>
    <w:rsid w:val="00025E4D"/>
    <w:rsid w:val="000267E9"/>
    <w:rsid w:val="00040B17"/>
    <w:rsid w:val="00046C9C"/>
    <w:rsid w:val="0005306C"/>
    <w:rsid w:val="0005504D"/>
    <w:rsid w:val="00057DCD"/>
    <w:rsid w:val="00061363"/>
    <w:rsid w:val="00063142"/>
    <w:rsid w:val="00066675"/>
    <w:rsid w:val="00067736"/>
    <w:rsid w:val="000711B2"/>
    <w:rsid w:val="00073932"/>
    <w:rsid w:val="00076844"/>
    <w:rsid w:val="0008208F"/>
    <w:rsid w:val="000901AC"/>
    <w:rsid w:val="00095332"/>
    <w:rsid w:val="000A1EB7"/>
    <w:rsid w:val="000A5CDB"/>
    <w:rsid w:val="000C1DFF"/>
    <w:rsid w:val="000C28CF"/>
    <w:rsid w:val="000D41AF"/>
    <w:rsid w:val="000E5ACF"/>
    <w:rsid w:val="000F0D8B"/>
    <w:rsid w:val="000F25FF"/>
    <w:rsid w:val="00100939"/>
    <w:rsid w:val="00110063"/>
    <w:rsid w:val="001148B4"/>
    <w:rsid w:val="001154A4"/>
    <w:rsid w:val="001201C1"/>
    <w:rsid w:val="00120202"/>
    <w:rsid w:val="001206A2"/>
    <w:rsid w:val="0012147E"/>
    <w:rsid w:val="00124557"/>
    <w:rsid w:val="00125829"/>
    <w:rsid w:val="00126E88"/>
    <w:rsid w:val="0012792E"/>
    <w:rsid w:val="00130C4C"/>
    <w:rsid w:val="0013262E"/>
    <w:rsid w:val="001327C1"/>
    <w:rsid w:val="00134C11"/>
    <w:rsid w:val="0014286F"/>
    <w:rsid w:val="001430FF"/>
    <w:rsid w:val="00147968"/>
    <w:rsid w:val="00157331"/>
    <w:rsid w:val="001673B3"/>
    <w:rsid w:val="001705A6"/>
    <w:rsid w:val="00172714"/>
    <w:rsid w:val="0017551E"/>
    <w:rsid w:val="00176AFF"/>
    <w:rsid w:val="001775D2"/>
    <w:rsid w:val="0018131F"/>
    <w:rsid w:val="00184592"/>
    <w:rsid w:val="00191FF8"/>
    <w:rsid w:val="00194CD7"/>
    <w:rsid w:val="00197ECB"/>
    <w:rsid w:val="001A0398"/>
    <w:rsid w:val="001A15AA"/>
    <w:rsid w:val="001A6824"/>
    <w:rsid w:val="001B31E8"/>
    <w:rsid w:val="001B396D"/>
    <w:rsid w:val="001B4661"/>
    <w:rsid w:val="001B4A78"/>
    <w:rsid w:val="001B7472"/>
    <w:rsid w:val="001C17BD"/>
    <w:rsid w:val="001C183A"/>
    <w:rsid w:val="001C4820"/>
    <w:rsid w:val="001D3E9D"/>
    <w:rsid w:val="001E2658"/>
    <w:rsid w:val="001E2BF2"/>
    <w:rsid w:val="001E5669"/>
    <w:rsid w:val="001E6FEA"/>
    <w:rsid w:val="001F1B25"/>
    <w:rsid w:val="001F2C73"/>
    <w:rsid w:val="001F3A35"/>
    <w:rsid w:val="001F5B2F"/>
    <w:rsid w:val="00202D8B"/>
    <w:rsid w:val="00206153"/>
    <w:rsid w:val="0021226F"/>
    <w:rsid w:val="00212CE6"/>
    <w:rsid w:val="002141F2"/>
    <w:rsid w:val="002164B5"/>
    <w:rsid w:val="0021761B"/>
    <w:rsid w:val="00227A00"/>
    <w:rsid w:val="00230D22"/>
    <w:rsid w:val="002378DD"/>
    <w:rsid w:val="00242DFE"/>
    <w:rsid w:val="0024300D"/>
    <w:rsid w:val="00244C63"/>
    <w:rsid w:val="00246B1F"/>
    <w:rsid w:val="00250359"/>
    <w:rsid w:val="002540F5"/>
    <w:rsid w:val="002554FB"/>
    <w:rsid w:val="00260822"/>
    <w:rsid w:val="00267A4F"/>
    <w:rsid w:val="0027069B"/>
    <w:rsid w:val="00270891"/>
    <w:rsid w:val="00271CCD"/>
    <w:rsid w:val="0027698E"/>
    <w:rsid w:val="00276B68"/>
    <w:rsid w:val="00277D58"/>
    <w:rsid w:val="00280FE2"/>
    <w:rsid w:val="0028223A"/>
    <w:rsid w:val="00285826"/>
    <w:rsid w:val="00290308"/>
    <w:rsid w:val="00291E1B"/>
    <w:rsid w:val="00297041"/>
    <w:rsid w:val="002A117C"/>
    <w:rsid w:val="002A1A06"/>
    <w:rsid w:val="002A3187"/>
    <w:rsid w:val="002B40D4"/>
    <w:rsid w:val="002B4542"/>
    <w:rsid w:val="002C6982"/>
    <w:rsid w:val="002D0DF7"/>
    <w:rsid w:val="002D33E7"/>
    <w:rsid w:val="002D61BE"/>
    <w:rsid w:val="002E10A7"/>
    <w:rsid w:val="002F47BE"/>
    <w:rsid w:val="002F4AB0"/>
    <w:rsid w:val="002F4AC1"/>
    <w:rsid w:val="003110E7"/>
    <w:rsid w:val="0032071D"/>
    <w:rsid w:val="00330CB8"/>
    <w:rsid w:val="003653FD"/>
    <w:rsid w:val="003663BB"/>
    <w:rsid w:val="00371DCF"/>
    <w:rsid w:val="0037245F"/>
    <w:rsid w:val="003818AE"/>
    <w:rsid w:val="00384FA3"/>
    <w:rsid w:val="003911B2"/>
    <w:rsid w:val="003A51F9"/>
    <w:rsid w:val="003A7630"/>
    <w:rsid w:val="003B121C"/>
    <w:rsid w:val="003B2723"/>
    <w:rsid w:val="003B3C7D"/>
    <w:rsid w:val="003C1D88"/>
    <w:rsid w:val="003C71E3"/>
    <w:rsid w:val="003F402B"/>
    <w:rsid w:val="003F571D"/>
    <w:rsid w:val="003F747B"/>
    <w:rsid w:val="00401A05"/>
    <w:rsid w:val="004119EC"/>
    <w:rsid w:val="00414D29"/>
    <w:rsid w:val="0042155B"/>
    <w:rsid w:val="00423417"/>
    <w:rsid w:val="004275A2"/>
    <w:rsid w:val="00430F76"/>
    <w:rsid w:val="00433022"/>
    <w:rsid w:val="00444D2D"/>
    <w:rsid w:val="004461C2"/>
    <w:rsid w:val="00450FF3"/>
    <w:rsid w:val="004619B2"/>
    <w:rsid w:val="004649D6"/>
    <w:rsid w:val="00470E87"/>
    <w:rsid w:val="0048661E"/>
    <w:rsid w:val="004870AA"/>
    <w:rsid w:val="00490AB0"/>
    <w:rsid w:val="004914A4"/>
    <w:rsid w:val="004A325F"/>
    <w:rsid w:val="004B05E5"/>
    <w:rsid w:val="004B1911"/>
    <w:rsid w:val="004B5B85"/>
    <w:rsid w:val="004C3C82"/>
    <w:rsid w:val="004C745F"/>
    <w:rsid w:val="004D6F9A"/>
    <w:rsid w:val="004D7BC9"/>
    <w:rsid w:val="004E0320"/>
    <w:rsid w:val="004E1E55"/>
    <w:rsid w:val="004E461D"/>
    <w:rsid w:val="004E653A"/>
    <w:rsid w:val="004E66B4"/>
    <w:rsid w:val="004E74E8"/>
    <w:rsid w:val="004F447D"/>
    <w:rsid w:val="00502E18"/>
    <w:rsid w:val="00503085"/>
    <w:rsid w:val="00504328"/>
    <w:rsid w:val="005056FD"/>
    <w:rsid w:val="00511347"/>
    <w:rsid w:val="00516664"/>
    <w:rsid w:val="0051750D"/>
    <w:rsid w:val="005321A3"/>
    <w:rsid w:val="00533D46"/>
    <w:rsid w:val="005402B9"/>
    <w:rsid w:val="00547948"/>
    <w:rsid w:val="00551BAA"/>
    <w:rsid w:val="005520E0"/>
    <w:rsid w:val="00552D67"/>
    <w:rsid w:val="0055351B"/>
    <w:rsid w:val="00554EE5"/>
    <w:rsid w:val="005566A7"/>
    <w:rsid w:val="00561870"/>
    <w:rsid w:val="00563897"/>
    <w:rsid w:val="00567A08"/>
    <w:rsid w:val="005704A6"/>
    <w:rsid w:val="00572746"/>
    <w:rsid w:val="005727D3"/>
    <w:rsid w:val="00572DE1"/>
    <w:rsid w:val="00576E8C"/>
    <w:rsid w:val="0058396A"/>
    <w:rsid w:val="00586945"/>
    <w:rsid w:val="00592AD8"/>
    <w:rsid w:val="00595DD4"/>
    <w:rsid w:val="005A0DC2"/>
    <w:rsid w:val="005A0F29"/>
    <w:rsid w:val="005A628E"/>
    <w:rsid w:val="005C3562"/>
    <w:rsid w:val="005C3824"/>
    <w:rsid w:val="005D706E"/>
    <w:rsid w:val="005E1701"/>
    <w:rsid w:val="005E1C91"/>
    <w:rsid w:val="005E345E"/>
    <w:rsid w:val="005E4172"/>
    <w:rsid w:val="005E4D64"/>
    <w:rsid w:val="005E739D"/>
    <w:rsid w:val="005E763F"/>
    <w:rsid w:val="005F4F7C"/>
    <w:rsid w:val="00600336"/>
    <w:rsid w:val="00603729"/>
    <w:rsid w:val="006053AE"/>
    <w:rsid w:val="00606EEA"/>
    <w:rsid w:val="0061086B"/>
    <w:rsid w:val="006110A9"/>
    <w:rsid w:val="00611E9F"/>
    <w:rsid w:val="00612D0A"/>
    <w:rsid w:val="00613C77"/>
    <w:rsid w:val="00615285"/>
    <w:rsid w:val="006174AF"/>
    <w:rsid w:val="006255CB"/>
    <w:rsid w:val="006305AD"/>
    <w:rsid w:val="00631C70"/>
    <w:rsid w:val="00633007"/>
    <w:rsid w:val="00633B7E"/>
    <w:rsid w:val="00636075"/>
    <w:rsid w:val="0064744B"/>
    <w:rsid w:val="00650391"/>
    <w:rsid w:val="00662239"/>
    <w:rsid w:val="00665953"/>
    <w:rsid w:val="00666C59"/>
    <w:rsid w:val="00670144"/>
    <w:rsid w:val="00676F23"/>
    <w:rsid w:val="006775A3"/>
    <w:rsid w:val="0067774E"/>
    <w:rsid w:val="006805ED"/>
    <w:rsid w:val="00682934"/>
    <w:rsid w:val="00686342"/>
    <w:rsid w:val="00687874"/>
    <w:rsid w:val="00690364"/>
    <w:rsid w:val="00691644"/>
    <w:rsid w:val="006920F3"/>
    <w:rsid w:val="00694B75"/>
    <w:rsid w:val="006A6AD2"/>
    <w:rsid w:val="006B393E"/>
    <w:rsid w:val="006B5DEC"/>
    <w:rsid w:val="006B7471"/>
    <w:rsid w:val="006C00F8"/>
    <w:rsid w:val="006C01D0"/>
    <w:rsid w:val="006C097B"/>
    <w:rsid w:val="006C3C15"/>
    <w:rsid w:val="006C5922"/>
    <w:rsid w:val="006D042A"/>
    <w:rsid w:val="006D2FD6"/>
    <w:rsid w:val="006D72F0"/>
    <w:rsid w:val="006E0C96"/>
    <w:rsid w:val="006E4907"/>
    <w:rsid w:val="006F1017"/>
    <w:rsid w:val="006F2121"/>
    <w:rsid w:val="006F2DEF"/>
    <w:rsid w:val="0070209F"/>
    <w:rsid w:val="0070299A"/>
    <w:rsid w:val="007031FF"/>
    <w:rsid w:val="00704198"/>
    <w:rsid w:val="007053BD"/>
    <w:rsid w:val="0070698A"/>
    <w:rsid w:val="00713481"/>
    <w:rsid w:val="007134CA"/>
    <w:rsid w:val="0071547C"/>
    <w:rsid w:val="00722868"/>
    <w:rsid w:val="00722B78"/>
    <w:rsid w:val="00725578"/>
    <w:rsid w:val="00743D48"/>
    <w:rsid w:val="00745A7B"/>
    <w:rsid w:val="00750A49"/>
    <w:rsid w:val="00751F73"/>
    <w:rsid w:val="00760754"/>
    <w:rsid w:val="00764F50"/>
    <w:rsid w:val="00766A60"/>
    <w:rsid w:val="00766EDE"/>
    <w:rsid w:val="0077054F"/>
    <w:rsid w:val="00771759"/>
    <w:rsid w:val="007812E6"/>
    <w:rsid w:val="0078210C"/>
    <w:rsid w:val="00782330"/>
    <w:rsid w:val="0079312A"/>
    <w:rsid w:val="007939CC"/>
    <w:rsid w:val="00795FC3"/>
    <w:rsid w:val="007960AA"/>
    <w:rsid w:val="007967ED"/>
    <w:rsid w:val="007A3A55"/>
    <w:rsid w:val="007A410C"/>
    <w:rsid w:val="007A5000"/>
    <w:rsid w:val="007A60CD"/>
    <w:rsid w:val="007B220E"/>
    <w:rsid w:val="007C008A"/>
    <w:rsid w:val="007E4CF7"/>
    <w:rsid w:val="007E7368"/>
    <w:rsid w:val="007E7A1D"/>
    <w:rsid w:val="008030F1"/>
    <w:rsid w:val="008032C8"/>
    <w:rsid w:val="00810A4F"/>
    <w:rsid w:val="00821EBE"/>
    <w:rsid w:val="00824E84"/>
    <w:rsid w:val="008336FE"/>
    <w:rsid w:val="00837B87"/>
    <w:rsid w:val="00840AE3"/>
    <w:rsid w:val="008417AE"/>
    <w:rsid w:val="00843ACE"/>
    <w:rsid w:val="008543BE"/>
    <w:rsid w:val="008605E0"/>
    <w:rsid w:val="00862221"/>
    <w:rsid w:val="00864339"/>
    <w:rsid w:val="0087056D"/>
    <w:rsid w:val="00872322"/>
    <w:rsid w:val="008732DC"/>
    <w:rsid w:val="00876F45"/>
    <w:rsid w:val="00881CF4"/>
    <w:rsid w:val="00884DB5"/>
    <w:rsid w:val="00886B20"/>
    <w:rsid w:val="0089028E"/>
    <w:rsid w:val="00895C7B"/>
    <w:rsid w:val="00895E1A"/>
    <w:rsid w:val="008A4490"/>
    <w:rsid w:val="008B279D"/>
    <w:rsid w:val="008B414E"/>
    <w:rsid w:val="008B7A17"/>
    <w:rsid w:val="008C1F40"/>
    <w:rsid w:val="008D39E3"/>
    <w:rsid w:val="008D4923"/>
    <w:rsid w:val="008D71D5"/>
    <w:rsid w:val="008E1387"/>
    <w:rsid w:val="008E62DD"/>
    <w:rsid w:val="009002FC"/>
    <w:rsid w:val="00911FC5"/>
    <w:rsid w:val="00913DC7"/>
    <w:rsid w:val="009167AE"/>
    <w:rsid w:val="00917193"/>
    <w:rsid w:val="009173F1"/>
    <w:rsid w:val="00920B68"/>
    <w:rsid w:val="009215B8"/>
    <w:rsid w:val="00930C08"/>
    <w:rsid w:val="00931E19"/>
    <w:rsid w:val="009412FD"/>
    <w:rsid w:val="009417DE"/>
    <w:rsid w:val="00964351"/>
    <w:rsid w:val="00970190"/>
    <w:rsid w:val="00973A84"/>
    <w:rsid w:val="00976FE3"/>
    <w:rsid w:val="00977E6F"/>
    <w:rsid w:val="00984738"/>
    <w:rsid w:val="009913BA"/>
    <w:rsid w:val="009A19A3"/>
    <w:rsid w:val="009A6CCB"/>
    <w:rsid w:val="009B0DDD"/>
    <w:rsid w:val="009B1AD8"/>
    <w:rsid w:val="009B4CE1"/>
    <w:rsid w:val="009C4EDB"/>
    <w:rsid w:val="009D4028"/>
    <w:rsid w:val="009D5372"/>
    <w:rsid w:val="009D5A8B"/>
    <w:rsid w:val="009D62B3"/>
    <w:rsid w:val="009E1F96"/>
    <w:rsid w:val="009E3A41"/>
    <w:rsid w:val="009F5096"/>
    <w:rsid w:val="009F7CD8"/>
    <w:rsid w:val="00A00C9A"/>
    <w:rsid w:val="00A03313"/>
    <w:rsid w:val="00A05B3E"/>
    <w:rsid w:val="00A1131B"/>
    <w:rsid w:val="00A13F56"/>
    <w:rsid w:val="00A23AC0"/>
    <w:rsid w:val="00A25A6A"/>
    <w:rsid w:val="00A36651"/>
    <w:rsid w:val="00A37CE4"/>
    <w:rsid w:val="00A411A0"/>
    <w:rsid w:val="00A411D9"/>
    <w:rsid w:val="00A43262"/>
    <w:rsid w:val="00A46B4E"/>
    <w:rsid w:val="00A54615"/>
    <w:rsid w:val="00A57521"/>
    <w:rsid w:val="00A60C59"/>
    <w:rsid w:val="00A611D0"/>
    <w:rsid w:val="00A62434"/>
    <w:rsid w:val="00A63933"/>
    <w:rsid w:val="00A63FBE"/>
    <w:rsid w:val="00A6421C"/>
    <w:rsid w:val="00A65035"/>
    <w:rsid w:val="00A71F7B"/>
    <w:rsid w:val="00A85E1E"/>
    <w:rsid w:val="00A8673B"/>
    <w:rsid w:val="00AA0517"/>
    <w:rsid w:val="00AA1862"/>
    <w:rsid w:val="00AA2B92"/>
    <w:rsid w:val="00AB361C"/>
    <w:rsid w:val="00AB4D88"/>
    <w:rsid w:val="00AB59DC"/>
    <w:rsid w:val="00AB5AD4"/>
    <w:rsid w:val="00AC4FBD"/>
    <w:rsid w:val="00AD1A5B"/>
    <w:rsid w:val="00AD5B60"/>
    <w:rsid w:val="00AD7D06"/>
    <w:rsid w:val="00AE140D"/>
    <w:rsid w:val="00AE3323"/>
    <w:rsid w:val="00B01B1A"/>
    <w:rsid w:val="00B032CD"/>
    <w:rsid w:val="00B04960"/>
    <w:rsid w:val="00B11982"/>
    <w:rsid w:val="00B1380B"/>
    <w:rsid w:val="00B151E5"/>
    <w:rsid w:val="00B24804"/>
    <w:rsid w:val="00B249EA"/>
    <w:rsid w:val="00B25421"/>
    <w:rsid w:val="00B31465"/>
    <w:rsid w:val="00B32AAD"/>
    <w:rsid w:val="00B33507"/>
    <w:rsid w:val="00B47ECA"/>
    <w:rsid w:val="00B51242"/>
    <w:rsid w:val="00B54B4C"/>
    <w:rsid w:val="00B57341"/>
    <w:rsid w:val="00B5779C"/>
    <w:rsid w:val="00B603D2"/>
    <w:rsid w:val="00B66EA4"/>
    <w:rsid w:val="00B67A32"/>
    <w:rsid w:val="00B7168A"/>
    <w:rsid w:val="00B74BF9"/>
    <w:rsid w:val="00B7756D"/>
    <w:rsid w:val="00B80C69"/>
    <w:rsid w:val="00B812A4"/>
    <w:rsid w:val="00B81F29"/>
    <w:rsid w:val="00B82FEA"/>
    <w:rsid w:val="00B83E59"/>
    <w:rsid w:val="00BA5A56"/>
    <w:rsid w:val="00BB4235"/>
    <w:rsid w:val="00BC1800"/>
    <w:rsid w:val="00BC1C8F"/>
    <w:rsid w:val="00BC2C2C"/>
    <w:rsid w:val="00BD5B58"/>
    <w:rsid w:val="00BD699B"/>
    <w:rsid w:val="00BE0209"/>
    <w:rsid w:val="00BE0395"/>
    <w:rsid w:val="00BE57B4"/>
    <w:rsid w:val="00BE799F"/>
    <w:rsid w:val="00BF0349"/>
    <w:rsid w:val="00BF05AB"/>
    <w:rsid w:val="00BF6AC7"/>
    <w:rsid w:val="00BF6EA1"/>
    <w:rsid w:val="00C033FE"/>
    <w:rsid w:val="00C03DDE"/>
    <w:rsid w:val="00C04F18"/>
    <w:rsid w:val="00C056A5"/>
    <w:rsid w:val="00C067E3"/>
    <w:rsid w:val="00C07D2A"/>
    <w:rsid w:val="00C17981"/>
    <w:rsid w:val="00C21BA1"/>
    <w:rsid w:val="00C220C9"/>
    <w:rsid w:val="00C24F46"/>
    <w:rsid w:val="00C270E4"/>
    <w:rsid w:val="00C275E7"/>
    <w:rsid w:val="00C32AB4"/>
    <w:rsid w:val="00C4382A"/>
    <w:rsid w:val="00C52965"/>
    <w:rsid w:val="00C54BE7"/>
    <w:rsid w:val="00C62F21"/>
    <w:rsid w:val="00C64626"/>
    <w:rsid w:val="00C75360"/>
    <w:rsid w:val="00C8279F"/>
    <w:rsid w:val="00C82BCB"/>
    <w:rsid w:val="00C833BC"/>
    <w:rsid w:val="00CA09EB"/>
    <w:rsid w:val="00CA3ED0"/>
    <w:rsid w:val="00CA6C6D"/>
    <w:rsid w:val="00CA7F8C"/>
    <w:rsid w:val="00CB06D0"/>
    <w:rsid w:val="00CB77CC"/>
    <w:rsid w:val="00CD0AC4"/>
    <w:rsid w:val="00CE1045"/>
    <w:rsid w:val="00CE37C5"/>
    <w:rsid w:val="00CE68F9"/>
    <w:rsid w:val="00CF261B"/>
    <w:rsid w:val="00CF5C7F"/>
    <w:rsid w:val="00D00577"/>
    <w:rsid w:val="00D00BB8"/>
    <w:rsid w:val="00D07DC4"/>
    <w:rsid w:val="00D106C4"/>
    <w:rsid w:val="00D12EA9"/>
    <w:rsid w:val="00D15818"/>
    <w:rsid w:val="00D16B1F"/>
    <w:rsid w:val="00D16EAA"/>
    <w:rsid w:val="00D213FC"/>
    <w:rsid w:val="00D3278C"/>
    <w:rsid w:val="00D34B33"/>
    <w:rsid w:val="00D356DE"/>
    <w:rsid w:val="00D3585C"/>
    <w:rsid w:val="00D35B81"/>
    <w:rsid w:val="00D42DAC"/>
    <w:rsid w:val="00D50E97"/>
    <w:rsid w:val="00D553CB"/>
    <w:rsid w:val="00D55425"/>
    <w:rsid w:val="00D60078"/>
    <w:rsid w:val="00D616D6"/>
    <w:rsid w:val="00D81800"/>
    <w:rsid w:val="00D81ED1"/>
    <w:rsid w:val="00D8417D"/>
    <w:rsid w:val="00D85F2D"/>
    <w:rsid w:val="00D86BA3"/>
    <w:rsid w:val="00D87AB9"/>
    <w:rsid w:val="00D913FF"/>
    <w:rsid w:val="00DA095C"/>
    <w:rsid w:val="00DA107C"/>
    <w:rsid w:val="00DA1098"/>
    <w:rsid w:val="00DA5D53"/>
    <w:rsid w:val="00DB369A"/>
    <w:rsid w:val="00DC4804"/>
    <w:rsid w:val="00DC7B4F"/>
    <w:rsid w:val="00DE1541"/>
    <w:rsid w:val="00DE3BFD"/>
    <w:rsid w:val="00DE66CF"/>
    <w:rsid w:val="00DE6D2F"/>
    <w:rsid w:val="00DF12B5"/>
    <w:rsid w:val="00DF5A00"/>
    <w:rsid w:val="00DF6AC1"/>
    <w:rsid w:val="00E02803"/>
    <w:rsid w:val="00E04D85"/>
    <w:rsid w:val="00E214A9"/>
    <w:rsid w:val="00E25841"/>
    <w:rsid w:val="00E301C8"/>
    <w:rsid w:val="00E305BB"/>
    <w:rsid w:val="00E30A36"/>
    <w:rsid w:val="00E32F74"/>
    <w:rsid w:val="00E355C6"/>
    <w:rsid w:val="00E44214"/>
    <w:rsid w:val="00E44558"/>
    <w:rsid w:val="00E4507B"/>
    <w:rsid w:val="00E452F3"/>
    <w:rsid w:val="00E521A6"/>
    <w:rsid w:val="00E53785"/>
    <w:rsid w:val="00E6190D"/>
    <w:rsid w:val="00E61BEF"/>
    <w:rsid w:val="00E62A01"/>
    <w:rsid w:val="00E664A1"/>
    <w:rsid w:val="00E81A90"/>
    <w:rsid w:val="00E820D9"/>
    <w:rsid w:val="00E9305D"/>
    <w:rsid w:val="00E937FE"/>
    <w:rsid w:val="00E951C9"/>
    <w:rsid w:val="00E970B5"/>
    <w:rsid w:val="00E976D4"/>
    <w:rsid w:val="00EA18E4"/>
    <w:rsid w:val="00EB0384"/>
    <w:rsid w:val="00EB6485"/>
    <w:rsid w:val="00EB709F"/>
    <w:rsid w:val="00EC12AB"/>
    <w:rsid w:val="00ED3B69"/>
    <w:rsid w:val="00ED4B47"/>
    <w:rsid w:val="00ED5255"/>
    <w:rsid w:val="00EE00CC"/>
    <w:rsid w:val="00EE41BB"/>
    <w:rsid w:val="00EE547B"/>
    <w:rsid w:val="00EE7350"/>
    <w:rsid w:val="00EF0D6E"/>
    <w:rsid w:val="00EF266C"/>
    <w:rsid w:val="00EF5127"/>
    <w:rsid w:val="00F02361"/>
    <w:rsid w:val="00F02769"/>
    <w:rsid w:val="00F131A2"/>
    <w:rsid w:val="00F142A4"/>
    <w:rsid w:val="00F15447"/>
    <w:rsid w:val="00F16CD6"/>
    <w:rsid w:val="00F2397C"/>
    <w:rsid w:val="00F32E7F"/>
    <w:rsid w:val="00F33132"/>
    <w:rsid w:val="00F43D04"/>
    <w:rsid w:val="00F462FC"/>
    <w:rsid w:val="00F50ACC"/>
    <w:rsid w:val="00F53A7B"/>
    <w:rsid w:val="00F62A22"/>
    <w:rsid w:val="00F64909"/>
    <w:rsid w:val="00F701FB"/>
    <w:rsid w:val="00F705F4"/>
    <w:rsid w:val="00F801F8"/>
    <w:rsid w:val="00F82446"/>
    <w:rsid w:val="00F837AA"/>
    <w:rsid w:val="00F84C45"/>
    <w:rsid w:val="00F94B31"/>
    <w:rsid w:val="00F94B9F"/>
    <w:rsid w:val="00FA152A"/>
    <w:rsid w:val="00FA285B"/>
    <w:rsid w:val="00FA375A"/>
    <w:rsid w:val="00FC73D5"/>
    <w:rsid w:val="00FD1702"/>
    <w:rsid w:val="00FD33E7"/>
    <w:rsid w:val="00FD3A3A"/>
    <w:rsid w:val="00FE2C80"/>
    <w:rsid w:val="00FE74FF"/>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4DFC87"/>
  <w15:chartTrackingRefBased/>
  <w15:docId w15:val="{2E95BE44-6465-4B4E-AECE-A3031D84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7B"/>
  </w:style>
  <w:style w:type="paragraph" w:styleId="Heading1">
    <w:name w:val="heading 1"/>
    <w:basedOn w:val="Normal"/>
    <w:next w:val="Normal"/>
    <w:link w:val="Heading1Char"/>
    <w:uiPriority w:val="9"/>
    <w:qFormat/>
    <w:rsid w:val="00CA6C6D"/>
    <w:pPr>
      <w:keepNext/>
      <w:keepLines/>
      <w:spacing w:before="240" w:after="0"/>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34"/>
    <w:qFormat/>
    <w:rsid w:val="00A71F7B"/>
    <w:pPr>
      <w:spacing w:after="200" w:line="276" w:lineRule="auto"/>
      <w:ind w:left="720"/>
      <w:contextualSpacing/>
    </w:pPr>
    <w:rPr>
      <w:rFonts w:ascii="Calibri" w:hAnsi="Calibri" w:cs="Calibri"/>
    </w:rPr>
  </w:style>
  <w:style w:type="paragraph" w:customStyle="1" w:styleId="paragraph">
    <w:name w:val="paragraph"/>
    <w:basedOn w:val="Normal"/>
    <w:rsid w:val="00A71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1F7B"/>
  </w:style>
  <w:style w:type="character" w:customStyle="1" w:styleId="eop">
    <w:name w:val="eop"/>
    <w:basedOn w:val="DefaultParagraphFont"/>
    <w:rsid w:val="00A71F7B"/>
  </w:style>
  <w:style w:type="paragraph" w:styleId="Header">
    <w:name w:val="header"/>
    <w:basedOn w:val="Normal"/>
    <w:link w:val="HeaderChar"/>
    <w:uiPriority w:val="99"/>
    <w:unhideWhenUsed/>
    <w:rsid w:val="00A71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7B"/>
  </w:style>
  <w:style w:type="paragraph" w:styleId="Footer">
    <w:name w:val="footer"/>
    <w:basedOn w:val="Normal"/>
    <w:link w:val="FooterChar"/>
    <w:uiPriority w:val="99"/>
    <w:unhideWhenUsed/>
    <w:rsid w:val="00A71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7B"/>
  </w:style>
  <w:style w:type="character" w:styleId="Hyperlink">
    <w:name w:val="Hyperlink"/>
    <w:basedOn w:val="DefaultParagraphFont"/>
    <w:uiPriority w:val="99"/>
    <w:unhideWhenUsed/>
    <w:rsid w:val="00A71F7B"/>
    <w:rPr>
      <w:color w:val="0000FF"/>
      <w:u w:val="single"/>
    </w:rPr>
  </w:style>
  <w:style w:type="paragraph" w:styleId="FootnoteText">
    <w:name w:val="footnote text"/>
    <w:basedOn w:val="Normal"/>
    <w:link w:val="FootnoteTextChar"/>
    <w:uiPriority w:val="99"/>
    <w:unhideWhenUsed/>
    <w:rsid w:val="00A71F7B"/>
    <w:pPr>
      <w:spacing w:after="0" w:line="240" w:lineRule="auto"/>
    </w:pPr>
    <w:rPr>
      <w:sz w:val="20"/>
      <w:szCs w:val="20"/>
    </w:rPr>
  </w:style>
  <w:style w:type="character" w:customStyle="1" w:styleId="FootnoteTextChar">
    <w:name w:val="Footnote Text Char"/>
    <w:basedOn w:val="DefaultParagraphFont"/>
    <w:link w:val="FootnoteText"/>
    <w:uiPriority w:val="99"/>
    <w:rsid w:val="00A71F7B"/>
    <w:rPr>
      <w:sz w:val="20"/>
      <w:szCs w:val="20"/>
    </w:rPr>
  </w:style>
  <w:style w:type="character" w:styleId="FootnoteReference">
    <w:name w:val="footnote reference"/>
    <w:basedOn w:val="DefaultParagraphFont"/>
    <w:uiPriority w:val="99"/>
    <w:semiHidden/>
    <w:unhideWhenUsed/>
    <w:rsid w:val="00A71F7B"/>
    <w:rPr>
      <w:vertAlign w:val="superscript"/>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34"/>
    <w:qFormat/>
    <w:locked/>
    <w:rsid w:val="00A71F7B"/>
    <w:rPr>
      <w:rFonts w:ascii="Calibri" w:hAnsi="Calibri" w:cs="Calibri"/>
    </w:rPr>
  </w:style>
  <w:style w:type="table" w:customStyle="1" w:styleId="TableGrid1">
    <w:name w:val="Table Grid1"/>
    <w:basedOn w:val="TableNormal"/>
    <w:next w:val="TableGrid"/>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279D"/>
    <w:rPr>
      <w:color w:val="605E5C"/>
      <w:shd w:val="clear" w:color="auto" w:fill="E1DFDD"/>
    </w:rPr>
  </w:style>
  <w:style w:type="character" w:styleId="CommentReference">
    <w:name w:val="annotation reference"/>
    <w:basedOn w:val="DefaultParagraphFont"/>
    <w:uiPriority w:val="99"/>
    <w:semiHidden/>
    <w:unhideWhenUsed/>
    <w:rsid w:val="00230D22"/>
    <w:rPr>
      <w:sz w:val="16"/>
      <w:szCs w:val="16"/>
    </w:rPr>
  </w:style>
  <w:style w:type="paragraph" w:styleId="CommentText">
    <w:name w:val="annotation text"/>
    <w:basedOn w:val="Normal"/>
    <w:link w:val="CommentTextChar"/>
    <w:uiPriority w:val="99"/>
    <w:semiHidden/>
    <w:unhideWhenUsed/>
    <w:rsid w:val="00230D22"/>
    <w:pPr>
      <w:spacing w:line="240" w:lineRule="auto"/>
    </w:pPr>
    <w:rPr>
      <w:sz w:val="20"/>
      <w:szCs w:val="20"/>
    </w:rPr>
  </w:style>
  <w:style w:type="character" w:customStyle="1" w:styleId="CommentTextChar">
    <w:name w:val="Comment Text Char"/>
    <w:basedOn w:val="DefaultParagraphFont"/>
    <w:link w:val="CommentText"/>
    <w:uiPriority w:val="99"/>
    <w:semiHidden/>
    <w:rsid w:val="00230D22"/>
    <w:rPr>
      <w:sz w:val="20"/>
      <w:szCs w:val="20"/>
    </w:rPr>
  </w:style>
  <w:style w:type="paragraph" w:styleId="CommentSubject">
    <w:name w:val="annotation subject"/>
    <w:basedOn w:val="CommentText"/>
    <w:next w:val="CommentText"/>
    <w:link w:val="CommentSubjectChar"/>
    <w:uiPriority w:val="99"/>
    <w:semiHidden/>
    <w:unhideWhenUsed/>
    <w:rsid w:val="00230D22"/>
    <w:rPr>
      <w:b/>
      <w:bCs/>
    </w:rPr>
  </w:style>
  <w:style w:type="character" w:customStyle="1" w:styleId="CommentSubjectChar">
    <w:name w:val="Comment Subject Char"/>
    <w:basedOn w:val="CommentTextChar"/>
    <w:link w:val="CommentSubject"/>
    <w:uiPriority w:val="99"/>
    <w:semiHidden/>
    <w:rsid w:val="00230D22"/>
    <w:rPr>
      <w:b/>
      <w:bCs/>
      <w:sz w:val="20"/>
      <w:szCs w:val="20"/>
    </w:rPr>
  </w:style>
  <w:style w:type="paragraph" w:styleId="BalloonText">
    <w:name w:val="Balloon Text"/>
    <w:basedOn w:val="Normal"/>
    <w:link w:val="BalloonTextChar"/>
    <w:uiPriority w:val="99"/>
    <w:semiHidden/>
    <w:unhideWhenUsed/>
    <w:rsid w:val="0023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2"/>
    <w:rPr>
      <w:rFonts w:ascii="Segoe UI" w:hAnsi="Segoe UI" w:cs="Segoe UI"/>
      <w:sz w:val="18"/>
      <w:szCs w:val="18"/>
    </w:rPr>
  </w:style>
  <w:style w:type="character" w:styleId="FollowedHyperlink">
    <w:name w:val="FollowedHyperlink"/>
    <w:basedOn w:val="DefaultParagraphFont"/>
    <w:uiPriority w:val="99"/>
    <w:semiHidden/>
    <w:unhideWhenUsed/>
    <w:rsid w:val="00F50ACC"/>
    <w:rPr>
      <w:color w:val="954F72" w:themeColor="followedHyperlink"/>
      <w:u w:val="single"/>
    </w:rPr>
  </w:style>
  <w:style w:type="paragraph" w:customStyle="1" w:styleId="Default">
    <w:name w:val="Default"/>
    <w:rsid w:val="001F5B2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13262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13262E"/>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CA6C6D"/>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057DCD"/>
    <w:pPr>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057D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8072">
      <w:bodyDiv w:val="1"/>
      <w:marLeft w:val="0"/>
      <w:marRight w:val="0"/>
      <w:marTop w:val="0"/>
      <w:marBottom w:val="0"/>
      <w:divBdr>
        <w:top w:val="none" w:sz="0" w:space="0" w:color="auto"/>
        <w:left w:val="none" w:sz="0" w:space="0" w:color="auto"/>
        <w:bottom w:val="none" w:sz="0" w:space="0" w:color="auto"/>
        <w:right w:val="none" w:sz="0" w:space="0" w:color="auto"/>
      </w:divBdr>
    </w:div>
    <w:div w:id="281962220">
      <w:bodyDiv w:val="1"/>
      <w:marLeft w:val="0"/>
      <w:marRight w:val="0"/>
      <w:marTop w:val="0"/>
      <w:marBottom w:val="0"/>
      <w:divBdr>
        <w:top w:val="none" w:sz="0" w:space="0" w:color="auto"/>
        <w:left w:val="none" w:sz="0" w:space="0" w:color="auto"/>
        <w:bottom w:val="none" w:sz="0" w:space="0" w:color="auto"/>
        <w:right w:val="none" w:sz="0" w:space="0" w:color="auto"/>
      </w:divBdr>
      <w:divsChild>
        <w:div w:id="1314602798">
          <w:marLeft w:val="0"/>
          <w:marRight w:val="0"/>
          <w:marTop w:val="0"/>
          <w:marBottom w:val="0"/>
          <w:divBdr>
            <w:top w:val="none" w:sz="0" w:space="0" w:color="auto"/>
            <w:left w:val="none" w:sz="0" w:space="0" w:color="auto"/>
            <w:bottom w:val="none" w:sz="0" w:space="0" w:color="auto"/>
            <w:right w:val="none" w:sz="0" w:space="0" w:color="auto"/>
          </w:divBdr>
        </w:div>
        <w:div w:id="1507937222">
          <w:marLeft w:val="0"/>
          <w:marRight w:val="0"/>
          <w:marTop w:val="0"/>
          <w:marBottom w:val="0"/>
          <w:divBdr>
            <w:top w:val="none" w:sz="0" w:space="0" w:color="auto"/>
            <w:left w:val="none" w:sz="0" w:space="0" w:color="auto"/>
            <w:bottom w:val="none" w:sz="0" w:space="0" w:color="auto"/>
            <w:right w:val="none" w:sz="0" w:space="0" w:color="auto"/>
          </w:divBdr>
        </w:div>
      </w:divsChild>
    </w:div>
    <w:div w:id="369574924">
      <w:bodyDiv w:val="1"/>
      <w:marLeft w:val="0"/>
      <w:marRight w:val="0"/>
      <w:marTop w:val="0"/>
      <w:marBottom w:val="0"/>
      <w:divBdr>
        <w:top w:val="none" w:sz="0" w:space="0" w:color="auto"/>
        <w:left w:val="none" w:sz="0" w:space="0" w:color="auto"/>
        <w:bottom w:val="none" w:sz="0" w:space="0" w:color="auto"/>
        <w:right w:val="none" w:sz="0" w:space="0" w:color="auto"/>
      </w:divBdr>
      <w:divsChild>
        <w:div w:id="201748402">
          <w:marLeft w:val="0"/>
          <w:marRight w:val="0"/>
          <w:marTop w:val="0"/>
          <w:marBottom w:val="0"/>
          <w:divBdr>
            <w:top w:val="none" w:sz="0" w:space="0" w:color="auto"/>
            <w:left w:val="none" w:sz="0" w:space="0" w:color="auto"/>
            <w:bottom w:val="none" w:sz="0" w:space="0" w:color="auto"/>
            <w:right w:val="none" w:sz="0" w:space="0" w:color="auto"/>
          </w:divBdr>
        </w:div>
      </w:divsChild>
    </w:div>
    <w:div w:id="932125103">
      <w:bodyDiv w:val="1"/>
      <w:marLeft w:val="0"/>
      <w:marRight w:val="0"/>
      <w:marTop w:val="0"/>
      <w:marBottom w:val="0"/>
      <w:divBdr>
        <w:top w:val="none" w:sz="0" w:space="0" w:color="auto"/>
        <w:left w:val="none" w:sz="0" w:space="0" w:color="auto"/>
        <w:bottom w:val="none" w:sz="0" w:space="0" w:color="auto"/>
        <w:right w:val="none" w:sz="0" w:space="0" w:color="auto"/>
      </w:divBdr>
    </w:div>
    <w:div w:id="1197427582">
      <w:bodyDiv w:val="1"/>
      <w:marLeft w:val="0"/>
      <w:marRight w:val="0"/>
      <w:marTop w:val="0"/>
      <w:marBottom w:val="0"/>
      <w:divBdr>
        <w:top w:val="none" w:sz="0" w:space="0" w:color="auto"/>
        <w:left w:val="none" w:sz="0" w:space="0" w:color="auto"/>
        <w:bottom w:val="none" w:sz="0" w:space="0" w:color="auto"/>
        <w:right w:val="none" w:sz="0" w:space="0" w:color="auto"/>
      </w:divBdr>
      <w:divsChild>
        <w:div w:id="1416435311">
          <w:marLeft w:val="0"/>
          <w:marRight w:val="0"/>
          <w:marTop w:val="0"/>
          <w:marBottom w:val="0"/>
          <w:divBdr>
            <w:top w:val="none" w:sz="0" w:space="0" w:color="auto"/>
            <w:left w:val="none" w:sz="0" w:space="0" w:color="auto"/>
            <w:bottom w:val="none" w:sz="0" w:space="0" w:color="auto"/>
            <w:right w:val="none" w:sz="0" w:space="0" w:color="auto"/>
          </w:divBdr>
        </w:div>
        <w:div w:id="831683272">
          <w:marLeft w:val="0"/>
          <w:marRight w:val="0"/>
          <w:marTop w:val="0"/>
          <w:marBottom w:val="0"/>
          <w:divBdr>
            <w:top w:val="none" w:sz="0" w:space="0" w:color="auto"/>
            <w:left w:val="none" w:sz="0" w:space="0" w:color="auto"/>
            <w:bottom w:val="none" w:sz="0" w:space="0" w:color="auto"/>
            <w:right w:val="none" w:sz="0" w:space="0" w:color="auto"/>
          </w:divBdr>
        </w:div>
        <w:div w:id="1787039884">
          <w:marLeft w:val="0"/>
          <w:marRight w:val="0"/>
          <w:marTop w:val="0"/>
          <w:marBottom w:val="0"/>
          <w:divBdr>
            <w:top w:val="none" w:sz="0" w:space="0" w:color="auto"/>
            <w:left w:val="none" w:sz="0" w:space="0" w:color="auto"/>
            <w:bottom w:val="none" w:sz="0" w:space="0" w:color="auto"/>
            <w:right w:val="none" w:sz="0" w:space="0" w:color="auto"/>
          </w:divBdr>
        </w:div>
      </w:divsChild>
    </w:div>
    <w:div w:id="1585411433">
      <w:bodyDiv w:val="1"/>
      <w:marLeft w:val="0"/>
      <w:marRight w:val="0"/>
      <w:marTop w:val="0"/>
      <w:marBottom w:val="0"/>
      <w:divBdr>
        <w:top w:val="none" w:sz="0" w:space="0" w:color="auto"/>
        <w:left w:val="none" w:sz="0" w:space="0" w:color="auto"/>
        <w:bottom w:val="none" w:sz="0" w:space="0" w:color="auto"/>
        <w:right w:val="none" w:sz="0" w:space="0" w:color="auto"/>
      </w:divBdr>
    </w:div>
    <w:div w:id="1614822503">
      <w:bodyDiv w:val="1"/>
      <w:marLeft w:val="0"/>
      <w:marRight w:val="0"/>
      <w:marTop w:val="0"/>
      <w:marBottom w:val="0"/>
      <w:divBdr>
        <w:top w:val="none" w:sz="0" w:space="0" w:color="auto"/>
        <w:left w:val="none" w:sz="0" w:space="0" w:color="auto"/>
        <w:bottom w:val="none" w:sz="0" w:space="0" w:color="auto"/>
        <w:right w:val="none" w:sz="0" w:space="0" w:color="auto"/>
      </w:divBdr>
    </w:div>
    <w:div w:id="1908610506">
      <w:bodyDiv w:val="1"/>
      <w:marLeft w:val="0"/>
      <w:marRight w:val="0"/>
      <w:marTop w:val="0"/>
      <w:marBottom w:val="0"/>
      <w:divBdr>
        <w:top w:val="none" w:sz="0" w:space="0" w:color="auto"/>
        <w:left w:val="none" w:sz="0" w:space="0" w:color="auto"/>
        <w:bottom w:val="none" w:sz="0" w:space="0" w:color="auto"/>
        <w:right w:val="none" w:sz="0" w:space="0" w:color="auto"/>
      </w:divBdr>
      <w:divsChild>
        <w:div w:id="1832023624">
          <w:marLeft w:val="0"/>
          <w:marRight w:val="0"/>
          <w:marTop w:val="0"/>
          <w:marBottom w:val="0"/>
          <w:divBdr>
            <w:top w:val="none" w:sz="0" w:space="0" w:color="auto"/>
            <w:left w:val="none" w:sz="0" w:space="0" w:color="auto"/>
            <w:bottom w:val="none" w:sz="0" w:space="0" w:color="auto"/>
            <w:right w:val="none" w:sz="0" w:space="0" w:color="auto"/>
          </w:divBdr>
        </w:div>
        <w:div w:id="1554849541">
          <w:marLeft w:val="0"/>
          <w:marRight w:val="0"/>
          <w:marTop w:val="0"/>
          <w:marBottom w:val="0"/>
          <w:divBdr>
            <w:top w:val="none" w:sz="0" w:space="0" w:color="auto"/>
            <w:left w:val="none" w:sz="0" w:space="0" w:color="auto"/>
            <w:bottom w:val="none" w:sz="0" w:space="0" w:color="auto"/>
            <w:right w:val="none" w:sz="0" w:space="0" w:color="auto"/>
          </w:divBdr>
        </w:div>
        <w:div w:id="619261483">
          <w:marLeft w:val="0"/>
          <w:marRight w:val="0"/>
          <w:marTop w:val="0"/>
          <w:marBottom w:val="0"/>
          <w:divBdr>
            <w:top w:val="none" w:sz="0" w:space="0" w:color="auto"/>
            <w:left w:val="none" w:sz="0" w:space="0" w:color="auto"/>
            <w:bottom w:val="none" w:sz="0" w:space="0" w:color="auto"/>
            <w:right w:val="none" w:sz="0" w:space="0" w:color="auto"/>
          </w:divBdr>
        </w:div>
        <w:div w:id="1020205494">
          <w:marLeft w:val="0"/>
          <w:marRight w:val="0"/>
          <w:marTop w:val="0"/>
          <w:marBottom w:val="0"/>
          <w:divBdr>
            <w:top w:val="none" w:sz="0" w:space="0" w:color="auto"/>
            <w:left w:val="none" w:sz="0" w:space="0" w:color="auto"/>
            <w:bottom w:val="none" w:sz="0" w:space="0" w:color="auto"/>
            <w:right w:val="none" w:sz="0" w:space="0" w:color="auto"/>
          </w:divBdr>
        </w:div>
        <w:div w:id="2086411913">
          <w:marLeft w:val="0"/>
          <w:marRight w:val="0"/>
          <w:marTop w:val="0"/>
          <w:marBottom w:val="0"/>
          <w:divBdr>
            <w:top w:val="none" w:sz="0" w:space="0" w:color="auto"/>
            <w:left w:val="none" w:sz="0" w:space="0" w:color="auto"/>
            <w:bottom w:val="none" w:sz="0" w:space="0" w:color="auto"/>
            <w:right w:val="none" w:sz="0" w:space="0" w:color="auto"/>
          </w:divBdr>
        </w:div>
        <w:div w:id="1949774066">
          <w:marLeft w:val="0"/>
          <w:marRight w:val="0"/>
          <w:marTop w:val="0"/>
          <w:marBottom w:val="0"/>
          <w:divBdr>
            <w:top w:val="none" w:sz="0" w:space="0" w:color="auto"/>
            <w:left w:val="none" w:sz="0" w:space="0" w:color="auto"/>
            <w:bottom w:val="none" w:sz="0" w:space="0" w:color="auto"/>
            <w:right w:val="none" w:sz="0" w:space="0" w:color="auto"/>
          </w:divBdr>
        </w:div>
        <w:div w:id="1422944068">
          <w:marLeft w:val="0"/>
          <w:marRight w:val="0"/>
          <w:marTop w:val="0"/>
          <w:marBottom w:val="0"/>
          <w:divBdr>
            <w:top w:val="none" w:sz="0" w:space="0" w:color="auto"/>
            <w:left w:val="none" w:sz="0" w:space="0" w:color="auto"/>
            <w:bottom w:val="none" w:sz="0" w:space="0" w:color="auto"/>
            <w:right w:val="none" w:sz="0" w:space="0" w:color="auto"/>
          </w:divBdr>
        </w:div>
        <w:div w:id="1245993775">
          <w:marLeft w:val="0"/>
          <w:marRight w:val="0"/>
          <w:marTop w:val="0"/>
          <w:marBottom w:val="0"/>
          <w:divBdr>
            <w:top w:val="none" w:sz="0" w:space="0" w:color="auto"/>
            <w:left w:val="none" w:sz="0" w:space="0" w:color="auto"/>
            <w:bottom w:val="none" w:sz="0" w:space="0" w:color="auto"/>
            <w:right w:val="none" w:sz="0" w:space="0" w:color="auto"/>
          </w:divBdr>
        </w:div>
        <w:div w:id="873463835">
          <w:marLeft w:val="0"/>
          <w:marRight w:val="0"/>
          <w:marTop w:val="0"/>
          <w:marBottom w:val="0"/>
          <w:divBdr>
            <w:top w:val="none" w:sz="0" w:space="0" w:color="auto"/>
            <w:left w:val="none" w:sz="0" w:space="0" w:color="auto"/>
            <w:bottom w:val="none" w:sz="0" w:space="0" w:color="auto"/>
            <w:right w:val="none" w:sz="0" w:space="0" w:color="auto"/>
          </w:divBdr>
        </w:div>
        <w:div w:id="238757230">
          <w:marLeft w:val="0"/>
          <w:marRight w:val="0"/>
          <w:marTop w:val="0"/>
          <w:marBottom w:val="0"/>
          <w:divBdr>
            <w:top w:val="none" w:sz="0" w:space="0" w:color="auto"/>
            <w:left w:val="none" w:sz="0" w:space="0" w:color="auto"/>
            <w:bottom w:val="none" w:sz="0" w:space="0" w:color="auto"/>
            <w:right w:val="none" w:sz="0" w:space="0" w:color="auto"/>
          </w:divBdr>
        </w:div>
        <w:div w:id="109328083">
          <w:marLeft w:val="0"/>
          <w:marRight w:val="0"/>
          <w:marTop w:val="0"/>
          <w:marBottom w:val="0"/>
          <w:divBdr>
            <w:top w:val="none" w:sz="0" w:space="0" w:color="auto"/>
            <w:left w:val="none" w:sz="0" w:space="0" w:color="auto"/>
            <w:bottom w:val="none" w:sz="0" w:space="0" w:color="auto"/>
            <w:right w:val="none" w:sz="0" w:space="0" w:color="auto"/>
          </w:divBdr>
        </w:div>
        <w:div w:id="1631477717">
          <w:marLeft w:val="0"/>
          <w:marRight w:val="0"/>
          <w:marTop w:val="0"/>
          <w:marBottom w:val="0"/>
          <w:divBdr>
            <w:top w:val="none" w:sz="0" w:space="0" w:color="auto"/>
            <w:left w:val="none" w:sz="0" w:space="0" w:color="auto"/>
            <w:bottom w:val="none" w:sz="0" w:space="0" w:color="auto"/>
            <w:right w:val="none" w:sz="0" w:space="0" w:color="auto"/>
          </w:divBdr>
        </w:div>
        <w:div w:id="223373635">
          <w:marLeft w:val="0"/>
          <w:marRight w:val="0"/>
          <w:marTop w:val="0"/>
          <w:marBottom w:val="0"/>
          <w:divBdr>
            <w:top w:val="none" w:sz="0" w:space="0" w:color="auto"/>
            <w:left w:val="none" w:sz="0" w:space="0" w:color="auto"/>
            <w:bottom w:val="none" w:sz="0" w:space="0" w:color="auto"/>
            <w:right w:val="none" w:sz="0" w:space="0" w:color="auto"/>
          </w:divBdr>
        </w:div>
        <w:div w:id="1738432840">
          <w:marLeft w:val="0"/>
          <w:marRight w:val="0"/>
          <w:marTop w:val="0"/>
          <w:marBottom w:val="0"/>
          <w:divBdr>
            <w:top w:val="none" w:sz="0" w:space="0" w:color="auto"/>
            <w:left w:val="none" w:sz="0" w:space="0" w:color="auto"/>
            <w:bottom w:val="none" w:sz="0" w:space="0" w:color="auto"/>
            <w:right w:val="none" w:sz="0" w:space="0" w:color="auto"/>
          </w:divBdr>
        </w:div>
        <w:div w:id="753357526">
          <w:marLeft w:val="0"/>
          <w:marRight w:val="0"/>
          <w:marTop w:val="0"/>
          <w:marBottom w:val="0"/>
          <w:divBdr>
            <w:top w:val="none" w:sz="0" w:space="0" w:color="auto"/>
            <w:left w:val="none" w:sz="0" w:space="0" w:color="auto"/>
            <w:bottom w:val="none" w:sz="0" w:space="0" w:color="auto"/>
            <w:right w:val="none" w:sz="0" w:space="0" w:color="auto"/>
          </w:divBdr>
        </w:div>
      </w:divsChild>
    </w:div>
    <w:div w:id="1940407695">
      <w:bodyDiv w:val="1"/>
      <w:marLeft w:val="0"/>
      <w:marRight w:val="0"/>
      <w:marTop w:val="0"/>
      <w:marBottom w:val="0"/>
      <w:divBdr>
        <w:top w:val="none" w:sz="0" w:space="0" w:color="auto"/>
        <w:left w:val="none" w:sz="0" w:space="0" w:color="auto"/>
        <w:bottom w:val="none" w:sz="0" w:space="0" w:color="auto"/>
        <w:right w:val="none" w:sz="0" w:space="0" w:color="auto"/>
      </w:divBdr>
      <w:divsChild>
        <w:div w:id="1478457346">
          <w:marLeft w:val="0"/>
          <w:marRight w:val="0"/>
          <w:marTop w:val="0"/>
          <w:marBottom w:val="0"/>
          <w:divBdr>
            <w:top w:val="none" w:sz="0" w:space="0" w:color="auto"/>
            <w:left w:val="none" w:sz="0" w:space="0" w:color="auto"/>
            <w:bottom w:val="none" w:sz="0" w:space="0" w:color="auto"/>
            <w:right w:val="none" w:sz="0" w:space="0" w:color="auto"/>
          </w:divBdr>
        </w:div>
        <w:div w:id="6901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oftyne-ca.gov.uk/wp-content/uploads/2021/06/Jobs-skills-and-a-post-covid-economy-Corporate-Plan-2021-2022.pdf" TargetMode="External"/><Relationship Id="rId18" Type="http://schemas.openxmlformats.org/officeDocument/2006/relationships/hyperlink" Target="https://www.northoftyne-ca.gov.uk/wp-content/uploads/2021/06/Jobs-skills-and-a-post-covid-economy-Corporate-Plan-2021-202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killsforgrowth@northoftyne-ca.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killsforgrowth@northoftyne-ca.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killsforgrowth@northoftyne-ca.gov.uk" TargetMode="External"/><Relationship Id="rId20" Type="http://schemas.openxmlformats.org/officeDocument/2006/relationships/hyperlink" Target="https://www.northoftyne-ca.gov.uk/projects/adult-education-budget-devolu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rthoftyne-ca.gov.uk/wp-content/uploads/2021/08/NTCA-Culture-and-Creative-Zone-Prospectus.pdf" TargetMode="External"/><Relationship Id="rId23" Type="http://schemas.openxmlformats.org/officeDocument/2006/relationships/hyperlink" Target="https://www.gov.uk/government/publications/complying-with-the-uks-international-obligations-on-subsidy-control-guidance-for-public-authorities/technical-guidance-on-the-uks-international-subsidy-control-commitments-from-1-january-2021"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orthoftyne-ca.gov.uk/documents/ie-policy-statement-june-202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oftyne-ca.gov.uk/wp-content/uploads/2020/08/North_Of_Tyne_Devolution_Document.pdf" TargetMode="External"/><Relationship Id="rId22" Type="http://schemas.openxmlformats.org/officeDocument/2006/relationships/hyperlink" Target="mailto:Skillsforgrowth@northoftyne-ca.gov.uk" TargetMode="External"/><Relationship Id="rId27" Type="http://schemas.openxmlformats.org/officeDocument/2006/relationships/header" Target="header2.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northoftyne-ca.gov.uk/wp-content/uploads/2020/11/North-of-Tyne-Combined-Authority-Output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C9330A8CD93449E72AC541A9DE0FF" ma:contentTypeVersion="12" ma:contentTypeDescription="Create a new document." ma:contentTypeScope="" ma:versionID="9f36552e6b0ad5bcc943a13580f58428">
  <xsd:schema xmlns:xsd="http://www.w3.org/2001/XMLSchema" xmlns:xs="http://www.w3.org/2001/XMLSchema" xmlns:p="http://schemas.microsoft.com/office/2006/metadata/properties" xmlns:ns2="e0558e81-69f7-48e9-b7d9-14107295364e" xmlns:ns3="bae4bcaf-3dc7-4891-808e-09169083e8ff" targetNamespace="http://schemas.microsoft.com/office/2006/metadata/properties" ma:root="true" ma:fieldsID="246672aa7e0ed98159af33b7cf865dc0" ns2:_="" ns3:_="">
    <xsd:import namespace="e0558e81-69f7-48e9-b7d9-14107295364e"/>
    <xsd:import namespace="bae4bcaf-3dc7-4891-808e-09169083e8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8e81-69f7-48e9-b7d9-141072953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4bcaf-3dc7-4891-808e-09169083e8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DD90F-8A43-49AD-A7A2-65096C631198}">
  <ds:schemaRefs>
    <ds:schemaRef ds:uri="http://schemas.openxmlformats.org/officeDocument/2006/bibliography"/>
  </ds:schemaRefs>
</ds:datastoreItem>
</file>

<file path=customXml/itemProps2.xml><?xml version="1.0" encoding="utf-8"?>
<ds:datastoreItem xmlns:ds="http://schemas.openxmlformats.org/officeDocument/2006/customXml" ds:itemID="{601D49FD-DF2B-44F4-98DB-418674C1BDD7}">
  <ds:schemaRefs>
    <ds:schemaRef ds:uri="http://schemas.microsoft.com/sharepoint/v3/contenttype/forms"/>
  </ds:schemaRefs>
</ds:datastoreItem>
</file>

<file path=customXml/itemProps3.xml><?xml version="1.0" encoding="utf-8"?>
<ds:datastoreItem xmlns:ds="http://schemas.openxmlformats.org/officeDocument/2006/customXml" ds:itemID="{62396DC5-F868-43CA-B2E1-B83CE80E6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58e81-69f7-48e9-b7d9-14107295364e"/>
    <ds:schemaRef ds:uri="bae4bcaf-3dc7-4891-808e-09169083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89F9E-F410-4658-88D3-D7DEF08C0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Mark (North Of Tyne)</dc:creator>
  <cp:keywords/>
  <dc:description/>
  <cp:lastModifiedBy>Matt</cp:lastModifiedBy>
  <cp:revision>6</cp:revision>
  <dcterms:created xsi:type="dcterms:W3CDTF">2021-10-14T09:41:00Z</dcterms:created>
  <dcterms:modified xsi:type="dcterms:W3CDTF">2021-10-14T09:48:00Z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0x010100BBFC9330A8CD93449E72AC541A9DE0FF</vt:lpwstr>
  </property>
</Properties>
</file>