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2B3" w14:textId="059EE5AA" w:rsidR="00CA6C6D" w:rsidRDefault="00586945" w:rsidP="00A71F7B">
      <w:pPr>
        <w:pStyle w:val="paragraph"/>
        <w:spacing w:before="0" w:beforeAutospacing="0" w:after="0" w:afterAutospacing="0"/>
        <w:jc w:val="both"/>
        <w:textAlignment w:val="baseline"/>
        <w:rPr>
          <w:rStyle w:val="eop"/>
          <w:rFonts w:ascii="Arial" w:hAnsi="Arial" w:cs="Arial"/>
          <w:color w:val="000000"/>
          <w:sz w:val="22"/>
          <w:szCs w:val="22"/>
        </w:rPr>
      </w:pPr>
      <w:r>
        <w:rPr>
          <w:rFonts w:ascii="Batang" w:eastAsia="Batang" w:hAnsi="Batang"/>
          <w:b/>
          <w:noProof/>
          <w:sz w:val="20"/>
          <w:szCs w:val="22"/>
        </w:rPr>
        <w:drawing>
          <wp:anchor distT="0" distB="0" distL="114300" distR="114300" simplePos="0" relativeHeight="251662336" behindDoc="1" locked="0" layoutInCell="1" allowOverlap="1" wp14:anchorId="59C5D3A2" wp14:editId="61CE556B">
            <wp:simplePos x="0" y="0"/>
            <wp:positionH relativeFrom="column">
              <wp:posOffset>-74295</wp:posOffset>
            </wp:positionH>
            <wp:positionV relativeFrom="paragraph">
              <wp:posOffset>0</wp:posOffset>
            </wp:positionV>
            <wp:extent cx="1628775" cy="1644015"/>
            <wp:effectExtent l="0" t="0" r="9525" b="0"/>
            <wp:wrapTight wrapText="bothSides">
              <wp:wrapPolygon edited="0">
                <wp:start x="0" y="0"/>
                <wp:lineTo x="0" y="21275"/>
                <wp:lineTo x="21474" y="21275"/>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F7B">
        <w:rPr>
          <w:rStyle w:val="eop"/>
          <w:rFonts w:ascii="Arial" w:hAnsi="Arial" w:cs="Arial"/>
          <w:color w:val="000000"/>
          <w:sz w:val="22"/>
          <w:szCs w:val="22"/>
        </w:rPr>
        <w:t> </w:t>
      </w:r>
      <w:bookmarkStart w:id="0" w:name="_Hlk80279164"/>
      <w:bookmarkEnd w:id="0"/>
    </w:p>
    <w:p w14:paraId="2208BA1D" w14:textId="44454FFF" w:rsidR="00A71F7B" w:rsidRDefault="00057DCD" w:rsidP="00CA6C6D">
      <w:pPr>
        <w:rPr>
          <w:rStyle w:val="eop"/>
          <w:rFonts w:ascii="Arial" w:hAnsi="Arial" w:cs="Arial"/>
          <w:color w:val="000000"/>
        </w:rPr>
      </w:pPr>
      <w:r>
        <w:rPr>
          <w:rFonts w:ascii="Arial" w:hAnsi="Arial" w:cs="Arial"/>
          <w:noProof/>
          <w:color w:val="000000"/>
        </w:rPr>
        <w:drawing>
          <wp:anchor distT="0" distB="0" distL="114300" distR="114300" simplePos="0" relativeHeight="251663360" behindDoc="1" locked="0" layoutInCell="1" allowOverlap="1" wp14:anchorId="321ABE9B" wp14:editId="36447594">
            <wp:simplePos x="0" y="0"/>
            <wp:positionH relativeFrom="margin">
              <wp:align>center</wp:align>
            </wp:positionH>
            <wp:positionV relativeFrom="paragraph">
              <wp:posOffset>7886065</wp:posOffset>
            </wp:positionV>
            <wp:extent cx="4688230" cy="1018120"/>
            <wp:effectExtent l="0" t="0" r="0" b="0"/>
            <wp:wrapTight wrapText="bothSides">
              <wp:wrapPolygon edited="0">
                <wp:start x="9742" y="404"/>
                <wp:lineTo x="351" y="6468"/>
                <wp:lineTo x="263" y="11319"/>
                <wp:lineTo x="1404" y="14148"/>
                <wp:lineTo x="8075" y="19808"/>
                <wp:lineTo x="9304" y="20616"/>
                <wp:lineTo x="9742" y="20616"/>
                <wp:lineTo x="12639" y="19808"/>
                <wp:lineTo x="12814" y="18191"/>
                <wp:lineTo x="11673" y="14148"/>
                <wp:lineTo x="16237" y="14148"/>
                <wp:lineTo x="21152" y="10915"/>
                <wp:lineTo x="21240" y="7681"/>
                <wp:lineTo x="10445" y="404"/>
                <wp:lineTo x="9742" y="404"/>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8230" cy="1018120"/>
                    </a:xfrm>
                    <a:prstGeom prst="rect">
                      <a:avLst/>
                    </a:prstGeom>
                  </pic:spPr>
                </pic:pic>
              </a:graphicData>
            </a:graphic>
            <wp14:sizeRelH relativeFrom="page">
              <wp14:pctWidth>0</wp14:pctWidth>
            </wp14:sizeRelH>
            <wp14:sizeRelV relativeFrom="page">
              <wp14:pctHeight>0</wp14:pctHeight>
            </wp14:sizeRelV>
          </wp:anchor>
        </w:drawing>
      </w:r>
      <w:r w:rsidRPr="00A71F7B">
        <w:rPr>
          <w:rStyle w:val="eop"/>
          <w:rFonts w:ascii="Arial" w:hAnsi="Arial" w:cs="Arial"/>
          <w:noProof/>
        </w:rPr>
        <mc:AlternateContent>
          <mc:Choice Requires="wps">
            <w:drawing>
              <wp:anchor distT="45720" distB="45720" distL="114300" distR="114300" simplePos="0" relativeHeight="251661312" behindDoc="0" locked="0" layoutInCell="1" allowOverlap="1" wp14:anchorId="15607C2E" wp14:editId="602152B7">
                <wp:simplePos x="0" y="0"/>
                <wp:positionH relativeFrom="margin">
                  <wp:posOffset>1231265</wp:posOffset>
                </wp:positionH>
                <wp:positionV relativeFrom="paragraph">
                  <wp:posOffset>2361565</wp:posOffset>
                </wp:positionV>
                <wp:extent cx="4410075" cy="1352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352550"/>
                        </a:xfrm>
                        <a:prstGeom prst="rect">
                          <a:avLst/>
                        </a:prstGeom>
                        <a:solidFill>
                          <a:srgbClr val="FFFFFF"/>
                        </a:solidFill>
                        <a:ln w="9525">
                          <a:noFill/>
                          <a:miter lim="800000"/>
                          <a:headEnd/>
                          <a:tailEnd/>
                        </a:ln>
                      </wps:spPr>
                      <wps:txbx>
                        <w:txbxContent>
                          <w:p w14:paraId="16DD10C1" w14:textId="77777777" w:rsidR="00CB77CC" w:rsidRDefault="00CB77CC">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41C13B09" w14:textId="44DABEF8" w:rsidR="00CB77CC" w:rsidRPr="00057DCD" w:rsidRDefault="00CB77CC">
                            <w:pPr>
                              <w:rPr>
                                <w:rFonts w:ascii="Arial" w:hAnsi="Arial" w:cs="Arial"/>
                                <w:b/>
                                <w:bCs/>
                                <w:sz w:val="52"/>
                                <w:szCs w:val="52"/>
                              </w:rPr>
                            </w:pPr>
                            <w:r>
                              <w:rPr>
                                <w:rFonts w:ascii="Arial" w:hAnsi="Arial" w:cs="Arial"/>
                                <w:b/>
                                <w:bCs/>
                                <w:sz w:val="52"/>
                                <w:szCs w:val="52"/>
                              </w:rPr>
                              <w:t>Green Growth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7C2E" id="_x0000_t202" coordsize="21600,21600" o:spt="202" path="m,l,21600r21600,l21600,xe">
                <v:stroke joinstyle="miter"/>
                <v:path gradientshapeok="t" o:connecttype="rect"/>
              </v:shapetype>
              <v:shape id="Text Box 2" o:spid="_x0000_s1026" type="#_x0000_t202" style="position:absolute;margin-left:96.95pt;margin-top:185.95pt;width:347.25pt;height:1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kvIQIAAB4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" stroked="f">
                <v:textbox>
                  <w:txbxContent>
                    <w:p w14:paraId="16DD10C1" w14:textId="77777777" w:rsidR="00CB77CC" w:rsidRDefault="00CB77CC">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41C13B09" w14:textId="44DABEF8" w:rsidR="00CB77CC" w:rsidRPr="00057DCD" w:rsidRDefault="00CB77CC">
                      <w:pPr>
                        <w:rPr>
                          <w:rFonts w:ascii="Arial" w:hAnsi="Arial" w:cs="Arial"/>
                          <w:b/>
                          <w:bCs/>
                          <w:sz w:val="52"/>
                          <w:szCs w:val="52"/>
                        </w:rPr>
                      </w:pPr>
                      <w:r>
                        <w:rPr>
                          <w:rFonts w:ascii="Arial" w:hAnsi="Arial" w:cs="Arial"/>
                          <w:b/>
                          <w:bCs/>
                          <w:sz w:val="52"/>
                          <w:szCs w:val="52"/>
                        </w:rPr>
                        <w:t>Green Growth Skills</w:t>
                      </w:r>
                    </w:p>
                  </w:txbxContent>
                </v:textbox>
                <w10:wrap type="square" anchorx="margin"/>
              </v:shape>
            </w:pict>
          </mc:Fallback>
        </mc:AlternateContent>
      </w:r>
      <w:r w:rsidR="00CA6C6D">
        <w:rPr>
          <w:rStyle w:val="eop"/>
          <w:rFonts w:ascii="Arial" w:hAnsi="Arial" w:cs="Arial"/>
          <w:color w:val="000000"/>
        </w:rPr>
        <w:br w:type="page"/>
      </w:r>
    </w:p>
    <w:sdt>
      <w:sdtPr>
        <w:rPr>
          <w:rFonts w:asciiTheme="minorHAnsi" w:eastAsiaTheme="minorHAnsi" w:hAnsiTheme="minorHAnsi" w:cstheme="minorBidi"/>
          <w:color w:val="auto"/>
          <w:sz w:val="22"/>
          <w:szCs w:val="22"/>
          <w:lang w:val="en-GB"/>
        </w:rPr>
        <w:id w:val="167293857"/>
        <w:docPartObj>
          <w:docPartGallery w:val="Table of Contents"/>
          <w:docPartUnique/>
        </w:docPartObj>
      </w:sdtPr>
      <w:sdtEndPr>
        <w:rPr>
          <w:b/>
          <w:bCs/>
          <w:noProof/>
        </w:rPr>
      </w:sdtEndPr>
      <w:sdtContent>
        <w:p w14:paraId="28271678" w14:textId="65A44BC7" w:rsidR="00057DCD" w:rsidRPr="00057DCD" w:rsidRDefault="00057DCD">
          <w:pPr>
            <w:pStyle w:val="TOCHeading"/>
            <w:rPr>
              <w:rFonts w:ascii="Arial" w:hAnsi="Arial" w:cs="Arial"/>
              <w:b/>
              <w:bCs/>
              <w:color w:val="auto"/>
            </w:rPr>
          </w:pPr>
          <w:r w:rsidRPr="00057DCD">
            <w:rPr>
              <w:rFonts w:ascii="Arial" w:hAnsi="Arial" w:cs="Arial"/>
              <w:b/>
              <w:bCs/>
              <w:color w:val="auto"/>
            </w:rPr>
            <w:t>Contents</w:t>
          </w:r>
        </w:p>
        <w:p w14:paraId="6AFBFD90" w14:textId="77777777" w:rsidR="00057DCD" w:rsidRPr="00057DCD" w:rsidRDefault="00057DCD" w:rsidP="00057DCD">
          <w:pPr>
            <w:rPr>
              <w:lang w:val="en-US"/>
            </w:rPr>
          </w:pPr>
        </w:p>
        <w:p w14:paraId="59B1749D" w14:textId="7D16832B" w:rsidR="00B01B1A" w:rsidRPr="001F3A35" w:rsidRDefault="00057DCD">
          <w:pPr>
            <w:pStyle w:val="TOC1"/>
            <w:tabs>
              <w:tab w:val="left" w:pos="440"/>
              <w:tab w:val="right" w:leader="dot" w:pos="10194"/>
            </w:tabs>
            <w:rPr>
              <w:rFonts w:ascii="Arial" w:eastAsiaTheme="minorEastAsia" w:hAnsi="Arial" w:cs="Arial"/>
              <w:noProof/>
              <w:sz w:val="28"/>
              <w:szCs w:val="28"/>
              <w:lang w:eastAsia="en-GB"/>
            </w:rPr>
          </w:pPr>
          <w:r>
            <w:fldChar w:fldCharType="begin"/>
          </w:r>
          <w:r>
            <w:instrText xml:space="preserve"> TOC \o "1-3" \h \z \u </w:instrText>
          </w:r>
          <w:r>
            <w:fldChar w:fldCharType="separate"/>
          </w:r>
          <w:hyperlink w:anchor="_Toc82606822" w:history="1">
            <w:r w:rsidR="00B01B1A" w:rsidRPr="001F3A35">
              <w:rPr>
                <w:rStyle w:val="Hyperlink"/>
                <w:rFonts w:ascii="Arial" w:hAnsi="Arial" w:cs="Arial"/>
                <w:noProof/>
                <w:sz w:val="28"/>
                <w:szCs w:val="28"/>
              </w:rPr>
              <w:t>1.</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Introduction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_Toc82606822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3</w:t>
            </w:r>
            <w:r w:rsidR="00B01B1A" w:rsidRPr="001F3A35">
              <w:rPr>
                <w:rFonts w:ascii="Arial" w:hAnsi="Arial" w:cs="Arial"/>
                <w:noProof/>
                <w:webHidden/>
                <w:sz w:val="28"/>
                <w:szCs w:val="28"/>
              </w:rPr>
              <w:fldChar w:fldCharType="end"/>
            </w:r>
          </w:hyperlink>
        </w:p>
        <w:p w14:paraId="07D39FED" w14:textId="4161F87B"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3" w:history="1">
            <w:r w:rsidR="00B01B1A" w:rsidRPr="001F3A35">
              <w:rPr>
                <w:rStyle w:val="Hyperlink"/>
                <w:rFonts w:ascii="Arial" w:hAnsi="Arial" w:cs="Arial"/>
                <w:noProof/>
                <w:sz w:val="28"/>
                <w:szCs w:val="28"/>
              </w:rPr>
              <w:t>2.</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Background &amp; Strategic Context</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_Toc82606823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3</w:t>
            </w:r>
            <w:r w:rsidR="00B01B1A" w:rsidRPr="001F3A35">
              <w:rPr>
                <w:rFonts w:ascii="Arial" w:hAnsi="Arial" w:cs="Arial"/>
                <w:noProof/>
                <w:webHidden/>
                <w:sz w:val="28"/>
                <w:szCs w:val="28"/>
              </w:rPr>
              <w:fldChar w:fldCharType="end"/>
            </w:r>
          </w:hyperlink>
        </w:p>
        <w:p w14:paraId="5CAB085C" w14:textId="5AE2539D"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4" w:history="1">
            <w:r w:rsidR="00B01B1A" w:rsidRPr="001F3A35">
              <w:rPr>
                <w:rStyle w:val="Hyperlink"/>
                <w:rFonts w:ascii="Arial" w:eastAsia="Batang" w:hAnsi="Arial" w:cs="Arial"/>
                <w:noProof/>
                <w:sz w:val="28"/>
                <w:szCs w:val="28"/>
              </w:rPr>
              <w:t>3.</w:t>
            </w:r>
            <w:r w:rsidR="00B01B1A" w:rsidRPr="001F3A35">
              <w:rPr>
                <w:rFonts w:ascii="Arial" w:eastAsiaTheme="minorEastAsia" w:hAnsi="Arial" w:cs="Arial"/>
                <w:noProof/>
                <w:sz w:val="28"/>
                <w:szCs w:val="28"/>
                <w:lang w:eastAsia="en-GB"/>
              </w:rPr>
              <w:tab/>
            </w:r>
            <w:r w:rsidR="00B01B1A" w:rsidRPr="001F3A35">
              <w:rPr>
                <w:rStyle w:val="Hyperlink"/>
                <w:rFonts w:ascii="Arial" w:eastAsia="Batang" w:hAnsi="Arial" w:cs="Arial"/>
                <w:noProof/>
                <w:sz w:val="28"/>
                <w:szCs w:val="28"/>
              </w:rPr>
              <w:t>The Green Economy</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_Toc82606824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4</w:t>
            </w:r>
            <w:r w:rsidR="00B01B1A" w:rsidRPr="001F3A35">
              <w:rPr>
                <w:rFonts w:ascii="Arial" w:hAnsi="Arial" w:cs="Arial"/>
                <w:noProof/>
                <w:webHidden/>
                <w:sz w:val="28"/>
                <w:szCs w:val="28"/>
              </w:rPr>
              <w:fldChar w:fldCharType="end"/>
            </w:r>
          </w:hyperlink>
        </w:p>
        <w:p w14:paraId="286C9348" w14:textId="1BFCEC24"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5" w:history="1">
            <w:r w:rsidR="00B01B1A" w:rsidRPr="001F3A35">
              <w:rPr>
                <w:rStyle w:val="Hyperlink"/>
                <w:rFonts w:ascii="Arial" w:hAnsi="Arial" w:cs="Arial"/>
                <w:noProof/>
                <w:sz w:val="28"/>
                <w:szCs w:val="28"/>
              </w:rPr>
              <w:t>4.</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Green Growth Skills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_Toc82606825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4</w:t>
            </w:r>
            <w:r w:rsidR="00B01B1A" w:rsidRPr="001F3A35">
              <w:rPr>
                <w:rFonts w:ascii="Arial" w:hAnsi="Arial" w:cs="Arial"/>
                <w:noProof/>
                <w:webHidden/>
                <w:sz w:val="28"/>
                <w:szCs w:val="28"/>
              </w:rPr>
              <w:fldChar w:fldCharType="end"/>
            </w:r>
          </w:hyperlink>
        </w:p>
        <w:p w14:paraId="685AED2C" w14:textId="2922A41E"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6" w:history="1">
            <w:r w:rsidR="00B01B1A" w:rsidRPr="001F3A35">
              <w:rPr>
                <w:rStyle w:val="Hyperlink"/>
                <w:rFonts w:ascii="Arial" w:hAnsi="Arial" w:cs="Arial"/>
                <w:noProof/>
                <w:sz w:val="28"/>
                <w:szCs w:val="28"/>
              </w:rPr>
              <w:t>5.</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A Just Transition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_Toc82606826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5</w:t>
            </w:r>
            <w:r w:rsidR="00B01B1A" w:rsidRPr="001F3A35">
              <w:rPr>
                <w:rFonts w:ascii="Arial" w:hAnsi="Arial" w:cs="Arial"/>
                <w:noProof/>
                <w:webHidden/>
                <w:sz w:val="28"/>
                <w:szCs w:val="28"/>
              </w:rPr>
              <w:fldChar w:fldCharType="end"/>
            </w:r>
          </w:hyperlink>
        </w:p>
        <w:p w14:paraId="03499DC9" w14:textId="543129D9"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7" w:history="1">
            <w:r w:rsidR="00B01B1A" w:rsidRPr="001F3A35">
              <w:rPr>
                <w:rStyle w:val="Hyperlink"/>
                <w:rFonts w:ascii="Arial" w:hAnsi="Arial" w:cs="Arial"/>
                <w:noProof/>
                <w:sz w:val="28"/>
                <w:szCs w:val="28"/>
              </w:rPr>
              <w:t>6.</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Call Details: Overarching Principles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_Toc82606827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6</w:t>
            </w:r>
            <w:r w:rsidR="00B01B1A" w:rsidRPr="001F3A35">
              <w:rPr>
                <w:rFonts w:ascii="Arial" w:hAnsi="Arial" w:cs="Arial"/>
                <w:noProof/>
                <w:webHidden/>
                <w:sz w:val="28"/>
                <w:szCs w:val="28"/>
              </w:rPr>
              <w:fldChar w:fldCharType="end"/>
            </w:r>
          </w:hyperlink>
        </w:p>
        <w:p w14:paraId="3A36D19B" w14:textId="11BFDF30"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8" w:history="1">
            <w:r w:rsidR="00B01B1A" w:rsidRPr="001F3A35">
              <w:rPr>
                <w:rStyle w:val="Hyperlink"/>
                <w:rFonts w:ascii="Arial" w:hAnsi="Arial" w:cs="Arial"/>
                <w:noProof/>
                <w:sz w:val="28"/>
                <w:szCs w:val="28"/>
              </w:rPr>
              <w:t>7.</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Funding priorities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_Toc82606828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7</w:t>
            </w:r>
            <w:r w:rsidR="00B01B1A" w:rsidRPr="001F3A35">
              <w:rPr>
                <w:rFonts w:ascii="Arial" w:hAnsi="Arial" w:cs="Arial"/>
                <w:noProof/>
                <w:webHidden/>
                <w:sz w:val="28"/>
                <w:szCs w:val="28"/>
              </w:rPr>
              <w:fldChar w:fldCharType="end"/>
            </w:r>
          </w:hyperlink>
        </w:p>
        <w:p w14:paraId="6413F9E1" w14:textId="6180C8DE"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29" w:history="1">
            <w:r w:rsidR="00B01B1A" w:rsidRPr="001F3A35">
              <w:rPr>
                <w:rStyle w:val="Hyperlink"/>
                <w:rFonts w:ascii="Arial" w:hAnsi="Arial" w:cs="Arial"/>
                <w:noProof/>
                <w:sz w:val="28"/>
                <w:szCs w:val="28"/>
              </w:rPr>
              <w:t>8.</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Outcomes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_Toc82606829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6D662406" w14:textId="0160B7AF" w:rsidR="00B01B1A" w:rsidRPr="001F3A35" w:rsidRDefault="00CB77CC">
          <w:pPr>
            <w:pStyle w:val="TOC1"/>
            <w:tabs>
              <w:tab w:val="left" w:pos="440"/>
              <w:tab w:val="right" w:leader="dot" w:pos="10194"/>
            </w:tabs>
            <w:rPr>
              <w:rFonts w:ascii="Arial" w:eastAsiaTheme="minorEastAsia" w:hAnsi="Arial" w:cs="Arial"/>
              <w:noProof/>
              <w:sz w:val="28"/>
              <w:szCs w:val="28"/>
              <w:lang w:eastAsia="en-GB"/>
            </w:rPr>
          </w:pPr>
          <w:hyperlink w:anchor="_Toc82606830" w:history="1">
            <w:r w:rsidR="00B01B1A" w:rsidRPr="001F3A35">
              <w:rPr>
                <w:rStyle w:val="Hyperlink"/>
                <w:rFonts w:ascii="Arial" w:eastAsia="Batang" w:hAnsi="Arial" w:cs="Arial"/>
                <w:noProof/>
                <w:sz w:val="28"/>
                <w:szCs w:val="28"/>
              </w:rPr>
              <w:t>9.</w:t>
            </w:r>
            <w:r w:rsidR="00B01B1A" w:rsidRPr="001F3A35">
              <w:rPr>
                <w:rFonts w:ascii="Arial" w:eastAsiaTheme="minorEastAsia" w:hAnsi="Arial" w:cs="Arial"/>
                <w:noProof/>
                <w:sz w:val="28"/>
                <w:szCs w:val="28"/>
                <w:lang w:eastAsia="en-GB"/>
              </w:rPr>
              <w:tab/>
            </w:r>
            <w:r w:rsidR="00B01B1A" w:rsidRPr="001F3A35">
              <w:rPr>
                <w:rStyle w:val="Hyperlink"/>
                <w:rFonts w:ascii="Arial" w:eastAsia="Batang" w:hAnsi="Arial" w:cs="Arial"/>
                <w:noProof/>
                <w:sz w:val="28"/>
                <w:szCs w:val="28"/>
              </w:rPr>
              <w:t>Outputs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_Toc82606830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0280DA9E" w14:textId="16AF90C2" w:rsidR="00B01B1A" w:rsidRPr="001F3A35" w:rsidRDefault="00CB77CC">
          <w:pPr>
            <w:pStyle w:val="TOC1"/>
            <w:tabs>
              <w:tab w:val="left" w:pos="660"/>
              <w:tab w:val="right" w:leader="dot" w:pos="10194"/>
            </w:tabs>
            <w:rPr>
              <w:rFonts w:ascii="Arial" w:eastAsiaTheme="minorEastAsia" w:hAnsi="Arial" w:cs="Arial"/>
              <w:noProof/>
              <w:sz w:val="28"/>
              <w:szCs w:val="28"/>
              <w:lang w:eastAsia="en-GB"/>
            </w:rPr>
          </w:pPr>
          <w:hyperlink w:anchor="_Toc82606831" w:history="1">
            <w:r w:rsidR="00B01B1A" w:rsidRPr="001F3A35">
              <w:rPr>
                <w:rStyle w:val="Hyperlink"/>
                <w:rFonts w:ascii="Arial" w:hAnsi="Arial" w:cs="Arial"/>
                <w:noProof/>
                <w:sz w:val="28"/>
                <w:szCs w:val="28"/>
              </w:rPr>
              <w:t>10.</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Submission of Proposals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_Toc82606831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244F8A2F" w14:textId="088D9149" w:rsidR="00B01B1A" w:rsidRPr="001F3A35" w:rsidRDefault="00CB77CC">
          <w:pPr>
            <w:pStyle w:val="TOC1"/>
            <w:tabs>
              <w:tab w:val="left" w:pos="660"/>
              <w:tab w:val="right" w:leader="dot" w:pos="10194"/>
            </w:tabs>
            <w:rPr>
              <w:rFonts w:ascii="Arial" w:eastAsiaTheme="minorEastAsia" w:hAnsi="Arial" w:cs="Arial"/>
              <w:noProof/>
              <w:sz w:val="28"/>
              <w:szCs w:val="28"/>
              <w:lang w:eastAsia="en-GB"/>
            </w:rPr>
          </w:pPr>
          <w:hyperlink w:anchor="_Toc82606832" w:history="1">
            <w:r w:rsidR="00B01B1A" w:rsidRPr="001F3A35">
              <w:rPr>
                <w:rStyle w:val="Hyperlink"/>
                <w:rFonts w:ascii="Arial" w:hAnsi="Arial" w:cs="Arial"/>
                <w:noProof/>
                <w:sz w:val="28"/>
                <w:szCs w:val="28"/>
              </w:rPr>
              <w:t>11.</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Assessment &amp; Selection Process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_Toc82606832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9</w:t>
            </w:r>
            <w:r w:rsidR="00B01B1A" w:rsidRPr="001F3A35">
              <w:rPr>
                <w:rFonts w:ascii="Arial" w:hAnsi="Arial" w:cs="Arial"/>
                <w:noProof/>
                <w:webHidden/>
                <w:sz w:val="28"/>
                <w:szCs w:val="28"/>
              </w:rPr>
              <w:fldChar w:fldCharType="end"/>
            </w:r>
          </w:hyperlink>
        </w:p>
        <w:p w14:paraId="1A74FC0E" w14:textId="5CD37377" w:rsidR="00B01B1A" w:rsidRPr="001F3A35" w:rsidRDefault="00CB77CC">
          <w:pPr>
            <w:pStyle w:val="TOC1"/>
            <w:tabs>
              <w:tab w:val="left" w:pos="660"/>
              <w:tab w:val="right" w:leader="dot" w:pos="10194"/>
            </w:tabs>
            <w:rPr>
              <w:rFonts w:ascii="Arial" w:eastAsiaTheme="minorEastAsia" w:hAnsi="Arial" w:cs="Arial"/>
              <w:noProof/>
              <w:sz w:val="28"/>
              <w:szCs w:val="28"/>
              <w:lang w:eastAsia="en-GB"/>
            </w:rPr>
          </w:pPr>
          <w:hyperlink w:anchor="_Toc82606833" w:history="1">
            <w:r w:rsidR="00B01B1A" w:rsidRPr="001F3A35">
              <w:rPr>
                <w:rStyle w:val="Hyperlink"/>
                <w:rFonts w:ascii="Arial" w:hAnsi="Arial" w:cs="Arial"/>
                <w:noProof/>
                <w:sz w:val="28"/>
                <w:szCs w:val="28"/>
              </w:rPr>
              <w:t>12.</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Subsidy Control</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_Toc82606833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11</w:t>
            </w:r>
            <w:r w:rsidR="00B01B1A" w:rsidRPr="001F3A35">
              <w:rPr>
                <w:rFonts w:ascii="Arial" w:hAnsi="Arial" w:cs="Arial"/>
                <w:noProof/>
                <w:webHidden/>
                <w:sz w:val="28"/>
                <w:szCs w:val="28"/>
              </w:rPr>
              <w:fldChar w:fldCharType="end"/>
            </w:r>
          </w:hyperlink>
        </w:p>
        <w:p w14:paraId="14F65A70" w14:textId="51403E00" w:rsidR="00B01B1A" w:rsidRPr="001F3A35" w:rsidRDefault="00CB77CC">
          <w:pPr>
            <w:pStyle w:val="TOC1"/>
            <w:tabs>
              <w:tab w:val="left" w:pos="660"/>
              <w:tab w:val="right" w:leader="dot" w:pos="10194"/>
            </w:tabs>
            <w:rPr>
              <w:rFonts w:ascii="Arial" w:eastAsiaTheme="minorEastAsia" w:hAnsi="Arial" w:cs="Arial"/>
              <w:noProof/>
              <w:sz w:val="28"/>
              <w:szCs w:val="28"/>
              <w:lang w:eastAsia="en-GB"/>
            </w:rPr>
          </w:pPr>
          <w:hyperlink w:anchor="_Toc82606834" w:history="1">
            <w:r w:rsidR="00B01B1A" w:rsidRPr="001F3A35">
              <w:rPr>
                <w:rStyle w:val="Hyperlink"/>
                <w:rFonts w:ascii="Arial" w:hAnsi="Arial" w:cs="Arial"/>
                <w:noProof/>
                <w:sz w:val="28"/>
                <w:szCs w:val="28"/>
              </w:rPr>
              <w:t>13.</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Other information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_Toc82606834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11</w:t>
            </w:r>
            <w:r w:rsidR="00B01B1A" w:rsidRPr="001F3A35">
              <w:rPr>
                <w:rFonts w:ascii="Arial" w:hAnsi="Arial" w:cs="Arial"/>
                <w:noProof/>
                <w:webHidden/>
                <w:sz w:val="28"/>
                <w:szCs w:val="28"/>
              </w:rPr>
              <w:fldChar w:fldCharType="end"/>
            </w:r>
          </w:hyperlink>
        </w:p>
        <w:p w14:paraId="49F83AC0" w14:textId="0E9CFF59" w:rsidR="00B01B1A" w:rsidRPr="001F3A35" w:rsidRDefault="00CB77CC">
          <w:pPr>
            <w:pStyle w:val="TOC1"/>
            <w:tabs>
              <w:tab w:val="right" w:leader="dot" w:pos="10194"/>
            </w:tabs>
            <w:rPr>
              <w:rFonts w:ascii="Arial" w:eastAsiaTheme="minorEastAsia" w:hAnsi="Arial" w:cs="Arial"/>
              <w:noProof/>
              <w:sz w:val="28"/>
              <w:szCs w:val="28"/>
              <w:lang w:eastAsia="en-GB"/>
            </w:rPr>
          </w:pPr>
          <w:hyperlink w:anchor="_Toc82606835" w:history="1">
            <w:r w:rsidR="00B01B1A" w:rsidRPr="001F3A35">
              <w:rPr>
                <w:rStyle w:val="Hyperlink"/>
                <w:rFonts w:ascii="Arial" w:hAnsi="Arial" w:cs="Arial"/>
                <w:noProof/>
                <w:sz w:val="28"/>
                <w:szCs w:val="28"/>
              </w:rPr>
              <w:t>Annex A - Funding Parameters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_Toc82606835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12</w:t>
            </w:r>
            <w:r w:rsidR="00B01B1A" w:rsidRPr="001F3A35">
              <w:rPr>
                <w:rFonts w:ascii="Arial" w:hAnsi="Arial" w:cs="Arial"/>
                <w:noProof/>
                <w:webHidden/>
                <w:sz w:val="28"/>
                <w:szCs w:val="28"/>
              </w:rPr>
              <w:fldChar w:fldCharType="end"/>
            </w:r>
          </w:hyperlink>
        </w:p>
        <w:p w14:paraId="52F2BD34" w14:textId="0EFA36A7" w:rsidR="00B01B1A" w:rsidRPr="001F3A35" w:rsidRDefault="00CB77CC">
          <w:pPr>
            <w:pStyle w:val="TOC1"/>
            <w:tabs>
              <w:tab w:val="right" w:leader="dot" w:pos="10194"/>
            </w:tabs>
            <w:rPr>
              <w:rFonts w:ascii="Arial" w:eastAsiaTheme="minorEastAsia" w:hAnsi="Arial" w:cs="Arial"/>
              <w:noProof/>
              <w:sz w:val="28"/>
              <w:szCs w:val="28"/>
              <w:lang w:eastAsia="en-GB"/>
            </w:rPr>
          </w:pPr>
          <w:hyperlink w:anchor="_Toc82606836" w:history="1">
            <w:r w:rsidR="00B01B1A" w:rsidRPr="001F3A35">
              <w:rPr>
                <w:rStyle w:val="Hyperlink"/>
                <w:rFonts w:ascii="Arial" w:hAnsi="Arial" w:cs="Arial"/>
                <w:noProof/>
                <w:sz w:val="28"/>
                <w:szCs w:val="28"/>
              </w:rPr>
              <w:t>Annex B - Key sectors for this funding opportunity</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_Toc82606836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14</w:t>
            </w:r>
            <w:r w:rsidR="00B01B1A" w:rsidRPr="001F3A35">
              <w:rPr>
                <w:rFonts w:ascii="Arial" w:hAnsi="Arial" w:cs="Arial"/>
                <w:noProof/>
                <w:webHidden/>
                <w:sz w:val="28"/>
                <w:szCs w:val="28"/>
              </w:rPr>
              <w:fldChar w:fldCharType="end"/>
            </w:r>
          </w:hyperlink>
        </w:p>
        <w:p w14:paraId="45514B7B" w14:textId="657B70F1" w:rsidR="00B01B1A" w:rsidRPr="001F3A35" w:rsidRDefault="00CB77CC">
          <w:pPr>
            <w:pStyle w:val="TOC1"/>
            <w:tabs>
              <w:tab w:val="right" w:leader="dot" w:pos="10194"/>
            </w:tabs>
            <w:rPr>
              <w:rFonts w:ascii="Arial" w:eastAsiaTheme="minorEastAsia" w:hAnsi="Arial" w:cs="Arial"/>
              <w:noProof/>
              <w:sz w:val="28"/>
              <w:szCs w:val="28"/>
              <w:lang w:eastAsia="en-GB"/>
            </w:rPr>
          </w:pPr>
          <w:hyperlink w:anchor="_Toc82606837" w:history="1">
            <w:r w:rsidR="00B01B1A" w:rsidRPr="001F3A35">
              <w:rPr>
                <w:rStyle w:val="Hyperlink"/>
                <w:rFonts w:ascii="Arial" w:eastAsia="Batang" w:hAnsi="Arial" w:cs="Arial"/>
                <w:noProof/>
                <w:sz w:val="28"/>
                <w:szCs w:val="28"/>
              </w:rPr>
              <w:t>Annex C – Detailed Scoring Criteria</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_Toc82606837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16</w:t>
            </w:r>
            <w:r w:rsidR="00B01B1A" w:rsidRPr="001F3A35">
              <w:rPr>
                <w:rFonts w:ascii="Arial" w:hAnsi="Arial" w:cs="Arial"/>
                <w:noProof/>
                <w:webHidden/>
                <w:sz w:val="28"/>
                <w:szCs w:val="28"/>
              </w:rPr>
              <w:fldChar w:fldCharType="end"/>
            </w:r>
          </w:hyperlink>
        </w:p>
        <w:p w14:paraId="7E95C977" w14:textId="5AC9947C" w:rsidR="00057DCD" w:rsidRDefault="00057DCD">
          <w:r>
            <w:rPr>
              <w:b/>
              <w:bCs/>
              <w:noProof/>
            </w:rPr>
            <w:fldChar w:fldCharType="end"/>
          </w:r>
        </w:p>
      </w:sdtContent>
    </w:sdt>
    <w:p w14:paraId="1BF70940" w14:textId="77777777" w:rsidR="00057DCD" w:rsidRDefault="00057DCD">
      <w:pPr>
        <w:rPr>
          <w:rFonts w:ascii="Arial" w:eastAsia="Times New Roman" w:hAnsi="Arial" w:cs="Arial"/>
          <w:b/>
          <w:bCs/>
          <w:sz w:val="24"/>
          <w:szCs w:val="24"/>
          <w:lang w:eastAsia="en-GB"/>
        </w:rPr>
      </w:pPr>
      <w:r>
        <w:br w:type="page"/>
      </w:r>
    </w:p>
    <w:p w14:paraId="6C575B0A" w14:textId="7B5F8ED2" w:rsidR="00A71F7B" w:rsidRPr="00CA6C6D" w:rsidRDefault="00A71F7B" w:rsidP="00057DCD">
      <w:pPr>
        <w:pStyle w:val="Heading1"/>
        <w:numPr>
          <w:ilvl w:val="0"/>
          <w:numId w:val="45"/>
        </w:numPr>
        <w:ind w:left="567" w:hanging="567"/>
      </w:pPr>
      <w:bookmarkStart w:id="1" w:name="_Toc82606822"/>
      <w:r w:rsidRPr="00CA6C6D">
        <w:lastRenderedPageBreak/>
        <w:t>Introduction</w:t>
      </w:r>
      <w:bookmarkEnd w:id="1"/>
    </w:p>
    <w:p w14:paraId="490D8499" w14:textId="77777777" w:rsidR="00586945" w:rsidRPr="007053BD" w:rsidRDefault="00586945" w:rsidP="00586945">
      <w:pPr>
        <w:spacing w:after="0" w:line="240" w:lineRule="auto"/>
        <w:rPr>
          <w:rFonts w:ascii="Arial" w:eastAsia="Times New Roman" w:hAnsi="Arial" w:cs="Arial"/>
          <w:b/>
          <w:sz w:val="24"/>
          <w:szCs w:val="24"/>
          <w:lang w:eastAsia="en-GB"/>
        </w:rPr>
      </w:pPr>
    </w:p>
    <w:p w14:paraId="0F3C5899" w14:textId="4C25AD50" w:rsidR="006053AE" w:rsidRDefault="006053AE" w:rsidP="00586945">
      <w:pPr>
        <w:shd w:val="clear" w:color="auto" w:fill="FFFFFF"/>
        <w:spacing w:after="0" w:line="240" w:lineRule="auto"/>
        <w:rPr>
          <w:rFonts w:ascii="Arial" w:eastAsia="Batang" w:hAnsi="Arial" w:cs="Arial"/>
          <w:sz w:val="24"/>
          <w:szCs w:val="24"/>
        </w:rPr>
      </w:pPr>
      <w:r>
        <w:rPr>
          <w:rFonts w:ascii="Arial" w:hAnsi="Arial" w:cs="Arial"/>
          <w:sz w:val="24"/>
          <w:szCs w:val="24"/>
        </w:rPr>
        <w:t>T</w:t>
      </w:r>
      <w:r w:rsidRPr="00EE41BB">
        <w:rPr>
          <w:rFonts w:ascii="Arial" w:eastAsia="Batang" w:hAnsi="Arial" w:cs="Arial"/>
          <w:sz w:val="24"/>
          <w:szCs w:val="24"/>
        </w:rPr>
        <w:t xml:space="preserve">he purpose of this document is to provide potential applicants with the information needed to submit </w:t>
      </w:r>
      <w:r w:rsidR="002D61BE" w:rsidRPr="002D61BE">
        <w:rPr>
          <w:rFonts w:ascii="Arial" w:eastAsia="Batang" w:hAnsi="Arial" w:cs="Arial"/>
          <w:b/>
          <w:bCs/>
          <w:sz w:val="24"/>
          <w:szCs w:val="24"/>
        </w:rPr>
        <w:t>first stage expression of interest</w:t>
      </w:r>
      <w:r w:rsidR="002D61BE">
        <w:rPr>
          <w:rFonts w:ascii="Arial" w:eastAsia="Batang" w:hAnsi="Arial" w:cs="Arial"/>
          <w:sz w:val="24"/>
          <w:szCs w:val="24"/>
        </w:rPr>
        <w:t xml:space="preserve"> </w:t>
      </w:r>
      <w:r w:rsidRPr="00EE41BB">
        <w:rPr>
          <w:rFonts w:ascii="Arial" w:eastAsia="Batang" w:hAnsi="Arial" w:cs="Arial"/>
          <w:sz w:val="24"/>
          <w:szCs w:val="24"/>
        </w:rPr>
        <w:t xml:space="preserve">proposals </w:t>
      </w:r>
      <w:r>
        <w:rPr>
          <w:rFonts w:ascii="Arial" w:eastAsia="Batang" w:hAnsi="Arial" w:cs="Arial"/>
          <w:sz w:val="24"/>
          <w:szCs w:val="24"/>
        </w:rPr>
        <w:t xml:space="preserve">for employer led skills projects and activities related to </w:t>
      </w:r>
      <w:r w:rsidR="00BF0349">
        <w:rPr>
          <w:rFonts w:ascii="Arial" w:eastAsia="Batang" w:hAnsi="Arial" w:cs="Arial"/>
          <w:sz w:val="24"/>
          <w:szCs w:val="24"/>
        </w:rPr>
        <w:t xml:space="preserve">green </w:t>
      </w:r>
      <w:r w:rsidR="00025E4D">
        <w:rPr>
          <w:rFonts w:ascii="Arial" w:eastAsia="Batang" w:hAnsi="Arial" w:cs="Arial"/>
          <w:sz w:val="24"/>
          <w:szCs w:val="24"/>
        </w:rPr>
        <w:t>growth</w:t>
      </w:r>
      <w:r>
        <w:rPr>
          <w:rFonts w:ascii="Arial" w:eastAsia="Batang" w:hAnsi="Arial" w:cs="Arial"/>
          <w:sz w:val="24"/>
          <w:szCs w:val="24"/>
        </w:rPr>
        <w:t xml:space="preserve">. </w:t>
      </w:r>
      <w:r w:rsidRPr="00EE41BB">
        <w:rPr>
          <w:rFonts w:ascii="Arial" w:eastAsia="Batang" w:hAnsi="Arial" w:cs="Arial"/>
          <w:sz w:val="24"/>
          <w:szCs w:val="24"/>
        </w:rPr>
        <w:t xml:space="preserve"> </w:t>
      </w:r>
    </w:p>
    <w:p w14:paraId="62255C82" w14:textId="77777777" w:rsidR="006053AE" w:rsidRDefault="006053AE" w:rsidP="00586945">
      <w:pPr>
        <w:shd w:val="clear" w:color="auto" w:fill="FFFFFF"/>
        <w:spacing w:after="0" w:line="240" w:lineRule="auto"/>
        <w:rPr>
          <w:rFonts w:ascii="Arial" w:hAnsi="Arial" w:cs="Arial"/>
          <w:sz w:val="24"/>
          <w:szCs w:val="24"/>
        </w:rPr>
      </w:pPr>
    </w:p>
    <w:p w14:paraId="30A31821" w14:textId="6CE58514" w:rsidR="00194CD7" w:rsidRPr="006053AE" w:rsidRDefault="00595DD4" w:rsidP="00586945">
      <w:pPr>
        <w:shd w:val="clear" w:color="auto" w:fill="FFFFFF"/>
        <w:spacing w:after="0" w:line="240" w:lineRule="auto"/>
        <w:rPr>
          <w:rStyle w:val="Hyperlink"/>
          <w:rFonts w:ascii="Arial" w:hAnsi="Arial" w:cs="Arial"/>
          <w:color w:val="auto"/>
          <w:sz w:val="24"/>
          <w:szCs w:val="24"/>
          <w:u w:val="none"/>
        </w:rPr>
      </w:pPr>
      <w:r>
        <w:rPr>
          <w:rFonts w:ascii="Arial" w:hAnsi="Arial" w:cs="Arial"/>
          <w:sz w:val="24"/>
          <w:szCs w:val="24"/>
        </w:rPr>
        <w:t>The North of Tyne Combine Authority (</w:t>
      </w:r>
      <w:r w:rsidR="00194CD7" w:rsidRPr="00244C63">
        <w:rPr>
          <w:rFonts w:ascii="Arial" w:hAnsi="Arial" w:cs="Arial"/>
          <w:sz w:val="24"/>
          <w:szCs w:val="24"/>
        </w:rPr>
        <w:t>NTCA</w:t>
      </w:r>
      <w:r>
        <w:rPr>
          <w:rFonts w:ascii="Arial" w:hAnsi="Arial" w:cs="Arial"/>
          <w:sz w:val="24"/>
          <w:szCs w:val="24"/>
        </w:rPr>
        <w:t>)</w:t>
      </w:r>
      <w:r w:rsidR="00194CD7" w:rsidRPr="00244C63">
        <w:rPr>
          <w:rFonts w:ascii="Arial" w:hAnsi="Arial" w:cs="Arial"/>
          <w:sz w:val="24"/>
          <w:szCs w:val="24"/>
        </w:rPr>
        <w:t xml:space="preserve"> has allocated</w:t>
      </w:r>
      <w:r w:rsidR="00F94B9F">
        <w:rPr>
          <w:rFonts w:ascii="Arial" w:hAnsi="Arial" w:cs="Arial"/>
          <w:sz w:val="24"/>
          <w:szCs w:val="24"/>
        </w:rPr>
        <w:t xml:space="preserve"> an indicative amount of</w:t>
      </w:r>
      <w:r w:rsidR="00194CD7" w:rsidRPr="00244C63">
        <w:rPr>
          <w:rFonts w:ascii="Arial" w:hAnsi="Arial" w:cs="Arial"/>
          <w:sz w:val="24"/>
          <w:szCs w:val="24"/>
        </w:rPr>
        <w:t xml:space="preserve"> £2m </w:t>
      </w:r>
      <w:r w:rsidR="00194CD7">
        <w:rPr>
          <w:rFonts w:ascii="Arial" w:hAnsi="Arial" w:cs="Arial"/>
          <w:sz w:val="24"/>
          <w:szCs w:val="24"/>
        </w:rPr>
        <w:t xml:space="preserve">of </w:t>
      </w:r>
      <w:r w:rsidR="009417DE">
        <w:rPr>
          <w:rFonts w:ascii="Arial" w:hAnsi="Arial" w:cs="Arial"/>
          <w:sz w:val="24"/>
          <w:szCs w:val="24"/>
        </w:rPr>
        <w:t xml:space="preserve">its Skills for Growth </w:t>
      </w:r>
      <w:r w:rsidR="00194CD7">
        <w:rPr>
          <w:rFonts w:ascii="Arial" w:hAnsi="Arial" w:cs="Arial"/>
          <w:sz w:val="24"/>
          <w:szCs w:val="24"/>
        </w:rPr>
        <w:t xml:space="preserve">funding </w:t>
      </w:r>
      <w:r w:rsidR="00194CD7" w:rsidRPr="00244C63">
        <w:rPr>
          <w:rFonts w:ascii="Arial" w:hAnsi="Arial" w:cs="Arial"/>
          <w:sz w:val="24"/>
          <w:szCs w:val="24"/>
        </w:rPr>
        <w:t xml:space="preserve">to support the development of </w:t>
      </w:r>
      <w:r w:rsidR="00EF0D6E">
        <w:rPr>
          <w:rFonts w:ascii="Arial" w:hAnsi="Arial" w:cs="Arial"/>
          <w:sz w:val="24"/>
          <w:szCs w:val="24"/>
        </w:rPr>
        <w:t>Green Growth Skills.</w:t>
      </w:r>
      <w:r w:rsidR="00194CD7">
        <w:rPr>
          <w:rFonts w:ascii="Arial" w:hAnsi="Arial" w:cs="Arial"/>
          <w:sz w:val="24"/>
          <w:szCs w:val="24"/>
        </w:rPr>
        <w:t xml:space="preserve"> This </w:t>
      </w:r>
      <w:r w:rsidR="00194CD7" w:rsidRPr="00244C63">
        <w:rPr>
          <w:rFonts w:ascii="Arial" w:eastAsia="Batang" w:hAnsi="Arial" w:cs="Arial"/>
          <w:sz w:val="24"/>
          <w:szCs w:val="24"/>
        </w:rPr>
        <w:t>fund</w:t>
      </w:r>
      <w:r w:rsidR="00194CD7">
        <w:rPr>
          <w:rFonts w:ascii="Arial" w:eastAsia="Batang" w:hAnsi="Arial" w:cs="Arial"/>
          <w:sz w:val="24"/>
          <w:szCs w:val="24"/>
        </w:rPr>
        <w:t>ing</w:t>
      </w:r>
      <w:r w:rsidR="00194CD7" w:rsidRPr="00244C63">
        <w:rPr>
          <w:rFonts w:ascii="Arial" w:eastAsia="Batang" w:hAnsi="Arial" w:cs="Arial"/>
          <w:sz w:val="24"/>
          <w:szCs w:val="24"/>
        </w:rPr>
        <w:t xml:space="preserve"> forms part of our wider green growth strategy</w:t>
      </w:r>
      <w:r w:rsidR="00194CD7">
        <w:rPr>
          <w:rFonts w:ascii="Arial" w:eastAsia="Batang" w:hAnsi="Arial" w:cs="Arial"/>
          <w:sz w:val="24"/>
          <w:szCs w:val="24"/>
        </w:rPr>
        <w:t xml:space="preserve"> and aligns with </w:t>
      </w:r>
      <w:r w:rsidR="00194CD7" w:rsidRPr="000E5ACF">
        <w:rPr>
          <w:rFonts w:ascii="Arial" w:hAnsi="Arial" w:cs="Arial"/>
          <w:sz w:val="24"/>
          <w:szCs w:val="24"/>
        </w:rPr>
        <w:fldChar w:fldCharType="begin"/>
      </w:r>
      <w:r w:rsidR="00194CD7" w:rsidRPr="000E5ACF">
        <w:rPr>
          <w:rFonts w:ascii="Arial" w:hAnsi="Arial" w:cs="Arial"/>
          <w:sz w:val="24"/>
          <w:szCs w:val="24"/>
        </w:rPr>
        <w:instrText xml:space="preserve"> HYPERLINK "https://www.northoftyne-ca.gov.uk/documents/strategic-skills-plan/" </w:instrText>
      </w:r>
      <w:r w:rsidR="00194CD7" w:rsidRPr="000E5ACF">
        <w:rPr>
          <w:rFonts w:ascii="Arial" w:hAnsi="Arial" w:cs="Arial"/>
          <w:sz w:val="24"/>
          <w:szCs w:val="24"/>
        </w:rPr>
        <w:fldChar w:fldCharType="separate"/>
      </w:r>
      <w:r w:rsidR="00194CD7" w:rsidRPr="000E5ACF">
        <w:rPr>
          <w:rStyle w:val="Hyperlink"/>
          <w:rFonts w:ascii="Arial" w:hAnsi="Arial" w:cs="Arial"/>
          <w:sz w:val="24"/>
          <w:szCs w:val="24"/>
        </w:rPr>
        <w:t>NTCA’s Strategic Skills Plan.</w:t>
      </w:r>
    </w:p>
    <w:p w14:paraId="11461C0B" w14:textId="77777777" w:rsidR="00194CD7" w:rsidRDefault="00194CD7" w:rsidP="00586945">
      <w:pPr>
        <w:shd w:val="clear" w:color="auto" w:fill="FFFFFF"/>
        <w:spacing w:after="0" w:line="240" w:lineRule="auto"/>
        <w:rPr>
          <w:rFonts w:ascii="Arial" w:hAnsi="Arial" w:cs="Arial"/>
          <w:sz w:val="24"/>
          <w:szCs w:val="24"/>
        </w:rPr>
      </w:pPr>
      <w:r w:rsidRPr="000E5ACF">
        <w:rPr>
          <w:rFonts w:ascii="Arial" w:hAnsi="Arial" w:cs="Arial"/>
          <w:sz w:val="24"/>
          <w:szCs w:val="24"/>
        </w:rPr>
        <w:fldChar w:fldCharType="end"/>
      </w:r>
    </w:p>
    <w:p w14:paraId="7A5307F2" w14:textId="26A4AE29" w:rsidR="00EE41BB" w:rsidRDefault="00AD5B60" w:rsidP="00586945">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sidR="004A325F">
        <w:rPr>
          <w:rFonts w:ascii="Arial" w:hAnsi="Arial" w:cs="Arial"/>
        </w:rPr>
        <w:t xml:space="preserve">are interested in </w:t>
      </w:r>
      <w:r w:rsidRPr="00EE41BB">
        <w:rPr>
          <w:rFonts w:ascii="Arial" w:hAnsi="Arial" w:cs="Arial"/>
        </w:rPr>
        <w:t xml:space="preserve">innovative proposals that </w:t>
      </w:r>
      <w:r w:rsidR="004A325F">
        <w:rPr>
          <w:rFonts w:ascii="Arial" w:hAnsi="Arial" w:cs="Arial"/>
        </w:rPr>
        <w:t xml:space="preserve">equip people with the skills they need to capitalise on the growing </w:t>
      </w:r>
      <w:r w:rsidR="00297041">
        <w:rPr>
          <w:rFonts w:ascii="Arial" w:hAnsi="Arial" w:cs="Arial"/>
        </w:rPr>
        <w:t xml:space="preserve">employment </w:t>
      </w:r>
      <w:r w:rsidR="004A325F">
        <w:rPr>
          <w:rFonts w:ascii="Arial" w:hAnsi="Arial" w:cs="Arial"/>
        </w:rPr>
        <w:t xml:space="preserve">opportunities in the Low Carbon and Renewable Energy Economy </w:t>
      </w:r>
      <w:r w:rsidR="00AB4D88">
        <w:rPr>
          <w:rFonts w:ascii="Arial" w:hAnsi="Arial" w:cs="Arial"/>
        </w:rPr>
        <w:t>in our region</w:t>
      </w:r>
      <w:r w:rsidR="004A325F">
        <w:rPr>
          <w:rFonts w:ascii="Arial" w:hAnsi="Arial" w:cs="Arial"/>
        </w:rPr>
        <w:t xml:space="preserve">. </w:t>
      </w:r>
    </w:p>
    <w:p w14:paraId="58CCED49" w14:textId="77777777" w:rsidR="00EE41BB" w:rsidRDefault="00EE41BB" w:rsidP="00586945">
      <w:pPr>
        <w:pStyle w:val="paragraph"/>
        <w:spacing w:before="0" w:beforeAutospacing="0" w:after="0" w:afterAutospacing="0"/>
        <w:textAlignment w:val="baseline"/>
        <w:rPr>
          <w:rFonts w:ascii="Arial" w:hAnsi="Arial" w:cs="Arial"/>
        </w:rPr>
      </w:pPr>
    </w:p>
    <w:p w14:paraId="1C6A2BB5" w14:textId="312354DB" w:rsidR="00AD5B60" w:rsidRPr="00297041" w:rsidRDefault="00AD5B60" w:rsidP="00586945">
      <w:pPr>
        <w:pStyle w:val="paragraph"/>
        <w:spacing w:before="0" w:beforeAutospacing="0" w:after="0" w:afterAutospacing="0"/>
        <w:textAlignment w:val="baseline"/>
        <w:rPr>
          <w:rFonts w:ascii="Arial" w:hAnsi="Arial" w:cs="Arial"/>
        </w:rPr>
      </w:pPr>
      <w:r w:rsidRPr="00297041">
        <w:rPr>
          <w:rFonts w:ascii="Arial" w:hAnsi="Arial" w:cs="Arial"/>
        </w:rPr>
        <w:t xml:space="preserve">Projects may </w:t>
      </w:r>
      <w:r w:rsidR="00EE41BB" w:rsidRPr="00297041">
        <w:rPr>
          <w:rFonts w:ascii="Arial" w:hAnsi="Arial" w:cs="Arial"/>
        </w:rPr>
        <w:t xml:space="preserve">also </w:t>
      </w:r>
      <w:r w:rsidRPr="00297041">
        <w:rPr>
          <w:rFonts w:ascii="Arial" w:hAnsi="Arial" w:cs="Arial"/>
        </w:rPr>
        <w:t>support</w:t>
      </w:r>
      <w:r w:rsidR="00EE41BB" w:rsidRPr="00297041">
        <w:rPr>
          <w:rFonts w:ascii="Arial" w:hAnsi="Arial" w:cs="Arial"/>
        </w:rPr>
        <w:t xml:space="preserve"> the transition to a green economy</w:t>
      </w:r>
      <w:r w:rsidR="00EF0D6E">
        <w:rPr>
          <w:rFonts w:ascii="Arial" w:hAnsi="Arial" w:cs="Arial"/>
        </w:rPr>
        <w:t>,</w:t>
      </w:r>
      <w:r w:rsidR="00EE41BB" w:rsidRPr="00297041">
        <w:rPr>
          <w:rFonts w:ascii="Arial" w:hAnsi="Arial" w:cs="Arial"/>
        </w:rPr>
        <w:t xml:space="preserve"> with provision designed to support</w:t>
      </w:r>
      <w:r w:rsidR="00297041" w:rsidRPr="00297041">
        <w:rPr>
          <w:rFonts w:ascii="Arial" w:hAnsi="Arial" w:cs="Arial"/>
        </w:rPr>
        <w:t xml:space="preserve"> businesses or sectors </w:t>
      </w:r>
      <w:r w:rsidR="00EF0D6E">
        <w:rPr>
          <w:rFonts w:ascii="Arial" w:hAnsi="Arial" w:cs="Arial"/>
        </w:rPr>
        <w:t xml:space="preserve">with </w:t>
      </w:r>
      <w:r w:rsidRPr="00297041">
        <w:rPr>
          <w:rFonts w:ascii="Arial" w:hAnsi="Arial" w:cs="Arial"/>
        </w:rPr>
        <w:t xml:space="preserve">the </w:t>
      </w:r>
      <w:r w:rsidR="004A325F" w:rsidRPr="00297041">
        <w:rPr>
          <w:rFonts w:ascii="Arial" w:hAnsi="Arial" w:cs="Arial"/>
        </w:rPr>
        <w:t xml:space="preserve">skills </w:t>
      </w:r>
      <w:r w:rsidR="00297041" w:rsidRPr="00297041">
        <w:rPr>
          <w:rFonts w:ascii="Arial" w:hAnsi="Arial" w:cs="Arial"/>
        </w:rPr>
        <w:t>need</w:t>
      </w:r>
      <w:r w:rsidR="00EF0D6E">
        <w:rPr>
          <w:rFonts w:ascii="Arial" w:hAnsi="Arial" w:cs="Arial"/>
        </w:rPr>
        <w:t>ed</w:t>
      </w:r>
      <w:r w:rsidR="00297041" w:rsidRPr="00297041">
        <w:rPr>
          <w:rFonts w:ascii="Arial" w:hAnsi="Arial" w:cs="Arial"/>
        </w:rPr>
        <w:t xml:space="preserve"> </w:t>
      </w:r>
      <w:r w:rsidR="00EF0D6E">
        <w:rPr>
          <w:rFonts w:ascii="Arial" w:hAnsi="Arial" w:cs="Arial"/>
        </w:rPr>
        <w:t>to</w:t>
      </w:r>
      <w:r w:rsidR="00297041" w:rsidRPr="00297041">
        <w:rPr>
          <w:rFonts w:ascii="Arial" w:hAnsi="Arial" w:cs="Arial"/>
        </w:rPr>
        <w:t xml:space="preserve"> operat</w:t>
      </w:r>
      <w:r w:rsidR="00EF0D6E">
        <w:rPr>
          <w:rFonts w:ascii="Arial" w:hAnsi="Arial" w:cs="Arial"/>
        </w:rPr>
        <w:t>e</w:t>
      </w:r>
      <w:r w:rsidR="00297041" w:rsidRPr="00297041">
        <w:rPr>
          <w:rFonts w:ascii="Arial" w:hAnsi="Arial" w:cs="Arial"/>
        </w:rPr>
        <w:t xml:space="preserve"> in a more resource-efficient way, minimising carbon emissions and preparing for climate change.    </w:t>
      </w:r>
    </w:p>
    <w:p w14:paraId="77B8F576" w14:textId="0DADB6F7" w:rsidR="004A325F" w:rsidRDefault="004A325F" w:rsidP="00586945">
      <w:pPr>
        <w:pStyle w:val="paragraph"/>
        <w:spacing w:before="0" w:beforeAutospacing="0" w:after="0" w:afterAutospacing="0"/>
        <w:textAlignment w:val="baseline"/>
        <w:rPr>
          <w:rFonts w:ascii="Arial" w:hAnsi="Arial" w:cs="Arial"/>
        </w:rPr>
      </w:pPr>
    </w:p>
    <w:p w14:paraId="5E205CD7" w14:textId="16BA26CD" w:rsidR="00AB4D88" w:rsidRPr="00AB4D88" w:rsidRDefault="004A325F" w:rsidP="00586945">
      <w:pPr>
        <w:pStyle w:val="paragraph"/>
        <w:spacing w:before="0" w:beforeAutospacing="0" w:after="0" w:afterAutospacing="0"/>
        <w:textAlignment w:val="baseline"/>
        <w:rPr>
          <w:rFonts w:ascii="Segoe UI" w:hAnsi="Segoe UI" w:cs="Segoe UI"/>
          <w:sz w:val="18"/>
          <w:szCs w:val="18"/>
        </w:rPr>
      </w:pPr>
      <w:r>
        <w:rPr>
          <w:rFonts w:ascii="Arial" w:hAnsi="Arial" w:cs="Arial"/>
        </w:rPr>
        <w:t xml:space="preserve">Applicants are encouraged to pay close attention to the content of this </w:t>
      </w:r>
      <w:r w:rsidR="00AB4D88">
        <w:rPr>
          <w:rFonts w:ascii="Arial" w:hAnsi="Arial" w:cs="Arial"/>
        </w:rPr>
        <w:t>c</w:t>
      </w:r>
      <w:r>
        <w:rPr>
          <w:rFonts w:ascii="Arial" w:hAnsi="Arial" w:cs="Arial"/>
        </w:rPr>
        <w:t>all document</w:t>
      </w:r>
      <w:r w:rsidR="00FD1702">
        <w:rPr>
          <w:rFonts w:ascii="Arial" w:hAnsi="Arial" w:cs="Arial"/>
        </w:rPr>
        <w:t xml:space="preserve">, </w:t>
      </w:r>
      <w:r>
        <w:rPr>
          <w:rFonts w:ascii="Arial" w:hAnsi="Arial" w:cs="Arial"/>
        </w:rPr>
        <w:t xml:space="preserve">including </w:t>
      </w:r>
      <w:r w:rsidR="00AB4D88">
        <w:rPr>
          <w:rFonts w:ascii="Arial" w:hAnsi="Arial" w:cs="Arial"/>
        </w:rPr>
        <w:t xml:space="preserve">specific requirements and priorities.  </w:t>
      </w:r>
    </w:p>
    <w:p w14:paraId="1A967D7F" w14:textId="77777777" w:rsidR="00AB4D88" w:rsidRPr="00AB4D88" w:rsidRDefault="00AB4D88" w:rsidP="00CA6C6D">
      <w:pPr>
        <w:spacing w:after="0" w:line="240" w:lineRule="auto"/>
        <w:textAlignment w:val="baseline"/>
        <w:rPr>
          <w:rFonts w:ascii="Segoe UI" w:eastAsia="Times New Roman" w:hAnsi="Segoe UI" w:cs="Segoe UI"/>
          <w:sz w:val="18"/>
          <w:szCs w:val="18"/>
          <w:lang w:eastAsia="en-GB"/>
        </w:rPr>
      </w:pPr>
      <w:r w:rsidRPr="00AB4D88">
        <w:rPr>
          <w:rFonts w:ascii="Arial" w:eastAsia="Times New Roman" w:hAnsi="Arial" w:cs="Arial"/>
          <w:sz w:val="24"/>
          <w:szCs w:val="24"/>
          <w:lang w:eastAsia="en-GB"/>
        </w:rPr>
        <w:t> </w:t>
      </w:r>
    </w:p>
    <w:p w14:paraId="25B3E9D5" w14:textId="77777777" w:rsidR="00A71F7B" w:rsidRPr="00CE68F9" w:rsidRDefault="00A71F7B" w:rsidP="00057DCD">
      <w:pPr>
        <w:pStyle w:val="Heading1"/>
        <w:numPr>
          <w:ilvl w:val="0"/>
          <w:numId w:val="45"/>
        </w:numPr>
        <w:spacing w:before="0" w:line="240" w:lineRule="auto"/>
        <w:ind w:left="567" w:hanging="567"/>
      </w:pPr>
      <w:bookmarkStart w:id="2" w:name="_Toc82606823"/>
      <w:r w:rsidRPr="00CE68F9">
        <w:t>Background &amp; Strategic Context</w:t>
      </w:r>
      <w:bookmarkEnd w:id="2"/>
    </w:p>
    <w:p w14:paraId="6325E958" w14:textId="77777777" w:rsidR="008E1387" w:rsidRPr="00CE68F9" w:rsidRDefault="008E1387" w:rsidP="00CA6C6D">
      <w:pPr>
        <w:spacing w:after="0" w:line="240" w:lineRule="auto"/>
        <w:contextualSpacing/>
        <w:jc w:val="both"/>
        <w:rPr>
          <w:rFonts w:ascii="Arial" w:eastAsia="Calibri" w:hAnsi="Arial" w:cs="Arial"/>
          <w:sz w:val="24"/>
          <w:szCs w:val="24"/>
          <w:highlight w:val="cyan"/>
          <w:lang w:val="en"/>
        </w:rPr>
      </w:pPr>
    </w:p>
    <w:p w14:paraId="40F25EC5" w14:textId="7A0C1AC8" w:rsidR="00592AD8" w:rsidRPr="00BF0349" w:rsidRDefault="00592AD8" w:rsidP="00586945">
      <w:pPr>
        <w:shd w:val="clear" w:color="auto" w:fill="FFFFFF"/>
        <w:spacing w:after="0" w:line="240" w:lineRule="auto"/>
        <w:rPr>
          <w:rFonts w:ascii="Arial" w:eastAsia="Times New Roman" w:hAnsi="Arial" w:cs="Arial"/>
          <w:sz w:val="24"/>
          <w:szCs w:val="24"/>
          <w:lang w:eastAsia="en-GB"/>
        </w:rPr>
      </w:pPr>
      <w:r w:rsidRPr="00E04993">
        <w:rPr>
          <w:rFonts w:ascii="Arial" w:eastAsia="Times New Roman" w:hAnsi="Arial" w:cs="Arial"/>
          <w:sz w:val="24"/>
          <w:szCs w:val="24"/>
          <w:lang w:eastAsia="en-GB"/>
        </w:rPr>
        <w:t>Energy and low carbon are a key pri</w:t>
      </w:r>
      <w:r w:rsidRPr="00E04993">
        <w:rPr>
          <w:rFonts w:ascii="Arial" w:eastAsia="Times New Roman" w:hAnsi="Arial" w:cs="Arial"/>
          <w:sz w:val="24"/>
          <w:szCs w:val="24"/>
          <w:lang w:eastAsia="en-GB"/>
        </w:rPr>
        <w:softHyphen/>
        <w:t xml:space="preserve">ority in the </w:t>
      </w:r>
      <w:hyperlink r:id="rId13" w:history="1">
        <w:r w:rsidR="00BF0349" w:rsidRPr="00BF0349">
          <w:rPr>
            <w:rStyle w:val="Hyperlink"/>
            <w:rFonts w:ascii="Arial" w:hAnsi="Arial" w:cs="Arial"/>
            <w:sz w:val="24"/>
            <w:szCs w:val="24"/>
          </w:rPr>
          <w:t>North of Tyne Devolution Deal</w:t>
        </w:r>
      </w:hyperlink>
      <w:r w:rsidRPr="00E04993">
        <w:rPr>
          <w:rFonts w:ascii="Arial" w:eastAsia="Times New Roman" w:hAnsi="Arial" w:cs="Arial"/>
          <w:sz w:val="24"/>
          <w:szCs w:val="24"/>
          <w:lang w:eastAsia="en-GB"/>
        </w:rPr>
        <w:t>, highlighting our commitment to work with partners and the government to take forward our considerable ambitions around low carbon energy, creating low carbon projects and services which align to national and local policy.</w:t>
      </w:r>
    </w:p>
    <w:p w14:paraId="173B7380" w14:textId="77777777" w:rsidR="00BF0349" w:rsidRDefault="00BF0349" w:rsidP="00586945">
      <w:pPr>
        <w:shd w:val="clear" w:color="auto" w:fill="FFFFFF"/>
        <w:spacing w:after="0" w:line="240" w:lineRule="auto"/>
        <w:rPr>
          <w:rFonts w:ascii="Arial" w:eastAsia="Times New Roman" w:hAnsi="Arial" w:cs="Arial"/>
          <w:sz w:val="24"/>
          <w:szCs w:val="24"/>
          <w:lang w:eastAsia="en-GB"/>
        </w:rPr>
      </w:pPr>
    </w:p>
    <w:p w14:paraId="3E95DF41" w14:textId="6C3187EF" w:rsidR="006053AE" w:rsidRDefault="006053AE" w:rsidP="00586945">
      <w:pPr>
        <w:pStyle w:val="Default"/>
        <w:rPr>
          <w:color w:val="080F21"/>
          <w:sz w:val="30"/>
          <w:szCs w:val="30"/>
        </w:rPr>
      </w:pPr>
      <w:r>
        <w:t xml:space="preserve">In the </w:t>
      </w:r>
      <w:hyperlink r:id="rId14" w:history="1">
        <w:r w:rsidR="0014286F">
          <w:rPr>
            <w:rStyle w:val="Hyperlink"/>
          </w:rPr>
          <w:t>North of Tyne Corporate Plan 2021-2022 - 'Jobs, Skills and A Post-COVID Economy'</w:t>
        </w:r>
      </w:hyperlink>
      <w:r w:rsidR="0014286F">
        <w:t xml:space="preserve"> </w:t>
      </w:r>
      <w:r>
        <w:t>sustainable and low carbon futures is identified as an important priority</w:t>
      </w:r>
      <w:r w:rsidR="0014286F">
        <w:t>.</w:t>
      </w:r>
      <w:r>
        <w:t xml:space="preserve"> The Mayor’s Manifesto has made clean growth and climate change a high priority – citing both the economic and wider societal benefits of acting early and at scale.</w:t>
      </w:r>
    </w:p>
    <w:p w14:paraId="385124C4" w14:textId="77777777" w:rsidR="00BF0349" w:rsidRPr="00BF0349" w:rsidRDefault="00BF0349" w:rsidP="00586945">
      <w:pPr>
        <w:autoSpaceDE w:val="0"/>
        <w:autoSpaceDN w:val="0"/>
        <w:adjustRightInd w:val="0"/>
        <w:spacing w:after="0" w:line="240" w:lineRule="auto"/>
        <w:rPr>
          <w:rFonts w:ascii="Arial" w:hAnsi="Arial" w:cs="Arial"/>
          <w:color w:val="000000"/>
          <w:sz w:val="24"/>
          <w:szCs w:val="24"/>
        </w:rPr>
      </w:pPr>
    </w:p>
    <w:p w14:paraId="1BFC4C5F" w14:textId="5B3B5352" w:rsidR="00BF0349" w:rsidRDefault="00BF0349" w:rsidP="00586945">
      <w:pPr>
        <w:autoSpaceDE w:val="0"/>
        <w:autoSpaceDN w:val="0"/>
        <w:adjustRightInd w:val="0"/>
        <w:spacing w:after="0" w:line="240" w:lineRule="auto"/>
        <w:rPr>
          <w:rFonts w:ascii="Arial" w:hAnsi="Arial" w:cs="Arial"/>
          <w:color w:val="000000"/>
          <w:sz w:val="24"/>
          <w:szCs w:val="24"/>
        </w:rPr>
      </w:pPr>
      <w:r w:rsidRPr="00BF0349">
        <w:rPr>
          <w:rFonts w:ascii="Arial" w:hAnsi="Arial" w:cs="Arial"/>
          <w:color w:val="000000"/>
          <w:sz w:val="24"/>
          <w:szCs w:val="24"/>
        </w:rPr>
        <w:t xml:space="preserve">NTCA and its three constituent Local Authorities all declared a climate emergency in 2019 and recognise the significant opportunity green economic growth and good green job creation represents for the region. Newcastle City Council, North Tyneside Council and Northumberland County Council all have ambitious carbon reduction targets for their local areas, and all have approved climate emergency plans. </w:t>
      </w:r>
    </w:p>
    <w:p w14:paraId="437C6D93" w14:textId="77777777" w:rsidR="00FD1702" w:rsidRPr="00BF0349" w:rsidRDefault="00FD1702" w:rsidP="00586945">
      <w:pPr>
        <w:autoSpaceDE w:val="0"/>
        <w:autoSpaceDN w:val="0"/>
        <w:adjustRightInd w:val="0"/>
        <w:spacing w:after="0" w:line="240" w:lineRule="auto"/>
        <w:rPr>
          <w:rFonts w:ascii="Arial" w:hAnsi="Arial" w:cs="Arial"/>
          <w:color w:val="000000"/>
          <w:sz w:val="24"/>
          <w:szCs w:val="24"/>
        </w:rPr>
      </w:pPr>
    </w:p>
    <w:p w14:paraId="5731C9A2" w14:textId="40C747F6" w:rsidR="00FD1702" w:rsidRDefault="00D913FF" w:rsidP="00586945">
      <w:pPr>
        <w:shd w:val="clear" w:color="auto" w:fill="FFFFFF"/>
        <w:spacing w:after="0" w:line="240" w:lineRule="auto"/>
        <w:rPr>
          <w:rFonts w:ascii="Arial" w:eastAsia="Times New Roman" w:hAnsi="Arial" w:cs="Arial"/>
          <w:sz w:val="24"/>
          <w:szCs w:val="24"/>
          <w:lang w:eastAsia="en-GB"/>
        </w:rPr>
      </w:pPr>
      <w:r w:rsidRPr="00FD1702">
        <w:rPr>
          <w:rFonts w:ascii="Arial" w:eastAsia="Batang" w:hAnsi="Arial" w:cs="Arial"/>
          <w:sz w:val="24"/>
          <w:szCs w:val="24"/>
        </w:rPr>
        <w:t>Since March 2020, NTCA has worked collaboratively with the constituent Local Authorities and wider regional stakeholders in delivering a bold programme of activity detailed in NTCA’s Energy, Green Growth and Climate Change Blueprint.   This blueprint set</w:t>
      </w:r>
      <w:r w:rsidR="00D16B1F">
        <w:rPr>
          <w:rFonts w:ascii="Arial" w:eastAsia="Batang" w:hAnsi="Arial" w:cs="Arial"/>
          <w:sz w:val="24"/>
          <w:szCs w:val="24"/>
        </w:rPr>
        <w:t>s</w:t>
      </w:r>
      <w:r w:rsidRPr="00FD1702">
        <w:rPr>
          <w:rFonts w:ascii="Arial" w:eastAsia="Batang" w:hAnsi="Arial" w:cs="Arial"/>
          <w:sz w:val="24"/>
          <w:szCs w:val="24"/>
        </w:rPr>
        <w:t xml:space="preserve"> out our goal to create the conditions for radical innovation across our industries and public services </w:t>
      </w:r>
      <w:r w:rsidR="00FD1702" w:rsidRPr="00E04993">
        <w:rPr>
          <w:rFonts w:ascii="Arial" w:eastAsia="Times New Roman" w:hAnsi="Arial" w:cs="Arial"/>
          <w:sz w:val="24"/>
          <w:szCs w:val="24"/>
          <w:lang w:eastAsia="en-GB"/>
        </w:rPr>
        <w:t>supporting collaborative interventions that stimulate the market to create jobs and growth.</w:t>
      </w:r>
    </w:p>
    <w:p w14:paraId="6A43FEBA" w14:textId="4D902480" w:rsidR="00AB59DC" w:rsidRDefault="00AB59DC" w:rsidP="00FD1702">
      <w:pPr>
        <w:shd w:val="clear" w:color="auto" w:fill="FFFFFF"/>
        <w:spacing w:after="0" w:line="240" w:lineRule="auto"/>
        <w:rPr>
          <w:rFonts w:ascii="Arial" w:eastAsia="Times New Roman" w:hAnsi="Arial" w:cs="Arial"/>
          <w:sz w:val="24"/>
          <w:szCs w:val="24"/>
          <w:lang w:eastAsia="en-GB"/>
        </w:rPr>
      </w:pPr>
    </w:p>
    <w:p w14:paraId="7881E36B" w14:textId="544FA043" w:rsidR="004E653A" w:rsidRPr="00BD699B" w:rsidRDefault="00E521A6" w:rsidP="00586945">
      <w:pPr>
        <w:autoSpaceDE w:val="0"/>
        <w:autoSpaceDN w:val="0"/>
        <w:adjustRightInd w:val="0"/>
        <w:spacing w:after="0" w:line="240" w:lineRule="auto"/>
        <w:rPr>
          <w:rFonts w:ascii="Arial" w:hAnsi="Arial" w:cs="Arial"/>
          <w:color w:val="000000"/>
          <w:sz w:val="24"/>
          <w:szCs w:val="24"/>
        </w:rPr>
      </w:pPr>
      <w:r w:rsidRPr="004E653A">
        <w:rPr>
          <w:rFonts w:ascii="Arial" w:hAnsi="Arial" w:cs="Arial"/>
          <w:sz w:val="24"/>
          <w:szCs w:val="24"/>
        </w:rPr>
        <w:t xml:space="preserve">The NTCA has a convening role – enabling conversations between citizens, </w:t>
      </w:r>
      <w:proofErr w:type="gramStart"/>
      <w:r w:rsidR="00EF0D6E" w:rsidRPr="004E653A">
        <w:rPr>
          <w:rFonts w:ascii="Arial" w:hAnsi="Arial" w:cs="Arial"/>
          <w:sz w:val="24"/>
          <w:szCs w:val="24"/>
        </w:rPr>
        <w:t>communities</w:t>
      </w:r>
      <w:proofErr w:type="gramEnd"/>
      <w:r w:rsidRPr="004E653A">
        <w:rPr>
          <w:rFonts w:ascii="Arial" w:hAnsi="Arial" w:cs="Arial"/>
          <w:sz w:val="24"/>
          <w:szCs w:val="24"/>
        </w:rPr>
        <w:t xml:space="preserve"> and sectors about the type of economy and society they want in the future, and what can collectively be done make it happen.   On th</w:t>
      </w:r>
      <w:r w:rsidR="004E653A">
        <w:rPr>
          <w:rFonts w:ascii="Arial" w:hAnsi="Arial" w:cs="Arial"/>
          <w:sz w:val="24"/>
          <w:szCs w:val="24"/>
        </w:rPr>
        <w:t>at</w:t>
      </w:r>
      <w:r w:rsidRPr="004E653A">
        <w:rPr>
          <w:rFonts w:ascii="Arial" w:hAnsi="Arial" w:cs="Arial"/>
          <w:sz w:val="24"/>
          <w:szCs w:val="24"/>
        </w:rPr>
        <w:t xml:space="preserve"> basis, funding was </w:t>
      </w:r>
      <w:r w:rsidR="004E653A" w:rsidRPr="004E653A">
        <w:rPr>
          <w:rFonts w:ascii="Arial" w:hAnsi="Arial" w:cs="Arial"/>
          <w:sz w:val="24"/>
          <w:szCs w:val="24"/>
        </w:rPr>
        <w:t xml:space="preserve">made available </w:t>
      </w:r>
      <w:r w:rsidRPr="004E653A">
        <w:rPr>
          <w:rFonts w:ascii="Arial" w:hAnsi="Arial" w:cs="Arial"/>
          <w:sz w:val="24"/>
          <w:szCs w:val="24"/>
        </w:rPr>
        <w:t>t</w:t>
      </w:r>
      <w:r w:rsidR="00B66EA4" w:rsidRPr="00B66EA4">
        <w:rPr>
          <w:rFonts w:ascii="Arial" w:hAnsi="Arial" w:cs="Arial"/>
          <w:color w:val="000000"/>
          <w:sz w:val="24"/>
          <w:szCs w:val="24"/>
        </w:rPr>
        <w:t>o deliver a Citizens’ Assembly on Climate Change. This provided a</w:t>
      </w:r>
      <w:r w:rsidR="00EF0D6E">
        <w:rPr>
          <w:rFonts w:ascii="Arial" w:hAnsi="Arial" w:cs="Arial"/>
          <w:color w:val="000000"/>
          <w:sz w:val="24"/>
          <w:szCs w:val="24"/>
        </w:rPr>
        <w:t>n</w:t>
      </w:r>
      <w:r w:rsidR="00B66EA4" w:rsidRPr="00B66EA4">
        <w:rPr>
          <w:rFonts w:ascii="Arial" w:hAnsi="Arial" w:cs="Arial"/>
          <w:color w:val="000000"/>
          <w:sz w:val="24"/>
          <w:szCs w:val="24"/>
        </w:rPr>
        <w:t xml:space="preserve"> opportunity to hear the views of our citizens about the type of economy and society they want in the future, and what we can collectively do to make this happen - building upon existing Local Authority consultations and engagement. </w:t>
      </w:r>
      <w:r w:rsidR="00BD699B" w:rsidRPr="00BD699B">
        <w:rPr>
          <w:rFonts w:ascii="Arial" w:hAnsi="Arial" w:cs="Arial"/>
          <w:sz w:val="24"/>
          <w:szCs w:val="24"/>
        </w:rPr>
        <w:t xml:space="preserve">The comprehensive recommendations of the Citizens’ Assembly are detailed in the full </w:t>
      </w:r>
      <w:hyperlink r:id="rId15" w:history="1">
        <w:r w:rsidR="00BD699B" w:rsidRPr="00BD699B">
          <w:rPr>
            <w:rStyle w:val="Hyperlink"/>
            <w:rFonts w:ascii="Arial" w:hAnsi="Arial" w:cs="Arial"/>
            <w:sz w:val="24"/>
            <w:szCs w:val="24"/>
          </w:rPr>
          <w:t>Citizens Assembly Report</w:t>
        </w:r>
      </w:hyperlink>
      <w:r w:rsidR="00BD699B" w:rsidRPr="00BD699B">
        <w:rPr>
          <w:rFonts w:ascii="Arial" w:hAnsi="Arial" w:cs="Arial"/>
          <w:sz w:val="24"/>
          <w:szCs w:val="24"/>
        </w:rPr>
        <w:t xml:space="preserve">.  </w:t>
      </w:r>
    </w:p>
    <w:p w14:paraId="7357B2EB" w14:textId="68959AD5" w:rsidR="00B66EA4" w:rsidRPr="00B66EA4" w:rsidRDefault="00B66EA4" w:rsidP="00586945">
      <w:pPr>
        <w:autoSpaceDE w:val="0"/>
        <w:autoSpaceDN w:val="0"/>
        <w:adjustRightInd w:val="0"/>
        <w:spacing w:after="0" w:line="240" w:lineRule="auto"/>
        <w:rPr>
          <w:rFonts w:ascii="Arial" w:hAnsi="Arial" w:cs="Arial"/>
          <w:color w:val="000000"/>
        </w:rPr>
      </w:pPr>
    </w:p>
    <w:p w14:paraId="2DD510CD" w14:textId="447EA37B" w:rsidR="00AB59DC" w:rsidRPr="004E653A" w:rsidRDefault="00B66EA4" w:rsidP="00586945">
      <w:pPr>
        <w:shd w:val="clear" w:color="auto" w:fill="FFFFFF"/>
        <w:spacing w:after="0" w:line="240" w:lineRule="auto"/>
        <w:rPr>
          <w:rFonts w:ascii="Arial" w:eastAsia="Times New Roman" w:hAnsi="Arial" w:cs="Arial"/>
          <w:sz w:val="24"/>
          <w:szCs w:val="24"/>
          <w:lang w:eastAsia="en-GB"/>
        </w:rPr>
      </w:pPr>
      <w:r w:rsidRPr="004E653A">
        <w:rPr>
          <w:rFonts w:ascii="Arial" w:hAnsi="Arial" w:cs="Arial"/>
          <w:sz w:val="24"/>
          <w:szCs w:val="24"/>
        </w:rPr>
        <w:lastRenderedPageBreak/>
        <w:t>Through investment, convening and working</w:t>
      </w:r>
      <w:r w:rsidR="004E653A" w:rsidRPr="004E653A">
        <w:rPr>
          <w:rFonts w:ascii="Arial" w:hAnsi="Arial" w:cs="Arial"/>
          <w:sz w:val="24"/>
          <w:szCs w:val="24"/>
        </w:rPr>
        <w:t xml:space="preserve"> collaboratively </w:t>
      </w:r>
      <w:r w:rsidR="004E653A" w:rsidRPr="00B66EA4">
        <w:rPr>
          <w:rFonts w:ascii="Arial" w:hAnsi="Arial" w:cs="Arial"/>
          <w:color w:val="000000"/>
          <w:sz w:val="24"/>
          <w:szCs w:val="24"/>
        </w:rPr>
        <w:t>with the three constituent Local Authorities and wider regional stakeholders including the North East LEP</w:t>
      </w:r>
      <w:r w:rsidRPr="004E653A">
        <w:rPr>
          <w:rFonts w:ascii="Arial" w:hAnsi="Arial" w:cs="Arial"/>
          <w:sz w:val="24"/>
          <w:szCs w:val="24"/>
        </w:rPr>
        <w:t>, we can ensure this region leads the transition to net zero; and that we embed the voice of citizens, business and society in the way we do this – themes which were developed further in the recent Green Economy Summit, hosted by Newcastle University and the North of Tyne Combined Authority.</w:t>
      </w:r>
    </w:p>
    <w:p w14:paraId="1848C28E" w14:textId="77777777" w:rsidR="00FD1702" w:rsidRPr="00E04993" w:rsidRDefault="00FD1702" w:rsidP="00CA6C6D">
      <w:pPr>
        <w:shd w:val="clear" w:color="auto" w:fill="FFFFFF"/>
        <w:spacing w:after="0" w:line="240" w:lineRule="auto"/>
        <w:rPr>
          <w:rFonts w:ascii="Arial" w:eastAsia="Times New Roman" w:hAnsi="Arial" w:cs="Arial"/>
          <w:sz w:val="24"/>
          <w:szCs w:val="24"/>
          <w:lang w:eastAsia="en-GB"/>
        </w:rPr>
      </w:pPr>
    </w:p>
    <w:p w14:paraId="3059AC36" w14:textId="11855E0C" w:rsidR="00D913FF" w:rsidRPr="004E653A" w:rsidRDefault="00D913FF" w:rsidP="00CA6C6D">
      <w:pPr>
        <w:shd w:val="clear" w:color="auto" w:fill="FFFFFF"/>
        <w:spacing w:after="0" w:line="240" w:lineRule="auto"/>
        <w:rPr>
          <w:rFonts w:ascii="Arial" w:eastAsia="Times New Roman" w:hAnsi="Arial" w:cs="Arial"/>
          <w:sz w:val="24"/>
          <w:szCs w:val="24"/>
          <w:lang w:eastAsia="en-GB"/>
        </w:rPr>
      </w:pPr>
      <w:r w:rsidRPr="00E04993">
        <w:rPr>
          <w:rFonts w:ascii="Arial" w:eastAsia="Times New Roman" w:hAnsi="Arial" w:cs="Arial"/>
          <w:sz w:val="24"/>
          <w:szCs w:val="24"/>
          <w:lang w:eastAsia="en-GB"/>
        </w:rPr>
        <w:t xml:space="preserve">The </w:t>
      </w:r>
      <w:r w:rsidR="00572746">
        <w:rPr>
          <w:rFonts w:ascii="Arial" w:eastAsia="Times New Roman" w:hAnsi="Arial" w:cs="Arial"/>
          <w:sz w:val="24"/>
          <w:szCs w:val="24"/>
          <w:lang w:eastAsia="en-GB"/>
        </w:rPr>
        <w:t xml:space="preserve">£2m </w:t>
      </w:r>
      <w:r w:rsidRPr="00E04993">
        <w:rPr>
          <w:rFonts w:ascii="Arial" w:eastAsia="Times New Roman" w:hAnsi="Arial" w:cs="Arial"/>
          <w:sz w:val="24"/>
          <w:szCs w:val="24"/>
          <w:lang w:eastAsia="en-GB"/>
        </w:rPr>
        <w:t>fund</w:t>
      </w:r>
      <w:r w:rsidRPr="004E653A">
        <w:rPr>
          <w:rFonts w:ascii="Arial" w:eastAsia="Times New Roman" w:hAnsi="Arial" w:cs="Arial"/>
          <w:sz w:val="24"/>
          <w:szCs w:val="24"/>
          <w:lang w:eastAsia="en-GB"/>
        </w:rPr>
        <w:t>ing</w:t>
      </w:r>
      <w:r w:rsidR="00572746">
        <w:rPr>
          <w:rFonts w:ascii="Arial" w:eastAsia="Times New Roman" w:hAnsi="Arial" w:cs="Arial"/>
          <w:sz w:val="24"/>
          <w:szCs w:val="24"/>
          <w:lang w:eastAsia="en-GB"/>
        </w:rPr>
        <w:t xml:space="preserve"> allocated to this</w:t>
      </w:r>
      <w:r w:rsidRPr="004E653A">
        <w:rPr>
          <w:rFonts w:ascii="Arial" w:eastAsia="Times New Roman" w:hAnsi="Arial" w:cs="Arial"/>
          <w:sz w:val="24"/>
          <w:szCs w:val="24"/>
          <w:lang w:eastAsia="en-GB"/>
        </w:rPr>
        <w:t xml:space="preserve"> </w:t>
      </w:r>
      <w:r w:rsidR="00F16CD6">
        <w:rPr>
          <w:rFonts w:ascii="Arial" w:eastAsia="Times New Roman" w:hAnsi="Arial" w:cs="Arial"/>
          <w:sz w:val="24"/>
          <w:szCs w:val="24"/>
          <w:lang w:eastAsia="en-GB"/>
        </w:rPr>
        <w:t>call f</w:t>
      </w:r>
      <w:r w:rsidRPr="00E04993">
        <w:rPr>
          <w:rFonts w:ascii="Arial" w:eastAsia="Times New Roman" w:hAnsi="Arial" w:cs="Arial"/>
          <w:sz w:val="24"/>
          <w:szCs w:val="24"/>
          <w:lang w:eastAsia="en-GB"/>
        </w:rPr>
        <w:t xml:space="preserve">orms part of </w:t>
      </w:r>
      <w:r w:rsidR="00FD1702" w:rsidRPr="004E653A">
        <w:rPr>
          <w:rFonts w:ascii="Arial" w:eastAsia="Times New Roman" w:hAnsi="Arial" w:cs="Arial"/>
          <w:sz w:val="24"/>
          <w:szCs w:val="24"/>
          <w:lang w:eastAsia="en-GB"/>
        </w:rPr>
        <w:t>our</w:t>
      </w:r>
      <w:r w:rsidRPr="00E04993">
        <w:rPr>
          <w:rFonts w:ascii="Arial" w:eastAsia="Times New Roman" w:hAnsi="Arial" w:cs="Arial"/>
          <w:sz w:val="24"/>
          <w:szCs w:val="24"/>
          <w:lang w:eastAsia="en-GB"/>
        </w:rPr>
        <w:t xml:space="preserve"> wider </w:t>
      </w:r>
      <w:r w:rsidR="00E4507B">
        <w:rPr>
          <w:rFonts w:ascii="Arial" w:eastAsia="Times New Roman" w:hAnsi="Arial" w:cs="Arial"/>
          <w:sz w:val="24"/>
          <w:szCs w:val="24"/>
          <w:lang w:eastAsia="en-GB"/>
        </w:rPr>
        <w:t xml:space="preserve">Skills for Growth fund </w:t>
      </w:r>
      <w:r w:rsidRPr="00E04993">
        <w:rPr>
          <w:rFonts w:ascii="Arial" w:eastAsia="Times New Roman" w:hAnsi="Arial" w:cs="Arial"/>
          <w:sz w:val="24"/>
          <w:szCs w:val="24"/>
          <w:lang w:eastAsia="en-GB"/>
        </w:rPr>
        <w:t>to grow our capacity as a region to build the skills base to support new job</w:t>
      </w:r>
      <w:r w:rsidR="00FD1702" w:rsidRPr="004E653A">
        <w:rPr>
          <w:rFonts w:ascii="Arial" w:eastAsia="Times New Roman" w:hAnsi="Arial" w:cs="Arial"/>
          <w:sz w:val="24"/>
          <w:szCs w:val="24"/>
          <w:lang w:eastAsia="en-GB"/>
        </w:rPr>
        <w:t xml:space="preserve"> opportunities</w:t>
      </w:r>
      <w:r w:rsidRPr="00E04993">
        <w:rPr>
          <w:rFonts w:ascii="Arial" w:eastAsia="Times New Roman" w:hAnsi="Arial" w:cs="Arial"/>
          <w:sz w:val="24"/>
          <w:szCs w:val="24"/>
          <w:lang w:eastAsia="en-GB"/>
        </w:rPr>
        <w:t xml:space="preserve"> and </w:t>
      </w:r>
      <w:r w:rsidR="00FD1702" w:rsidRPr="004E653A">
        <w:rPr>
          <w:rFonts w:ascii="Arial" w:eastAsia="Times New Roman" w:hAnsi="Arial" w:cs="Arial"/>
          <w:sz w:val="24"/>
          <w:szCs w:val="24"/>
          <w:lang w:eastAsia="en-GB"/>
        </w:rPr>
        <w:t xml:space="preserve">the </w:t>
      </w:r>
      <w:r w:rsidRPr="00E04993">
        <w:rPr>
          <w:rFonts w:ascii="Arial" w:eastAsia="Times New Roman" w:hAnsi="Arial" w:cs="Arial"/>
          <w:sz w:val="24"/>
          <w:szCs w:val="24"/>
          <w:lang w:eastAsia="en-GB"/>
        </w:rPr>
        <w:t>transition to cleaner ways of working.</w:t>
      </w:r>
    </w:p>
    <w:p w14:paraId="079C3D25" w14:textId="77777777" w:rsidR="00FD1702" w:rsidRPr="00E04993" w:rsidRDefault="00FD1702" w:rsidP="00CA6C6D">
      <w:pPr>
        <w:shd w:val="clear" w:color="auto" w:fill="FFFFFF"/>
        <w:spacing w:after="0" w:line="240" w:lineRule="auto"/>
        <w:rPr>
          <w:rFonts w:ascii="Arial" w:eastAsia="Times New Roman" w:hAnsi="Arial" w:cs="Arial"/>
          <w:sz w:val="24"/>
          <w:szCs w:val="24"/>
          <w:lang w:eastAsia="en-GB"/>
        </w:rPr>
      </w:pPr>
    </w:p>
    <w:p w14:paraId="03E30C3B" w14:textId="68F341B5" w:rsidR="00B83E59" w:rsidRPr="00F16CD6" w:rsidRDefault="00782330" w:rsidP="00057DCD">
      <w:pPr>
        <w:pStyle w:val="Heading1"/>
        <w:numPr>
          <w:ilvl w:val="0"/>
          <w:numId w:val="45"/>
        </w:numPr>
        <w:spacing w:before="0" w:line="240" w:lineRule="auto"/>
        <w:ind w:left="567" w:hanging="567"/>
        <w:rPr>
          <w:rFonts w:eastAsia="Batang"/>
        </w:rPr>
      </w:pPr>
      <w:bookmarkStart w:id="3" w:name="_Toc82606824"/>
      <w:r w:rsidRPr="00F16CD6">
        <w:rPr>
          <w:rFonts w:eastAsia="Batang"/>
        </w:rPr>
        <w:t>The Green Economy</w:t>
      </w:r>
      <w:bookmarkEnd w:id="3"/>
    </w:p>
    <w:p w14:paraId="572CBC5B" w14:textId="77777777" w:rsidR="00297041" w:rsidRDefault="00297041" w:rsidP="00CA6C6D">
      <w:pPr>
        <w:shd w:val="clear" w:color="auto" w:fill="FFFFFF"/>
        <w:spacing w:after="0" w:line="240" w:lineRule="auto"/>
        <w:rPr>
          <w:rFonts w:ascii="Arial" w:eastAsia="Batang" w:hAnsi="Arial" w:cs="Arial"/>
          <w:sz w:val="24"/>
          <w:szCs w:val="24"/>
        </w:rPr>
      </w:pPr>
    </w:p>
    <w:p w14:paraId="0168F67C" w14:textId="61A713E3" w:rsidR="00782330" w:rsidRPr="00401A05" w:rsidRDefault="00782330" w:rsidP="00CA6C6D">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 xml:space="preserve">The green economy is defined as one in which value and growth are maximised across the whole economy, while natural assets are managed sustainably.  Such an economy would be supported and enabled by a thriving low carbon and </w:t>
      </w:r>
      <w:r w:rsidR="00297041" w:rsidRPr="00401A05">
        <w:rPr>
          <w:rFonts w:ascii="Arial" w:hAnsi="Arial" w:cs="Arial"/>
          <w:sz w:val="24"/>
          <w:szCs w:val="24"/>
        </w:rPr>
        <w:t>e</w:t>
      </w:r>
      <w:r w:rsidRPr="00401A05">
        <w:rPr>
          <w:rFonts w:ascii="Arial" w:hAnsi="Arial" w:cs="Arial"/>
          <w:sz w:val="24"/>
          <w:szCs w:val="24"/>
        </w:rPr>
        <w:t>nvironmental goods and services sector. Environmental damage would be reduced, while energy security, resource efficiency and resilience to climate change would all be increased</w:t>
      </w:r>
      <w:r w:rsidR="001A15AA">
        <w:rPr>
          <w:rStyle w:val="FootnoteReference"/>
          <w:rFonts w:ascii="Arial" w:hAnsi="Arial" w:cs="Arial"/>
          <w:sz w:val="24"/>
          <w:szCs w:val="24"/>
        </w:rPr>
        <w:footnoteReference w:id="1"/>
      </w:r>
      <w:r w:rsidRPr="00401A05">
        <w:rPr>
          <w:rFonts w:ascii="Arial" w:hAnsi="Arial" w:cs="Arial"/>
          <w:sz w:val="24"/>
          <w:szCs w:val="24"/>
        </w:rPr>
        <w:t>.</w:t>
      </w:r>
    </w:p>
    <w:p w14:paraId="5845EB40" w14:textId="77777777" w:rsidR="00782330" w:rsidRPr="00401A05" w:rsidRDefault="00782330" w:rsidP="00586945">
      <w:pPr>
        <w:autoSpaceDE w:val="0"/>
        <w:autoSpaceDN w:val="0"/>
        <w:adjustRightInd w:val="0"/>
        <w:spacing w:after="0" w:line="240" w:lineRule="auto"/>
        <w:rPr>
          <w:rFonts w:ascii="Arial" w:hAnsi="Arial" w:cs="Arial"/>
          <w:sz w:val="24"/>
          <w:szCs w:val="24"/>
        </w:rPr>
      </w:pPr>
    </w:p>
    <w:p w14:paraId="70F2CC52" w14:textId="03482AD7" w:rsidR="009417DE" w:rsidRPr="00401A05" w:rsidRDefault="00297041" w:rsidP="0058694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 xml:space="preserve">Investment in the </w:t>
      </w:r>
      <w:r w:rsidR="00401A05" w:rsidRPr="00401A05">
        <w:rPr>
          <w:rFonts w:ascii="Arial" w:hAnsi="Arial" w:cs="Arial"/>
          <w:sz w:val="24"/>
          <w:szCs w:val="24"/>
        </w:rPr>
        <w:t>green</w:t>
      </w:r>
      <w:r w:rsidRPr="00401A05">
        <w:rPr>
          <w:rFonts w:ascii="Arial" w:hAnsi="Arial" w:cs="Arial"/>
          <w:sz w:val="24"/>
          <w:szCs w:val="24"/>
        </w:rPr>
        <w:t xml:space="preserve"> economy has increased in recent years driven by rising concern about climate change from scientists, policymakers, and activists, and a recognition of the economic opportunities that new technologies and services will provide. The booming green economy is recognised as a global megatrend that will develop over the coming years as the world comes together to tackle dangerous climate change.</w:t>
      </w:r>
    </w:p>
    <w:p w14:paraId="02A026B1" w14:textId="77777777" w:rsidR="00401A05" w:rsidRPr="009417DE" w:rsidRDefault="00401A05" w:rsidP="00586945">
      <w:pPr>
        <w:autoSpaceDE w:val="0"/>
        <w:autoSpaceDN w:val="0"/>
        <w:adjustRightInd w:val="0"/>
        <w:spacing w:after="0" w:line="240" w:lineRule="auto"/>
        <w:rPr>
          <w:rFonts w:ascii="Arial" w:hAnsi="Arial" w:cs="Arial"/>
          <w:color w:val="000000"/>
          <w:sz w:val="24"/>
          <w:szCs w:val="24"/>
        </w:rPr>
      </w:pPr>
    </w:p>
    <w:p w14:paraId="2D956C23" w14:textId="304A9DCF" w:rsidR="009417DE" w:rsidRPr="00401A05" w:rsidRDefault="009417DE" w:rsidP="00586945">
      <w:pPr>
        <w:autoSpaceDE w:val="0"/>
        <w:autoSpaceDN w:val="0"/>
        <w:adjustRightInd w:val="0"/>
        <w:spacing w:after="0" w:line="240" w:lineRule="auto"/>
        <w:rPr>
          <w:rFonts w:ascii="Arial" w:hAnsi="Arial" w:cs="Arial"/>
          <w:color w:val="000000"/>
          <w:sz w:val="24"/>
          <w:szCs w:val="24"/>
        </w:rPr>
      </w:pPr>
      <w:r w:rsidRPr="009417DE">
        <w:rPr>
          <w:rFonts w:ascii="Arial" w:hAnsi="Arial" w:cs="Arial"/>
          <w:color w:val="000000"/>
          <w:sz w:val="24"/>
          <w:szCs w:val="24"/>
        </w:rPr>
        <w:t>The UK Climate Change Act sets a legally binding target to achieve net zero greenhouse gas emissions across the UK economy by 2050</w:t>
      </w:r>
      <w:r w:rsidR="00401A05" w:rsidRPr="00401A05">
        <w:rPr>
          <w:rFonts w:ascii="Arial" w:hAnsi="Arial" w:cs="Arial"/>
          <w:color w:val="000000"/>
          <w:sz w:val="24"/>
          <w:szCs w:val="24"/>
        </w:rPr>
        <w:t xml:space="preserve">. </w:t>
      </w:r>
      <w:r w:rsidRPr="009417DE">
        <w:rPr>
          <w:rFonts w:ascii="Arial" w:hAnsi="Arial" w:cs="Arial"/>
          <w:color w:val="000000"/>
          <w:sz w:val="24"/>
          <w:szCs w:val="24"/>
        </w:rPr>
        <w:t xml:space="preserve"> In November, the UK will host the 26th UN Climate Change Conference of Parties (COP26) in Glasgow, where heads of state, climate experts and campaigners will come together to agree coordinated action to tackle climate change. </w:t>
      </w:r>
    </w:p>
    <w:p w14:paraId="3994D143" w14:textId="77777777" w:rsidR="00401A05" w:rsidRPr="009417DE" w:rsidRDefault="00401A05" w:rsidP="00586945">
      <w:pPr>
        <w:autoSpaceDE w:val="0"/>
        <w:autoSpaceDN w:val="0"/>
        <w:adjustRightInd w:val="0"/>
        <w:spacing w:after="0" w:line="240" w:lineRule="auto"/>
        <w:rPr>
          <w:rFonts w:ascii="Arial" w:hAnsi="Arial" w:cs="Arial"/>
          <w:color w:val="000000"/>
          <w:sz w:val="24"/>
          <w:szCs w:val="24"/>
        </w:rPr>
      </w:pPr>
    </w:p>
    <w:p w14:paraId="2BE677EF" w14:textId="2762512E" w:rsidR="00782330" w:rsidRPr="00401A05" w:rsidRDefault="00782330" w:rsidP="00CA6C6D">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Th</w:t>
      </w:r>
      <w:r w:rsidR="00401A05">
        <w:rPr>
          <w:rFonts w:ascii="Arial" w:hAnsi="Arial" w:cs="Arial"/>
          <w:sz w:val="24"/>
          <w:szCs w:val="24"/>
        </w:rPr>
        <w:t xml:space="preserve">e </w:t>
      </w:r>
      <w:r w:rsidRPr="00401A05">
        <w:rPr>
          <w:rFonts w:ascii="Arial" w:hAnsi="Arial" w:cs="Arial"/>
          <w:sz w:val="24"/>
          <w:szCs w:val="24"/>
        </w:rPr>
        <w:t>legal commitment to delivering net zero emissions by 2050 and ambitions for a green recovery not only requires policies to drive low carbon economic activity, but also investment in human capital and skills. The low carbon economy is predicted to grow four times faster than the rest of the economy over this decade</w:t>
      </w:r>
      <w:r w:rsidR="00401A05">
        <w:rPr>
          <w:rStyle w:val="FootnoteReference"/>
          <w:rFonts w:ascii="Arial" w:hAnsi="Arial" w:cs="Arial"/>
          <w:sz w:val="24"/>
          <w:szCs w:val="24"/>
        </w:rPr>
        <w:footnoteReference w:id="2"/>
      </w:r>
      <w:r w:rsidRPr="00401A05">
        <w:rPr>
          <w:rFonts w:ascii="Arial" w:hAnsi="Arial" w:cs="Arial"/>
          <w:sz w:val="24"/>
          <w:szCs w:val="24"/>
        </w:rPr>
        <w:t xml:space="preserve"> and the transition to this green economy provides a real opportunity for driving the economic recovery from the C</w:t>
      </w:r>
      <w:r w:rsidR="00401A05">
        <w:rPr>
          <w:rFonts w:ascii="Arial" w:hAnsi="Arial" w:cs="Arial"/>
          <w:sz w:val="24"/>
          <w:szCs w:val="24"/>
        </w:rPr>
        <w:t>OVID</w:t>
      </w:r>
      <w:r w:rsidRPr="00401A05">
        <w:rPr>
          <w:rFonts w:ascii="Arial" w:hAnsi="Arial" w:cs="Arial"/>
          <w:sz w:val="24"/>
          <w:szCs w:val="24"/>
        </w:rPr>
        <w:t xml:space="preserve">-19 crisis in the </w:t>
      </w:r>
      <w:r w:rsidR="00B82FEA">
        <w:rPr>
          <w:rFonts w:ascii="Arial" w:hAnsi="Arial" w:cs="Arial"/>
          <w:sz w:val="24"/>
          <w:szCs w:val="24"/>
        </w:rPr>
        <w:t>North of Tyne</w:t>
      </w:r>
      <w:r w:rsidR="00B82FEA" w:rsidRPr="00401A05">
        <w:rPr>
          <w:rFonts w:ascii="Arial" w:hAnsi="Arial" w:cs="Arial"/>
          <w:sz w:val="24"/>
          <w:szCs w:val="24"/>
        </w:rPr>
        <w:t xml:space="preserve"> </w:t>
      </w:r>
      <w:r w:rsidRPr="00401A05">
        <w:rPr>
          <w:rFonts w:ascii="Arial" w:hAnsi="Arial" w:cs="Arial"/>
          <w:sz w:val="24"/>
          <w:szCs w:val="24"/>
        </w:rPr>
        <w:t>region.</w:t>
      </w:r>
    </w:p>
    <w:p w14:paraId="275E96CB" w14:textId="77777777" w:rsidR="00782330" w:rsidRPr="00401A05" w:rsidRDefault="00782330" w:rsidP="00CA6C6D">
      <w:pPr>
        <w:autoSpaceDE w:val="0"/>
        <w:autoSpaceDN w:val="0"/>
        <w:adjustRightInd w:val="0"/>
        <w:spacing w:after="0" w:line="240" w:lineRule="auto"/>
        <w:rPr>
          <w:rFonts w:ascii="Arial" w:hAnsi="Arial" w:cs="Arial"/>
          <w:sz w:val="24"/>
          <w:szCs w:val="24"/>
        </w:rPr>
      </w:pPr>
    </w:p>
    <w:p w14:paraId="1B83BB30" w14:textId="28C860C0" w:rsidR="00C275E7" w:rsidRPr="00CA6C6D" w:rsidRDefault="00C275E7" w:rsidP="00057DCD">
      <w:pPr>
        <w:pStyle w:val="Heading1"/>
        <w:numPr>
          <w:ilvl w:val="0"/>
          <w:numId w:val="45"/>
        </w:numPr>
        <w:spacing w:before="0" w:line="240" w:lineRule="auto"/>
        <w:ind w:left="567" w:hanging="567"/>
      </w:pPr>
      <w:bookmarkStart w:id="4" w:name="_Toc82606825"/>
      <w:r w:rsidRPr="00CA6C6D">
        <w:t>Green Growth Skills</w:t>
      </w:r>
      <w:bookmarkEnd w:id="4"/>
      <w:r w:rsidRPr="00CA6C6D">
        <w:t xml:space="preserve"> </w:t>
      </w:r>
    </w:p>
    <w:p w14:paraId="2A347AB8" w14:textId="77777777" w:rsidR="00586945" w:rsidRPr="00C275E7" w:rsidRDefault="00586945" w:rsidP="00CA6C6D">
      <w:pPr>
        <w:pStyle w:val="ListParagraph"/>
        <w:autoSpaceDE w:val="0"/>
        <w:autoSpaceDN w:val="0"/>
        <w:adjustRightInd w:val="0"/>
        <w:spacing w:after="0" w:line="240" w:lineRule="auto"/>
        <w:ind w:left="360"/>
        <w:rPr>
          <w:rFonts w:ascii="Arial" w:hAnsi="Arial" w:cs="Arial"/>
          <w:color w:val="000000"/>
          <w:sz w:val="24"/>
          <w:szCs w:val="24"/>
        </w:rPr>
      </w:pPr>
    </w:p>
    <w:p w14:paraId="5CD6430A" w14:textId="3A54BDEF" w:rsidR="004E66B4" w:rsidRDefault="004E66B4" w:rsidP="00586945">
      <w:pPr>
        <w:autoSpaceDE w:val="0"/>
        <w:autoSpaceDN w:val="0"/>
        <w:adjustRightInd w:val="0"/>
        <w:spacing w:after="0" w:line="240" w:lineRule="auto"/>
        <w:rPr>
          <w:rFonts w:ascii="Arial" w:hAnsi="Arial" w:cs="Arial"/>
          <w:color w:val="000000"/>
          <w:sz w:val="24"/>
          <w:szCs w:val="24"/>
        </w:rPr>
      </w:pPr>
      <w:r w:rsidRPr="00C275E7">
        <w:rPr>
          <w:rFonts w:ascii="Arial" w:hAnsi="Arial" w:cs="Arial"/>
          <w:color w:val="000000"/>
          <w:sz w:val="24"/>
          <w:szCs w:val="24"/>
        </w:rPr>
        <w:t xml:space="preserve">It is widely acknowledged that the green economy has a huge, long term potential in terms of both environmental stability and financial growth. It is equally acknowledged that seizing these opportunities will present challenges during the transition phase to the government, </w:t>
      </w:r>
      <w:proofErr w:type="gramStart"/>
      <w:r w:rsidRPr="00C275E7">
        <w:rPr>
          <w:rFonts w:ascii="Arial" w:hAnsi="Arial" w:cs="Arial"/>
          <w:color w:val="000000"/>
          <w:sz w:val="24"/>
          <w:szCs w:val="24"/>
        </w:rPr>
        <w:t>businesses</w:t>
      </w:r>
      <w:proofErr w:type="gramEnd"/>
      <w:r w:rsidRPr="00C275E7">
        <w:rPr>
          <w:rFonts w:ascii="Arial" w:hAnsi="Arial" w:cs="Arial"/>
          <w:color w:val="000000"/>
          <w:sz w:val="24"/>
          <w:szCs w:val="24"/>
        </w:rPr>
        <w:t xml:space="preserve"> and all in the UK. One of these challenges is ensuring there is a workforce with the right skills so that business is in the strongest position possible to take advantage of opportunities in the future. </w:t>
      </w:r>
    </w:p>
    <w:p w14:paraId="6007528A" w14:textId="77777777" w:rsidR="00586945" w:rsidRPr="00C275E7" w:rsidRDefault="00586945" w:rsidP="00586945">
      <w:pPr>
        <w:autoSpaceDE w:val="0"/>
        <w:autoSpaceDN w:val="0"/>
        <w:adjustRightInd w:val="0"/>
        <w:spacing w:after="0" w:line="240" w:lineRule="auto"/>
        <w:rPr>
          <w:rFonts w:ascii="Arial" w:hAnsi="Arial" w:cs="Arial"/>
          <w:color w:val="000000"/>
          <w:sz w:val="24"/>
          <w:szCs w:val="24"/>
        </w:rPr>
      </w:pPr>
    </w:p>
    <w:p w14:paraId="65915879" w14:textId="094ED344" w:rsidR="00782330" w:rsidRPr="00401A05" w:rsidRDefault="00782330" w:rsidP="00401A0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Sectors will see a change in the profile of skills required and a significant potential to deliver new jobs</w:t>
      </w:r>
      <w:r w:rsidR="006305AD">
        <w:rPr>
          <w:rFonts w:ascii="Arial" w:hAnsi="Arial" w:cs="Arial"/>
          <w:sz w:val="24"/>
          <w:szCs w:val="24"/>
        </w:rPr>
        <w:t>, revised job roles/functions and upskilling of the existing workforce</w:t>
      </w:r>
      <w:r w:rsidRPr="00401A05">
        <w:rPr>
          <w:rFonts w:ascii="Arial" w:hAnsi="Arial" w:cs="Arial"/>
          <w:sz w:val="24"/>
          <w:szCs w:val="24"/>
        </w:rPr>
        <w:t xml:space="preserve">. Research by the Local Government Association has shown that in </w:t>
      </w:r>
      <w:r w:rsidR="00C275E7">
        <w:rPr>
          <w:rFonts w:ascii="Arial" w:hAnsi="Arial" w:cs="Arial"/>
          <w:sz w:val="24"/>
          <w:szCs w:val="24"/>
        </w:rPr>
        <w:t>our region</w:t>
      </w:r>
      <w:r w:rsidRPr="00401A05">
        <w:rPr>
          <w:rFonts w:ascii="Arial" w:hAnsi="Arial" w:cs="Arial"/>
          <w:sz w:val="24"/>
          <w:szCs w:val="24"/>
        </w:rPr>
        <w:t>, where many workers are specialists in power generation, storage and low</w:t>
      </w:r>
      <w:r w:rsidR="00AB59DC">
        <w:rPr>
          <w:rFonts w:ascii="Arial" w:hAnsi="Arial" w:cs="Arial"/>
          <w:sz w:val="24"/>
          <w:szCs w:val="24"/>
        </w:rPr>
        <w:t xml:space="preserve"> </w:t>
      </w:r>
      <w:r w:rsidRPr="00401A05">
        <w:rPr>
          <w:rFonts w:ascii="Arial" w:hAnsi="Arial" w:cs="Arial"/>
          <w:sz w:val="24"/>
          <w:szCs w:val="24"/>
        </w:rPr>
        <w:t xml:space="preserve">carbon technology and processes, the wind, nuclear, hydrogen and carbon capture and storage industries could create over 84,000 potential </w:t>
      </w:r>
      <w:r w:rsidRPr="00401A05">
        <w:rPr>
          <w:rFonts w:ascii="Arial" w:hAnsi="Arial" w:cs="Arial"/>
          <w:sz w:val="24"/>
          <w:szCs w:val="24"/>
        </w:rPr>
        <w:lastRenderedPageBreak/>
        <w:t>jobs by 2050</w:t>
      </w:r>
      <w:r w:rsidR="00AB59DC">
        <w:rPr>
          <w:rStyle w:val="FootnoteReference"/>
          <w:rFonts w:ascii="Arial" w:hAnsi="Arial" w:cs="Arial"/>
          <w:sz w:val="24"/>
          <w:szCs w:val="24"/>
        </w:rPr>
        <w:footnoteReference w:id="3"/>
      </w:r>
      <w:r w:rsidRPr="00401A05">
        <w:rPr>
          <w:rFonts w:ascii="Arial" w:hAnsi="Arial" w:cs="Arial"/>
          <w:sz w:val="24"/>
          <w:szCs w:val="24"/>
        </w:rPr>
        <w:t>. There is also huge potential for job creation through the low carbon transition in other sectors</w:t>
      </w:r>
      <w:r w:rsidR="00AB59DC">
        <w:rPr>
          <w:rFonts w:ascii="Arial" w:hAnsi="Arial" w:cs="Arial"/>
          <w:sz w:val="24"/>
          <w:szCs w:val="24"/>
        </w:rPr>
        <w:t xml:space="preserve"> </w:t>
      </w:r>
      <w:r w:rsidRPr="00401A05">
        <w:rPr>
          <w:rFonts w:ascii="Arial" w:hAnsi="Arial" w:cs="Arial"/>
          <w:sz w:val="24"/>
          <w:szCs w:val="24"/>
        </w:rPr>
        <w:t xml:space="preserve">of the economy including buildings, energy, manufacturing, transport and </w:t>
      </w:r>
      <w:r w:rsidR="00EF0D6E">
        <w:rPr>
          <w:rFonts w:ascii="Arial" w:hAnsi="Arial" w:cs="Arial"/>
          <w:sz w:val="24"/>
          <w:szCs w:val="24"/>
        </w:rPr>
        <w:t>digital</w:t>
      </w:r>
      <w:r w:rsidRPr="00401A05">
        <w:rPr>
          <w:rFonts w:ascii="Arial" w:hAnsi="Arial" w:cs="Arial"/>
          <w:sz w:val="24"/>
          <w:szCs w:val="24"/>
        </w:rPr>
        <w:t>.</w:t>
      </w:r>
    </w:p>
    <w:p w14:paraId="6DB663BD" w14:textId="77777777" w:rsidR="009417DE" w:rsidRPr="00401A05" w:rsidRDefault="009417DE" w:rsidP="00401A05">
      <w:pPr>
        <w:autoSpaceDE w:val="0"/>
        <w:autoSpaceDN w:val="0"/>
        <w:adjustRightInd w:val="0"/>
        <w:spacing w:after="0" w:line="240" w:lineRule="auto"/>
        <w:rPr>
          <w:rFonts w:ascii="Arial" w:hAnsi="Arial" w:cs="Arial"/>
          <w:sz w:val="24"/>
          <w:szCs w:val="24"/>
        </w:rPr>
      </w:pPr>
    </w:p>
    <w:p w14:paraId="033A6B27" w14:textId="1A5604ED" w:rsidR="00B83E59" w:rsidRDefault="00782330" w:rsidP="00401A0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These jobs will require a diverse range of skills and expertise to support the</w:t>
      </w:r>
      <w:r w:rsidR="009417DE" w:rsidRPr="00401A05">
        <w:rPr>
          <w:rFonts w:ascii="Arial" w:hAnsi="Arial" w:cs="Arial"/>
          <w:sz w:val="24"/>
          <w:szCs w:val="24"/>
        </w:rPr>
        <w:t xml:space="preserve"> </w:t>
      </w:r>
      <w:r w:rsidRPr="00401A05">
        <w:rPr>
          <w:rFonts w:ascii="Arial" w:hAnsi="Arial" w:cs="Arial"/>
          <w:sz w:val="24"/>
          <w:szCs w:val="24"/>
        </w:rPr>
        <w:t>production and deployment of clean technologies. Some of these jobs could involve</w:t>
      </w:r>
      <w:r w:rsidR="009417DE" w:rsidRPr="00401A05">
        <w:rPr>
          <w:rFonts w:ascii="Arial" w:hAnsi="Arial" w:cs="Arial"/>
          <w:sz w:val="24"/>
          <w:szCs w:val="24"/>
        </w:rPr>
        <w:t xml:space="preserve"> </w:t>
      </w:r>
      <w:r w:rsidRPr="00401A05">
        <w:rPr>
          <w:rFonts w:ascii="Arial" w:hAnsi="Arial" w:cs="Arial"/>
          <w:sz w:val="24"/>
          <w:szCs w:val="24"/>
        </w:rPr>
        <w:t>installing heat pumps, manufacturing wind turbines, engineers with renewable energy</w:t>
      </w:r>
      <w:r w:rsidR="00401A05">
        <w:rPr>
          <w:rFonts w:ascii="Arial" w:hAnsi="Arial" w:cs="Arial"/>
          <w:sz w:val="24"/>
          <w:szCs w:val="24"/>
        </w:rPr>
        <w:t xml:space="preserve"> </w:t>
      </w:r>
      <w:r w:rsidRPr="00401A05">
        <w:rPr>
          <w:rFonts w:ascii="Arial" w:hAnsi="Arial" w:cs="Arial"/>
          <w:sz w:val="24"/>
          <w:szCs w:val="24"/>
        </w:rPr>
        <w:t>skills and installers of electric vehicle (EV) charge points.</w:t>
      </w:r>
    </w:p>
    <w:p w14:paraId="7107AC65" w14:textId="4E6D96A7" w:rsidR="00401A05" w:rsidRDefault="00401A05" w:rsidP="00401A05">
      <w:pPr>
        <w:autoSpaceDE w:val="0"/>
        <w:autoSpaceDN w:val="0"/>
        <w:adjustRightInd w:val="0"/>
        <w:spacing w:after="0" w:line="240" w:lineRule="auto"/>
        <w:rPr>
          <w:rFonts w:ascii="Arial" w:hAnsi="Arial" w:cs="Arial"/>
          <w:sz w:val="24"/>
          <w:szCs w:val="24"/>
        </w:rPr>
      </w:pPr>
    </w:p>
    <w:p w14:paraId="23851DFF" w14:textId="0967DD4F" w:rsidR="00CD0AC4" w:rsidRPr="000F0D8B" w:rsidRDefault="00AB59DC" w:rsidP="00CD0AC4">
      <w:pPr>
        <w:autoSpaceDE w:val="0"/>
        <w:autoSpaceDN w:val="0"/>
        <w:adjustRightInd w:val="0"/>
        <w:spacing w:after="0" w:line="240" w:lineRule="auto"/>
        <w:rPr>
          <w:rFonts w:ascii="Arial" w:hAnsi="Arial" w:cs="Arial"/>
          <w:sz w:val="24"/>
          <w:szCs w:val="24"/>
        </w:rPr>
      </w:pPr>
      <w:r w:rsidRPr="00AB59DC">
        <w:rPr>
          <w:rFonts w:ascii="Arial" w:hAnsi="Arial" w:cs="Arial"/>
          <w:sz w:val="24"/>
          <w:szCs w:val="24"/>
        </w:rPr>
        <w:t xml:space="preserve">Skills gaps are already recognized as a major bottleneck in a number of sectors, such as renewable energy, energy and resource efficiency, renovation of buildings, construction, environmental </w:t>
      </w:r>
      <w:proofErr w:type="gramStart"/>
      <w:r w:rsidRPr="00AB59DC">
        <w:rPr>
          <w:rFonts w:ascii="Arial" w:hAnsi="Arial" w:cs="Arial"/>
          <w:sz w:val="24"/>
          <w:szCs w:val="24"/>
        </w:rPr>
        <w:t>services</w:t>
      </w:r>
      <w:proofErr w:type="gramEnd"/>
      <w:r w:rsidRPr="00AB59DC">
        <w:rPr>
          <w:rFonts w:ascii="Arial" w:hAnsi="Arial" w:cs="Arial"/>
          <w:sz w:val="24"/>
          <w:szCs w:val="24"/>
        </w:rPr>
        <w:t xml:space="preserve"> and manufacturing.    </w:t>
      </w:r>
      <w:r w:rsidR="00CD0AC4" w:rsidRPr="000F0D8B">
        <w:rPr>
          <w:rFonts w:ascii="Arial" w:hAnsi="Arial" w:cs="Arial"/>
          <w:sz w:val="24"/>
          <w:szCs w:val="24"/>
        </w:rPr>
        <w:t xml:space="preserve">The demand for </w:t>
      </w:r>
      <w:r w:rsidR="000F0D8B" w:rsidRPr="000F0D8B">
        <w:rPr>
          <w:rFonts w:ascii="Arial" w:hAnsi="Arial" w:cs="Arial"/>
          <w:sz w:val="24"/>
          <w:szCs w:val="24"/>
          <w:shd w:val="clear" w:color="auto" w:fill="FFFFFF"/>
        </w:rPr>
        <w:t>Science, Technology, Engineering, and Math (</w:t>
      </w:r>
      <w:r w:rsidR="00CD0AC4" w:rsidRPr="000F0D8B">
        <w:rPr>
          <w:rFonts w:ascii="Arial" w:hAnsi="Arial" w:cs="Arial"/>
          <w:sz w:val="24"/>
          <w:szCs w:val="24"/>
        </w:rPr>
        <w:t>STEM</w:t>
      </w:r>
      <w:r w:rsidR="000F0D8B" w:rsidRPr="000F0D8B">
        <w:rPr>
          <w:rFonts w:ascii="Arial" w:hAnsi="Arial" w:cs="Arial"/>
          <w:sz w:val="24"/>
          <w:szCs w:val="24"/>
        </w:rPr>
        <w:t>)</w:t>
      </w:r>
      <w:r w:rsidR="00CD0AC4" w:rsidRPr="000F0D8B">
        <w:rPr>
          <w:rFonts w:ascii="Arial" w:hAnsi="Arial" w:cs="Arial"/>
          <w:sz w:val="24"/>
          <w:szCs w:val="24"/>
        </w:rPr>
        <w:t xml:space="preserve"> skills in low carbon and environmental industries is expected to increase greatly over the next decade. In addition, low carbon and environmental sectors will have to compete for these STEM skills with other industries</w:t>
      </w:r>
      <w:r w:rsidR="00C275E7" w:rsidRPr="000F0D8B">
        <w:rPr>
          <w:rFonts w:ascii="Arial" w:hAnsi="Arial" w:cs="Arial"/>
          <w:sz w:val="24"/>
          <w:szCs w:val="24"/>
        </w:rPr>
        <w:t xml:space="preserve"> </w:t>
      </w:r>
      <w:r w:rsidR="00CD0AC4" w:rsidRPr="000F0D8B">
        <w:rPr>
          <w:rFonts w:ascii="Arial" w:hAnsi="Arial" w:cs="Arial"/>
          <w:sz w:val="24"/>
          <w:szCs w:val="24"/>
        </w:rPr>
        <w:t>and this will exacerbate the issue</w:t>
      </w:r>
      <w:r w:rsidR="00C275E7" w:rsidRPr="000F0D8B">
        <w:rPr>
          <w:rFonts w:ascii="Arial" w:hAnsi="Arial" w:cs="Arial"/>
          <w:sz w:val="24"/>
          <w:szCs w:val="24"/>
        </w:rPr>
        <w:t>.</w:t>
      </w:r>
      <w:r w:rsidR="00CD0AC4" w:rsidRPr="000F0D8B">
        <w:rPr>
          <w:rFonts w:ascii="Arial" w:hAnsi="Arial" w:cs="Arial"/>
          <w:sz w:val="24"/>
          <w:szCs w:val="24"/>
        </w:rPr>
        <w:t xml:space="preserve"> </w:t>
      </w:r>
    </w:p>
    <w:p w14:paraId="3F89CAB6" w14:textId="77777777" w:rsidR="00CD0AC4" w:rsidRPr="000F0D8B" w:rsidRDefault="00CD0AC4" w:rsidP="000F0D8B">
      <w:pPr>
        <w:autoSpaceDE w:val="0"/>
        <w:autoSpaceDN w:val="0"/>
        <w:adjustRightInd w:val="0"/>
        <w:spacing w:after="0" w:line="240" w:lineRule="auto"/>
        <w:rPr>
          <w:rFonts w:ascii="Arial" w:hAnsi="Arial" w:cs="Arial"/>
          <w:sz w:val="24"/>
          <w:szCs w:val="24"/>
        </w:rPr>
      </w:pPr>
    </w:p>
    <w:p w14:paraId="3379BFBA" w14:textId="770E774B" w:rsidR="000F0D8B" w:rsidRPr="000F0D8B" w:rsidRDefault="000F0D8B" w:rsidP="000F0D8B">
      <w:pPr>
        <w:pStyle w:val="Default"/>
      </w:pPr>
      <w:r w:rsidRPr="000F0D8B">
        <w:t xml:space="preserve">A skilled workforce is necessary if we are fully to realise the opportunities a green economy offers and to support green growth. Clearly this means a focus on skills in environmental and low carbon industries, but that alone is not sufficient. A traditional manufacturing business for example must also be planning the processes and the skills it needs for operating in a more resource-efficient way, minimising carbon emissions and preparing for climate change. In fact, any business today – from a </w:t>
      </w:r>
      <w:r w:rsidR="00157331">
        <w:t>Small Medium Enterprise (SME) t</w:t>
      </w:r>
      <w:r w:rsidRPr="000F0D8B">
        <w:t xml:space="preserve">o </w:t>
      </w:r>
      <w:r w:rsidR="006305AD">
        <w:t xml:space="preserve">a large </w:t>
      </w:r>
      <w:r w:rsidRPr="000F0D8B">
        <w:t>business</w:t>
      </w:r>
      <w:r w:rsidR="006305AD">
        <w:t xml:space="preserve"> </w:t>
      </w:r>
      <w:r w:rsidRPr="000F0D8B">
        <w:t>should be thinking about the generic skills required to use resources efficiently and sustainably</w:t>
      </w:r>
      <w:r w:rsidR="006305AD">
        <w:t xml:space="preserve"> as well as what innovations, working practices and processes can be adopted to help green the business. </w:t>
      </w:r>
    </w:p>
    <w:p w14:paraId="6C7884B3" w14:textId="77777777" w:rsidR="000F0D8B" w:rsidRDefault="000F0D8B" w:rsidP="00F16CD6">
      <w:pPr>
        <w:autoSpaceDE w:val="0"/>
        <w:autoSpaceDN w:val="0"/>
        <w:adjustRightInd w:val="0"/>
        <w:spacing w:after="0" w:line="240" w:lineRule="auto"/>
        <w:rPr>
          <w:rFonts w:ascii="Arial" w:hAnsi="Arial" w:cs="Arial"/>
          <w:color w:val="000000"/>
          <w:sz w:val="24"/>
          <w:szCs w:val="24"/>
        </w:rPr>
      </w:pPr>
    </w:p>
    <w:p w14:paraId="014A8C04" w14:textId="18E02075" w:rsidR="00AB59DC" w:rsidRDefault="00AB59DC" w:rsidP="00F16CD6">
      <w:pPr>
        <w:autoSpaceDE w:val="0"/>
        <w:autoSpaceDN w:val="0"/>
        <w:adjustRightInd w:val="0"/>
        <w:spacing w:after="0" w:line="240" w:lineRule="auto"/>
        <w:rPr>
          <w:rFonts w:ascii="Arial" w:hAnsi="Arial" w:cs="Arial"/>
          <w:color w:val="000000"/>
          <w:sz w:val="24"/>
          <w:szCs w:val="24"/>
        </w:rPr>
      </w:pPr>
      <w:r w:rsidRPr="00AB59DC">
        <w:rPr>
          <w:rFonts w:ascii="Arial" w:hAnsi="Arial" w:cs="Arial"/>
          <w:color w:val="000000"/>
          <w:sz w:val="24"/>
          <w:szCs w:val="24"/>
        </w:rPr>
        <w:t>D</w:t>
      </w:r>
      <w:r w:rsidRPr="005B65E7">
        <w:rPr>
          <w:rFonts w:ascii="Arial" w:hAnsi="Arial" w:cs="Arial"/>
          <w:color w:val="000000"/>
          <w:sz w:val="24"/>
          <w:szCs w:val="24"/>
        </w:rPr>
        <w:t>eveloping the skills to support the</w:t>
      </w:r>
      <w:r w:rsidRPr="00AB59DC">
        <w:rPr>
          <w:rFonts w:ascii="Arial" w:hAnsi="Arial" w:cs="Arial"/>
          <w:color w:val="000000"/>
          <w:sz w:val="24"/>
          <w:szCs w:val="24"/>
        </w:rPr>
        <w:t>se</w:t>
      </w:r>
      <w:r w:rsidRPr="005B65E7">
        <w:rPr>
          <w:rFonts w:ascii="Arial" w:hAnsi="Arial" w:cs="Arial"/>
          <w:color w:val="000000"/>
          <w:sz w:val="24"/>
          <w:szCs w:val="24"/>
        </w:rPr>
        <w:t xml:space="preserve"> </w:t>
      </w:r>
      <w:r w:rsidRPr="00AB59DC">
        <w:rPr>
          <w:rFonts w:ascii="Arial" w:hAnsi="Arial" w:cs="Arial"/>
          <w:color w:val="000000"/>
          <w:sz w:val="24"/>
          <w:szCs w:val="24"/>
        </w:rPr>
        <w:t xml:space="preserve">sectors </w:t>
      </w:r>
      <w:r w:rsidRPr="005B65E7">
        <w:rPr>
          <w:rFonts w:ascii="Arial" w:hAnsi="Arial" w:cs="Arial"/>
          <w:color w:val="000000"/>
          <w:sz w:val="24"/>
          <w:szCs w:val="24"/>
        </w:rPr>
        <w:t xml:space="preserve">will </w:t>
      </w:r>
      <w:r w:rsidRPr="00AB59DC">
        <w:rPr>
          <w:rFonts w:ascii="Arial" w:hAnsi="Arial" w:cs="Arial"/>
          <w:color w:val="000000"/>
          <w:sz w:val="24"/>
          <w:szCs w:val="24"/>
        </w:rPr>
        <w:t xml:space="preserve">require </w:t>
      </w:r>
      <w:r w:rsidRPr="005B65E7">
        <w:rPr>
          <w:rFonts w:ascii="Arial" w:hAnsi="Arial" w:cs="Arial"/>
          <w:color w:val="000000"/>
          <w:sz w:val="24"/>
          <w:szCs w:val="24"/>
        </w:rPr>
        <w:t xml:space="preserve">close collaboration between businesses at the forefront of low carbon developments and education and training providers. Such collaboration will ensure that </w:t>
      </w:r>
      <w:r w:rsidR="00157331">
        <w:rPr>
          <w:rFonts w:ascii="Arial" w:hAnsi="Arial" w:cs="Arial"/>
          <w:color w:val="000000"/>
          <w:sz w:val="24"/>
          <w:szCs w:val="24"/>
        </w:rPr>
        <w:t>a ‘green</w:t>
      </w:r>
      <w:r w:rsidRPr="005B65E7">
        <w:rPr>
          <w:rFonts w:ascii="Arial" w:hAnsi="Arial" w:cs="Arial"/>
          <w:color w:val="000000"/>
          <w:sz w:val="24"/>
          <w:szCs w:val="24"/>
        </w:rPr>
        <w:t xml:space="preserve"> curriculum offer</w:t>
      </w:r>
      <w:r w:rsidR="00157331">
        <w:rPr>
          <w:rFonts w:ascii="Arial" w:hAnsi="Arial" w:cs="Arial"/>
          <w:color w:val="000000"/>
          <w:sz w:val="24"/>
          <w:szCs w:val="24"/>
        </w:rPr>
        <w:t>’</w:t>
      </w:r>
      <w:r w:rsidRPr="005B65E7">
        <w:rPr>
          <w:rFonts w:ascii="Arial" w:hAnsi="Arial" w:cs="Arial"/>
          <w:color w:val="000000"/>
          <w:sz w:val="24"/>
          <w:szCs w:val="24"/>
        </w:rPr>
        <w:t xml:space="preserve"> is designed and aligned to regional specialisms and identified need, and that the delivery capability and capacity exist</w:t>
      </w:r>
      <w:r w:rsidR="00CB06D0">
        <w:rPr>
          <w:rFonts w:ascii="Arial" w:hAnsi="Arial" w:cs="Arial"/>
          <w:color w:val="000000"/>
          <w:sz w:val="24"/>
          <w:szCs w:val="24"/>
        </w:rPr>
        <w:t>.</w:t>
      </w:r>
    </w:p>
    <w:p w14:paraId="74A70FEF" w14:textId="481B27B4" w:rsidR="00CB06D0" w:rsidRDefault="00CB06D0" w:rsidP="00CA6C6D">
      <w:pPr>
        <w:autoSpaceDE w:val="0"/>
        <w:autoSpaceDN w:val="0"/>
        <w:adjustRightInd w:val="0"/>
        <w:spacing w:after="0" w:line="240" w:lineRule="auto"/>
        <w:rPr>
          <w:rFonts w:ascii="Arial" w:hAnsi="Arial" w:cs="Arial"/>
          <w:color w:val="000000"/>
          <w:sz w:val="24"/>
          <w:szCs w:val="24"/>
        </w:rPr>
      </w:pPr>
    </w:p>
    <w:p w14:paraId="54CF032D" w14:textId="08F5FEE6" w:rsidR="00CB06D0" w:rsidRPr="00CA6C6D" w:rsidRDefault="00CB06D0" w:rsidP="00057DCD">
      <w:pPr>
        <w:pStyle w:val="Heading1"/>
        <w:numPr>
          <w:ilvl w:val="0"/>
          <w:numId w:val="45"/>
        </w:numPr>
        <w:spacing w:before="0" w:line="240" w:lineRule="auto"/>
        <w:ind w:left="567" w:hanging="567"/>
      </w:pPr>
      <w:bookmarkStart w:id="5" w:name="_Toc82606826"/>
      <w:r w:rsidRPr="00CA6C6D">
        <w:t>A Just Transition</w:t>
      </w:r>
      <w:bookmarkEnd w:id="5"/>
    </w:p>
    <w:p w14:paraId="52DF6F5D" w14:textId="60C0258A" w:rsidR="00CB06D0" w:rsidRDefault="00CB06D0" w:rsidP="00CA6C6D">
      <w:pPr>
        <w:autoSpaceDE w:val="0"/>
        <w:autoSpaceDN w:val="0"/>
        <w:adjustRightInd w:val="0"/>
        <w:spacing w:after="0" w:line="240" w:lineRule="auto"/>
        <w:rPr>
          <w:rFonts w:ascii="Arial" w:hAnsi="Arial" w:cs="Arial"/>
          <w:b/>
          <w:bCs/>
          <w:color w:val="000000"/>
          <w:sz w:val="24"/>
          <w:szCs w:val="24"/>
        </w:rPr>
      </w:pPr>
    </w:p>
    <w:p w14:paraId="3961CEB5" w14:textId="08D0DCFE" w:rsidR="00CB06D0" w:rsidRPr="00CB06D0" w:rsidRDefault="00CB06D0" w:rsidP="00CA6C6D">
      <w:pPr>
        <w:autoSpaceDE w:val="0"/>
        <w:autoSpaceDN w:val="0"/>
        <w:adjustRightInd w:val="0"/>
        <w:spacing w:after="0" w:line="240" w:lineRule="auto"/>
        <w:rPr>
          <w:rFonts w:ascii="Arial" w:hAnsi="Arial" w:cs="Arial"/>
          <w:sz w:val="24"/>
          <w:szCs w:val="24"/>
        </w:rPr>
      </w:pPr>
      <w:r w:rsidRPr="00CB06D0">
        <w:rPr>
          <w:rFonts w:ascii="Arial" w:hAnsi="Arial" w:cs="Arial"/>
          <w:sz w:val="24"/>
          <w:szCs w:val="24"/>
        </w:rPr>
        <w:t>A ‘just transition’ is rapidly emerging as an essential element in the successful transition to a resilient zero-carbon economy. The need for a just transition emerged from the recognition that jobs in carbon intensive sectors may be at risk from the transition to a low carbon economy.</w:t>
      </w:r>
    </w:p>
    <w:p w14:paraId="7DC40840" w14:textId="77777777" w:rsidR="00CB06D0" w:rsidRDefault="00CB06D0" w:rsidP="00CA6C6D">
      <w:pPr>
        <w:autoSpaceDE w:val="0"/>
        <w:autoSpaceDN w:val="0"/>
        <w:adjustRightInd w:val="0"/>
        <w:spacing w:after="0" w:line="240" w:lineRule="auto"/>
        <w:rPr>
          <w:rFonts w:ascii="Arial" w:hAnsi="Arial" w:cs="Arial"/>
          <w:sz w:val="24"/>
          <w:szCs w:val="24"/>
        </w:rPr>
      </w:pPr>
    </w:p>
    <w:p w14:paraId="1E8B4400" w14:textId="68B18BBB" w:rsidR="000F0D8B" w:rsidRDefault="000F0D8B" w:rsidP="00CA6C6D">
      <w:pPr>
        <w:spacing w:after="0" w:line="240" w:lineRule="auto"/>
        <w:rPr>
          <w:rFonts w:ascii="Arial" w:hAnsi="Arial" w:cs="Arial"/>
          <w:sz w:val="24"/>
          <w:szCs w:val="24"/>
        </w:rPr>
      </w:pPr>
      <w:r w:rsidRPr="000F0D8B">
        <w:rPr>
          <w:rFonts w:ascii="Arial" w:hAnsi="Arial" w:cs="Arial"/>
          <w:sz w:val="24"/>
          <w:szCs w:val="24"/>
        </w:rPr>
        <w:t>As we look to transition to net zero, more workers, particularly in energy-intensive industries, may be vulnerable to the transition.  Where workplaces can be decarbonised, retooled, and transitioned, the negative impacts on working people and local communities can be reduced, existing skills can be maintained and enhanced, and local economies can adapt most rapidly to the net zero transition.</w:t>
      </w:r>
    </w:p>
    <w:p w14:paraId="7E4A631D" w14:textId="77777777" w:rsidR="003B3C7D" w:rsidRDefault="003B3C7D" w:rsidP="00CA6C6D">
      <w:pPr>
        <w:spacing w:after="0" w:line="240" w:lineRule="auto"/>
        <w:rPr>
          <w:rFonts w:ascii="Arial" w:hAnsi="Arial" w:cs="Arial"/>
          <w:sz w:val="24"/>
          <w:szCs w:val="24"/>
        </w:rPr>
      </w:pPr>
    </w:p>
    <w:p w14:paraId="466D0868" w14:textId="1CD21F25" w:rsidR="00CB06D0" w:rsidRPr="00280FE2" w:rsidRDefault="00745A7B" w:rsidP="00CA6C6D">
      <w:pPr>
        <w:spacing w:after="0" w:line="240" w:lineRule="auto"/>
        <w:rPr>
          <w:rFonts w:ascii="Arial" w:hAnsi="Arial" w:cs="Arial"/>
          <w:sz w:val="24"/>
          <w:szCs w:val="24"/>
        </w:rPr>
      </w:pPr>
      <w:r w:rsidRPr="00280FE2">
        <w:rPr>
          <w:rFonts w:ascii="Arial" w:hAnsi="Arial" w:cs="Arial"/>
          <w:sz w:val="24"/>
          <w:szCs w:val="24"/>
        </w:rPr>
        <w:t>From a skills perspective, this means that no worker should be left behind</w:t>
      </w:r>
      <w:r w:rsidR="006A6AD2">
        <w:rPr>
          <w:rFonts w:ascii="Arial" w:hAnsi="Arial" w:cs="Arial"/>
          <w:sz w:val="24"/>
          <w:szCs w:val="24"/>
        </w:rPr>
        <w:t>,</w:t>
      </w:r>
      <w:r w:rsidRPr="00280FE2">
        <w:rPr>
          <w:rFonts w:ascii="Arial" w:hAnsi="Arial" w:cs="Arial"/>
          <w:sz w:val="24"/>
          <w:szCs w:val="24"/>
        </w:rPr>
        <w:t xml:space="preserve"> </w:t>
      </w:r>
      <w:r w:rsidR="00280FE2" w:rsidRPr="00280FE2">
        <w:rPr>
          <w:rFonts w:ascii="Arial" w:hAnsi="Arial" w:cs="Arial"/>
          <w:sz w:val="24"/>
          <w:szCs w:val="24"/>
        </w:rPr>
        <w:t xml:space="preserve">employers and </w:t>
      </w:r>
      <w:r w:rsidRPr="00280FE2">
        <w:rPr>
          <w:rFonts w:ascii="Arial" w:hAnsi="Arial" w:cs="Arial"/>
          <w:sz w:val="24"/>
          <w:szCs w:val="24"/>
        </w:rPr>
        <w:t xml:space="preserve">skills providers should </w:t>
      </w:r>
      <w:r w:rsidR="00280FE2" w:rsidRPr="00280FE2">
        <w:rPr>
          <w:rFonts w:ascii="Arial" w:hAnsi="Arial" w:cs="Arial"/>
          <w:sz w:val="24"/>
          <w:szCs w:val="24"/>
        </w:rPr>
        <w:t xml:space="preserve">work </w:t>
      </w:r>
      <w:r w:rsidRPr="00280FE2">
        <w:rPr>
          <w:rFonts w:ascii="Arial" w:hAnsi="Arial" w:cs="Arial"/>
          <w:sz w:val="24"/>
          <w:szCs w:val="24"/>
        </w:rPr>
        <w:t xml:space="preserve">together </w:t>
      </w:r>
      <w:r w:rsidR="00280FE2" w:rsidRPr="00280FE2">
        <w:rPr>
          <w:rFonts w:ascii="Arial" w:hAnsi="Arial" w:cs="Arial"/>
          <w:sz w:val="24"/>
          <w:szCs w:val="24"/>
        </w:rPr>
        <w:t xml:space="preserve">to </w:t>
      </w:r>
      <w:r w:rsidRPr="00280FE2">
        <w:rPr>
          <w:rFonts w:ascii="Arial" w:hAnsi="Arial" w:cs="Arial"/>
          <w:sz w:val="24"/>
          <w:szCs w:val="24"/>
        </w:rPr>
        <w:t xml:space="preserve">ensure that </w:t>
      </w:r>
      <w:r w:rsidR="00157331">
        <w:rPr>
          <w:rFonts w:ascii="Arial" w:hAnsi="Arial" w:cs="Arial"/>
          <w:sz w:val="24"/>
          <w:szCs w:val="24"/>
        </w:rPr>
        <w:t xml:space="preserve">provision is available to </w:t>
      </w:r>
      <w:r w:rsidRPr="00280FE2">
        <w:rPr>
          <w:rFonts w:ascii="Arial" w:hAnsi="Arial" w:cs="Arial"/>
          <w:sz w:val="24"/>
          <w:szCs w:val="24"/>
        </w:rPr>
        <w:t xml:space="preserve">meet the challenge of the transition to net zero. This includes being responsive to local demand and supporting workers in high carbon sectors to take opportunities in the </w:t>
      </w:r>
      <w:r w:rsidR="00157331">
        <w:rPr>
          <w:rFonts w:ascii="Arial" w:hAnsi="Arial" w:cs="Arial"/>
          <w:sz w:val="24"/>
          <w:szCs w:val="24"/>
        </w:rPr>
        <w:t>green</w:t>
      </w:r>
      <w:r w:rsidRPr="00280FE2">
        <w:rPr>
          <w:rFonts w:ascii="Arial" w:hAnsi="Arial" w:cs="Arial"/>
          <w:sz w:val="24"/>
          <w:szCs w:val="24"/>
        </w:rPr>
        <w:t xml:space="preserve"> economy.</w:t>
      </w:r>
      <w:r w:rsidR="001D3E9D" w:rsidRPr="00280FE2">
        <w:rPr>
          <w:rFonts w:ascii="Arial" w:hAnsi="Arial" w:cs="Arial"/>
          <w:sz w:val="24"/>
          <w:szCs w:val="24"/>
        </w:rPr>
        <w:t xml:space="preserve"> </w:t>
      </w:r>
    </w:p>
    <w:p w14:paraId="3F979F68" w14:textId="44019FAA" w:rsidR="00CB06D0" w:rsidRDefault="00CB06D0" w:rsidP="00CA6C6D">
      <w:pPr>
        <w:autoSpaceDE w:val="0"/>
        <w:autoSpaceDN w:val="0"/>
        <w:adjustRightInd w:val="0"/>
        <w:spacing w:after="0" w:line="240" w:lineRule="auto"/>
        <w:rPr>
          <w:rFonts w:ascii="Arial" w:hAnsi="Arial" w:cs="Arial"/>
          <w:sz w:val="24"/>
          <w:szCs w:val="24"/>
        </w:rPr>
      </w:pPr>
    </w:p>
    <w:p w14:paraId="0D5712B4" w14:textId="607543FA" w:rsidR="006A6AD2" w:rsidRDefault="006A6AD2" w:rsidP="00CA6C6D">
      <w:pPr>
        <w:autoSpaceDE w:val="0"/>
        <w:autoSpaceDN w:val="0"/>
        <w:adjustRightInd w:val="0"/>
        <w:spacing w:after="0" w:line="240" w:lineRule="auto"/>
        <w:rPr>
          <w:rFonts w:ascii="Arial" w:hAnsi="Arial" w:cs="Arial"/>
          <w:sz w:val="24"/>
          <w:szCs w:val="24"/>
        </w:rPr>
      </w:pPr>
    </w:p>
    <w:p w14:paraId="0DBDBDB1" w14:textId="7E1A7C35" w:rsidR="006A6AD2" w:rsidRDefault="006A6AD2" w:rsidP="003B3C7D">
      <w:pPr>
        <w:autoSpaceDE w:val="0"/>
        <w:autoSpaceDN w:val="0"/>
        <w:adjustRightInd w:val="0"/>
        <w:spacing w:after="0" w:line="240" w:lineRule="auto"/>
        <w:rPr>
          <w:rFonts w:ascii="Arial" w:hAnsi="Arial" w:cs="Arial"/>
          <w:sz w:val="24"/>
          <w:szCs w:val="24"/>
        </w:rPr>
      </w:pPr>
    </w:p>
    <w:p w14:paraId="591C040C" w14:textId="22D437DF" w:rsidR="00CA6C6D" w:rsidRDefault="00CA6C6D" w:rsidP="003B3C7D">
      <w:pPr>
        <w:autoSpaceDE w:val="0"/>
        <w:autoSpaceDN w:val="0"/>
        <w:adjustRightInd w:val="0"/>
        <w:spacing w:after="0" w:line="240" w:lineRule="auto"/>
        <w:rPr>
          <w:rFonts w:ascii="Arial" w:hAnsi="Arial" w:cs="Arial"/>
          <w:sz w:val="24"/>
          <w:szCs w:val="24"/>
        </w:rPr>
      </w:pPr>
    </w:p>
    <w:p w14:paraId="427034FC" w14:textId="65AD929E" w:rsidR="00CA6C6D" w:rsidRDefault="00CA6C6D" w:rsidP="003B3C7D">
      <w:pPr>
        <w:autoSpaceDE w:val="0"/>
        <w:autoSpaceDN w:val="0"/>
        <w:adjustRightInd w:val="0"/>
        <w:spacing w:after="0" w:line="240" w:lineRule="auto"/>
        <w:rPr>
          <w:rFonts w:ascii="Arial" w:hAnsi="Arial" w:cs="Arial"/>
          <w:sz w:val="24"/>
          <w:szCs w:val="24"/>
        </w:rPr>
      </w:pPr>
    </w:p>
    <w:p w14:paraId="4EDEA6E4" w14:textId="4EB55D75" w:rsidR="00CA6C6D" w:rsidRDefault="00CA6C6D" w:rsidP="003B3C7D">
      <w:pPr>
        <w:autoSpaceDE w:val="0"/>
        <w:autoSpaceDN w:val="0"/>
        <w:adjustRightInd w:val="0"/>
        <w:spacing w:after="0" w:line="240" w:lineRule="auto"/>
        <w:rPr>
          <w:rFonts w:ascii="Arial" w:hAnsi="Arial" w:cs="Arial"/>
          <w:sz w:val="24"/>
          <w:szCs w:val="24"/>
        </w:rPr>
      </w:pPr>
    </w:p>
    <w:p w14:paraId="1ECF292C" w14:textId="0C6B4465" w:rsidR="00CA6C6D" w:rsidRDefault="00CA6C6D" w:rsidP="003B3C7D">
      <w:pPr>
        <w:autoSpaceDE w:val="0"/>
        <w:autoSpaceDN w:val="0"/>
        <w:adjustRightInd w:val="0"/>
        <w:spacing w:after="0" w:line="240" w:lineRule="auto"/>
        <w:rPr>
          <w:rFonts w:ascii="Arial" w:hAnsi="Arial" w:cs="Arial"/>
          <w:sz w:val="24"/>
          <w:szCs w:val="24"/>
        </w:rPr>
      </w:pPr>
    </w:p>
    <w:p w14:paraId="609C07D6" w14:textId="6C7E06CE" w:rsidR="00F16CD6" w:rsidRPr="00CA6C6D" w:rsidRDefault="00F16CD6" w:rsidP="00057DCD">
      <w:pPr>
        <w:pStyle w:val="Heading1"/>
        <w:numPr>
          <w:ilvl w:val="0"/>
          <w:numId w:val="45"/>
        </w:numPr>
        <w:ind w:left="567" w:hanging="567"/>
      </w:pPr>
      <w:bookmarkStart w:id="6" w:name="_Toc82606827"/>
      <w:r w:rsidRPr="00CA6C6D">
        <w:lastRenderedPageBreak/>
        <w:t>Call Details: Overarching Principles</w:t>
      </w:r>
      <w:bookmarkEnd w:id="6"/>
      <w:r w:rsidR="00C270E4" w:rsidRPr="00CA6C6D">
        <w:t xml:space="preserve"> </w:t>
      </w:r>
    </w:p>
    <w:p w14:paraId="39D80F23" w14:textId="77777777" w:rsidR="00586945" w:rsidRPr="00586945" w:rsidRDefault="00586945" w:rsidP="00586945">
      <w:pPr>
        <w:pStyle w:val="ListParagraph"/>
        <w:spacing w:after="0" w:line="240" w:lineRule="auto"/>
        <w:ind w:left="360"/>
        <w:jc w:val="both"/>
        <w:rPr>
          <w:rFonts w:ascii="Arial" w:eastAsia="Times New Roman" w:hAnsi="Arial" w:cs="Arial"/>
          <w:b/>
          <w:sz w:val="24"/>
          <w:szCs w:val="24"/>
        </w:rPr>
      </w:pPr>
    </w:p>
    <w:p w14:paraId="5CE58052" w14:textId="562064D3" w:rsidR="00F16CD6" w:rsidRPr="000F0D8B" w:rsidRDefault="00F16CD6" w:rsidP="003B3C7D">
      <w:pPr>
        <w:spacing w:after="0" w:line="240" w:lineRule="auto"/>
        <w:contextualSpacing/>
        <w:jc w:val="both"/>
        <w:rPr>
          <w:rFonts w:ascii="Arial" w:eastAsia="Batang" w:hAnsi="Arial" w:cs="Arial"/>
          <w:sz w:val="24"/>
          <w:szCs w:val="24"/>
        </w:rPr>
      </w:pPr>
      <w:r w:rsidRPr="000F0D8B">
        <w:rPr>
          <w:rFonts w:ascii="Arial" w:eastAsia="Batang" w:hAnsi="Arial" w:cs="Arial"/>
          <w:sz w:val="24"/>
          <w:szCs w:val="24"/>
        </w:rPr>
        <w:t xml:space="preserve">This funding call presents an opportunity for a range of organisations and partnerships to come forward with ideas for projects, collaborations and proposals for co-investment </w:t>
      </w:r>
      <w:r w:rsidR="003818AE" w:rsidRPr="000F0D8B">
        <w:rPr>
          <w:rFonts w:ascii="Arial" w:eastAsia="Batang" w:hAnsi="Arial" w:cs="Arial"/>
          <w:sz w:val="24"/>
          <w:szCs w:val="24"/>
        </w:rPr>
        <w:t xml:space="preserve">in skills interventions that recognise </w:t>
      </w:r>
      <w:r w:rsidRPr="000F0D8B">
        <w:rPr>
          <w:rFonts w:ascii="Arial" w:eastAsia="Batang" w:hAnsi="Arial" w:cs="Arial"/>
          <w:sz w:val="24"/>
          <w:szCs w:val="24"/>
        </w:rPr>
        <w:t xml:space="preserve">the </w:t>
      </w:r>
      <w:r w:rsidR="00EF0D6E" w:rsidRPr="000F0D8B">
        <w:rPr>
          <w:rFonts w:ascii="Arial" w:hAnsi="Arial" w:cs="Arial"/>
          <w:sz w:val="24"/>
          <w:szCs w:val="24"/>
        </w:rPr>
        <w:t xml:space="preserve">economic growth opportunity arising from the transition away from carbon intensive </w:t>
      </w:r>
      <w:r w:rsidR="006305AD">
        <w:rPr>
          <w:rFonts w:ascii="Arial" w:hAnsi="Arial" w:cs="Arial"/>
          <w:sz w:val="24"/>
          <w:szCs w:val="24"/>
        </w:rPr>
        <w:t>processes</w:t>
      </w:r>
      <w:r w:rsidR="00EF0D6E" w:rsidRPr="000F0D8B">
        <w:rPr>
          <w:rFonts w:ascii="Arial" w:hAnsi="Arial" w:cs="Arial"/>
          <w:sz w:val="24"/>
          <w:szCs w:val="24"/>
        </w:rPr>
        <w:t xml:space="preserve">, the need for a just transition, and the focus needed on skills to support green and decent jobs. </w:t>
      </w:r>
      <w:r w:rsidRPr="000F0D8B">
        <w:rPr>
          <w:rFonts w:ascii="Arial" w:eastAsia="Batang" w:hAnsi="Arial" w:cs="Arial"/>
          <w:sz w:val="24"/>
          <w:szCs w:val="24"/>
        </w:rPr>
        <w:t xml:space="preserve"> </w:t>
      </w:r>
    </w:p>
    <w:p w14:paraId="6B78B2FC" w14:textId="77777777" w:rsidR="00F16CD6" w:rsidRPr="00CE68F9" w:rsidRDefault="00F16CD6" w:rsidP="003B3C7D">
      <w:pPr>
        <w:spacing w:after="0" w:line="240" w:lineRule="auto"/>
        <w:rPr>
          <w:rFonts w:ascii="Arial" w:eastAsia="Batang" w:hAnsi="Arial" w:cs="Arial"/>
          <w:b/>
          <w:bCs/>
          <w:sz w:val="24"/>
          <w:szCs w:val="24"/>
        </w:rPr>
      </w:pPr>
    </w:p>
    <w:p w14:paraId="10776EA7" w14:textId="23A0A0DD" w:rsidR="00F16CD6" w:rsidRPr="006A6AD2" w:rsidRDefault="00F16CD6" w:rsidP="003B3C7D">
      <w:pPr>
        <w:spacing w:after="0" w:line="240" w:lineRule="auto"/>
        <w:rPr>
          <w:rFonts w:ascii="Arial" w:hAnsi="Arial" w:cs="Arial"/>
          <w:sz w:val="24"/>
          <w:szCs w:val="24"/>
        </w:rPr>
      </w:pPr>
      <w:r w:rsidRPr="006A6AD2">
        <w:rPr>
          <w:rFonts w:ascii="Arial" w:eastAsia="Batang" w:hAnsi="Arial" w:cs="Arial"/>
          <w:sz w:val="24"/>
          <w:szCs w:val="24"/>
        </w:rPr>
        <w:t xml:space="preserve">The </w:t>
      </w:r>
      <w:r w:rsidR="006A6AD2" w:rsidRPr="006A6AD2">
        <w:rPr>
          <w:rFonts w:ascii="Arial" w:eastAsia="Batang" w:hAnsi="Arial" w:cs="Arial"/>
          <w:sz w:val="24"/>
          <w:szCs w:val="24"/>
        </w:rPr>
        <w:t>o</w:t>
      </w:r>
      <w:r w:rsidRPr="006A6AD2">
        <w:rPr>
          <w:rFonts w:ascii="Arial" w:eastAsia="Batang" w:hAnsi="Arial" w:cs="Arial"/>
          <w:sz w:val="24"/>
          <w:szCs w:val="24"/>
        </w:rPr>
        <w:t xml:space="preserve">verarching </w:t>
      </w:r>
      <w:r w:rsidR="006A6AD2" w:rsidRPr="006A6AD2">
        <w:rPr>
          <w:rFonts w:ascii="Arial" w:eastAsia="Batang" w:hAnsi="Arial" w:cs="Arial"/>
          <w:sz w:val="24"/>
          <w:szCs w:val="24"/>
        </w:rPr>
        <w:t>p</w:t>
      </w:r>
      <w:r w:rsidRPr="006A6AD2">
        <w:rPr>
          <w:rFonts w:ascii="Arial" w:eastAsia="Batang" w:hAnsi="Arial" w:cs="Arial"/>
          <w:sz w:val="24"/>
          <w:szCs w:val="24"/>
        </w:rPr>
        <w:t xml:space="preserve">rinciples for this call are that proposals submitted should be: </w:t>
      </w:r>
    </w:p>
    <w:p w14:paraId="50DCAEF2" w14:textId="77777777" w:rsidR="00F16CD6" w:rsidRPr="00CE68F9" w:rsidRDefault="00F16CD6" w:rsidP="003B3C7D">
      <w:pPr>
        <w:spacing w:after="0" w:line="240" w:lineRule="auto"/>
        <w:rPr>
          <w:rFonts w:ascii="Arial" w:eastAsia="Batang" w:hAnsi="Arial" w:cs="Arial"/>
          <w:sz w:val="24"/>
          <w:szCs w:val="24"/>
        </w:rPr>
      </w:pPr>
    </w:p>
    <w:p w14:paraId="3D304F2F" w14:textId="06C95C1B" w:rsidR="00F16CD6"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Evidence led and clearly demonstrate need, complementarity to existing support/investment, and strong strategic fit with local and national policy objectives</w:t>
      </w:r>
      <w:r w:rsidR="00572746">
        <w:rPr>
          <w:rFonts w:ascii="Arial" w:eastAsia="Times New Roman" w:hAnsi="Arial" w:cs="Arial"/>
          <w:sz w:val="24"/>
          <w:szCs w:val="24"/>
        </w:rPr>
        <w:t xml:space="preserve"> related to green </w:t>
      </w:r>
      <w:r w:rsidR="000F0D8B">
        <w:rPr>
          <w:rFonts w:ascii="Arial" w:eastAsia="Times New Roman" w:hAnsi="Arial" w:cs="Arial"/>
          <w:sz w:val="24"/>
          <w:szCs w:val="24"/>
        </w:rPr>
        <w:t>growth</w:t>
      </w:r>
      <w:r>
        <w:rPr>
          <w:rFonts w:ascii="Arial" w:eastAsia="Times New Roman" w:hAnsi="Arial" w:cs="Arial"/>
          <w:sz w:val="24"/>
          <w:szCs w:val="24"/>
        </w:rPr>
        <w:t>.</w:t>
      </w:r>
      <w:r w:rsidRPr="00D81ED1">
        <w:rPr>
          <w:rFonts w:ascii="Arial" w:eastAsia="Times New Roman" w:hAnsi="Arial" w:cs="Arial"/>
          <w:sz w:val="24"/>
          <w:szCs w:val="24"/>
        </w:rPr>
        <w:t xml:space="preserve"> </w:t>
      </w:r>
    </w:p>
    <w:p w14:paraId="75DF21FE" w14:textId="77777777" w:rsidR="003B3C7D" w:rsidRDefault="003B3C7D" w:rsidP="003B3C7D">
      <w:pPr>
        <w:spacing w:after="0" w:line="240" w:lineRule="auto"/>
        <w:ind w:left="714"/>
        <w:rPr>
          <w:rFonts w:ascii="Arial" w:eastAsia="Times New Roman" w:hAnsi="Arial" w:cs="Arial"/>
          <w:sz w:val="24"/>
          <w:szCs w:val="24"/>
        </w:rPr>
      </w:pPr>
    </w:p>
    <w:p w14:paraId="2919F556" w14:textId="14AEC6A3" w:rsidR="00AA1862" w:rsidRDefault="00AA1862" w:rsidP="003B3C7D">
      <w:pPr>
        <w:pStyle w:val="Default"/>
        <w:numPr>
          <w:ilvl w:val="0"/>
          <w:numId w:val="6"/>
        </w:numPr>
      </w:pPr>
      <w:r>
        <w:t>Linked to the inward investment and job opportunities in the NTCA region.   We aim to</w:t>
      </w:r>
      <w:r w:rsidRPr="00C270E4">
        <w:t xml:space="preserve"> invest in skills and training </w:t>
      </w:r>
      <w:r>
        <w:t xml:space="preserve">projects that are designed </w:t>
      </w:r>
      <w:r w:rsidRPr="00C270E4">
        <w:t>in collaboration with project developers</w:t>
      </w:r>
      <w:r>
        <w:t xml:space="preserve"> and </w:t>
      </w:r>
      <w:r w:rsidRPr="00C270E4">
        <w:t xml:space="preserve">existing local firms operating in </w:t>
      </w:r>
      <w:r>
        <w:t xml:space="preserve">our region. </w:t>
      </w:r>
    </w:p>
    <w:p w14:paraId="10071C55" w14:textId="77777777" w:rsidR="00AA1862" w:rsidRPr="00AA1862" w:rsidRDefault="00AA1862" w:rsidP="003B3C7D">
      <w:pPr>
        <w:pStyle w:val="Default"/>
        <w:ind w:left="720"/>
      </w:pPr>
    </w:p>
    <w:p w14:paraId="735E23E5" w14:textId="77777777" w:rsidR="003B3C7D"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 xml:space="preserve">Collaborative, partnership based and, where possible, </w:t>
      </w:r>
      <w:r w:rsidR="008D4923">
        <w:rPr>
          <w:rFonts w:ascii="Arial" w:eastAsia="Times New Roman" w:hAnsi="Arial" w:cs="Arial"/>
          <w:sz w:val="24"/>
          <w:szCs w:val="24"/>
        </w:rPr>
        <w:t>employer</w:t>
      </w:r>
      <w:r w:rsidRPr="00D81ED1">
        <w:rPr>
          <w:rFonts w:ascii="Arial" w:eastAsia="Times New Roman" w:hAnsi="Arial" w:cs="Arial"/>
          <w:sz w:val="24"/>
          <w:szCs w:val="24"/>
        </w:rPr>
        <w:t xml:space="preserve"> led or backed. This might, for example, include formalised consortia approaches where appropriate</w:t>
      </w:r>
      <w:r>
        <w:rPr>
          <w:rFonts w:ascii="Arial" w:eastAsia="Times New Roman" w:hAnsi="Arial" w:cs="Arial"/>
          <w:sz w:val="24"/>
          <w:szCs w:val="24"/>
        </w:rPr>
        <w:t>.</w:t>
      </w:r>
      <w:r w:rsidRPr="00D81ED1">
        <w:rPr>
          <w:rFonts w:ascii="Arial" w:eastAsia="Times New Roman" w:hAnsi="Arial" w:cs="Arial"/>
          <w:sz w:val="24"/>
          <w:szCs w:val="24"/>
        </w:rPr>
        <w:t xml:space="preserve"> </w:t>
      </w:r>
    </w:p>
    <w:p w14:paraId="1674CED9" w14:textId="0C27F13B" w:rsidR="00A46B4E" w:rsidRDefault="00F16CD6" w:rsidP="003B3C7D">
      <w:pPr>
        <w:spacing w:after="0" w:line="240" w:lineRule="auto"/>
        <w:ind w:left="714"/>
        <w:rPr>
          <w:rFonts w:ascii="Arial" w:eastAsia="Times New Roman" w:hAnsi="Arial" w:cs="Arial"/>
          <w:sz w:val="24"/>
          <w:szCs w:val="24"/>
        </w:rPr>
      </w:pPr>
      <w:r w:rsidRPr="00D81ED1">
        <w:rPr>
          <w:rFonts w:ascii="Arial" w:eastAsia="Times New Roman" w:hAnsi="Arial" w:cs="Arial"/>
          <w:sz w:val="24"/>
          <w:szCs w:val="24"/>
        </w:rPr>
        <w:t xml:space="preserve"> </w:t>
      </w:r>
    </w:p>
    <w:p w14:paraId="051668FC" w14:textId="5E1FD445" w:rsidR="00CD0AC4" w:rsidRDefault="00CD0AC4" w:rsidP="003B3C7D">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47948">
        <w:rPr>
          <w:rFonts w:ascii="Arial" w:hAnsi="Arial" w:cs="Arial"/>
          <w:color w:val="000000"/>
          <w:sz w:val="24"/>
          <w:szCs w:val="24"/>
        </w:rPr>
        <w:t>Promoting just transition and equality of access to green careers and professions with regard to creating opportunities for the unemployed and</w:t>
      </w:r>
      <w:r w:rsidR="00547948" w:rsidRPr="00547948">
        <w:rPr>
          <w:rFonts w:ascii="Arial" w:hAnsi="Arial" w:cs="Arial"/>
          <w:color w:val="000000"/>
          <w:sz w:val="24"/>
          <w:szCs w:val="24"/>
        </w:rPr>
        <w:t xml:space="preserve">/or </w:t>
      </w:r>
      <w:r w:rsidRPr="00547948">
        <w:rPr>
          <w:rFonts w:ascii="Arial" w:hAnsi="Arial" w:cs="Arial"/>
          <w:color w:val="000000"/>
          <w:sz w:val="24"/>
          <w:szCs w:val="24"/>
        </w:rPr>
        <w:t>upskilling</w:t>
      </w:r>
      <w:r w:rsidR="00547948" w:rsidRPr="00547948">
        <w:rPr>
          <w:rFonts w:ascii="Arial" w:hAnsi="Arial" w:cs="Arial"/>
          <w:color w:val="000000"/>
          <w:sz w:val="24"/>
          <w:szCs w:val="24"/>
        </w:rPr>
        <w:t xml:space="preserve"> of the existing workforce</w:t>
      </w:r>
      <w:r w:rsidRPr="00547948">
        <w:rPr>
          <w:rFonts w:ascii="Arial" w:hAnsi="Arial" w:cs="Arial"/>
          <w:color w:val="000000"/>
          <w:sz w:val="24"/>
          <w:szCs w:val="24"/>
        </w:rPr>
        <w:t xml:space="preserve">. </w:t>
      </w:r>
    </w:p>
    <w:p w14:paraId="061F441F" w14:textId="77777777" w:rsidR="00067736" w:rsidRDefault="00067736" w:rsidP="003B3C7D">
      <w:pPr>
        <w:pStyle w:val="ListParagraph"/>
        <w:autoSpaceDE w:val="0"/>
        <w:autoSpaceDN w:val="0"/>
        <w:adjustRightInd w:val="0"/>
        <w:spacing w:after="0" w:line="240" w:lineRule="auto"/>
        <w:rPr>
          <w:rFonts w:ascii="Arial" w:hAnsi="Arial" w:cs="Arial"/>
          <w:color w:val="000000"/>
          <w:sz w:val="24"/>
          <w:szCs w:val="24"/>
        </w:rPr>
      </w:pPr>
    </w:p>
    <w:p w14:paraId="33264488" w14:textId="061C5904" w:rsidR="00067736" w:rsidRPr="00745A7B" w:rsidRDefault="00067736" w:rsidP="003B3C7D">
      <w:pPr>
        <w:pStyle w:val="ListParagraph"/>
        <w:numPr>
          <w:ilvl w:val="0"/>
          <w:numId w:val="6"/>
        </w:numPr>
        <w:spacing w:after="0" w:line="240" w:lineRule="auto"/>
        <w:rPr>
          <w:rFonts w:ascii="Arial" w:hAnsi="Arial" w:cs="Arial"/>
          <w:b/>
          <w:bCs/>
          <w:sz w:val="24"/>
          <w:szCs w:val="24"/>
        </w:rPr>
      </w:pPr>
      <w:r w:rsidRPr="00745A7B">
        <w:rPr>
          <w:rFonts w:ascii="Arial" w:hAnsi="Arial" w:cs="Arial"/>
          <w:sz w:val="24"/>
          <w:szCs w:val="24"/>
        </w:rPr>
        <w:t xml:space="preserve">Providing skills/training in areas for which there is </w:t>
      </w:r>
      <w:r w:rsidR="00D55425">
        <w:rPr>
          <w:rFonts w:ascii="Arial" w:hAnsi="Arial" w:cs="Arial"/>
          <w:sz w:val="24"/>
          <w:szCs w:val="24"/>
        </w:rPr>
        <w:t xml:space="preserve">anticipated </w:t>
      </w:r>
      <w:r w:rsidRPr="00745A7B">
        <w:rPr>
          <w:rFonts w:ascii="Arial" w:hAnsi="Arial" w:cs="Arial"/>
          <w:sz w:val="24"/>
          <w:szCs w:val="24"/>
        </w:rPr>
        <w:t xml:space="preserve">demand. The transition to net zero requires forward planning by employers and skills </w:t>
      </w:r>
      <w:r w:rsidR="00745A7B" w:rsidRPr="00745A7B">
        <w:rPr>
          <w:rFonts w:ascii="Arial" w:hAnsi="Arial" w:cs="Arial"/>
          <w:sz w:val="24"/>
          <w:szCs w:val="24"/>
        </w:rPr>
        <w:t>providers, so</w:t>
      </w:r>
      <w:r w:rsidRPr="00745A7B">
        <w:rPr>
          <w:rFonts w:ascii="Arial" w:hAnsi="Arial" w:cs="Arial"/>
          <w:sz w:val="24"/>
          <w:szCs w:val="24"/>
        </w:rPr>
        <w:t xml:space="preserve"> that there is a clear picture of anticipated demand, and that skills are developed in time for their application</w:t>
      </w:r>
      <w:r w:rsidR="00745A7B" w:rsidRPr="00745A7B">
        <w:rPr>
          <w:rFonts w:ascii="Arial" w:hAnsi="Arial" w:cs="Arial"/>
          <w:sz w:val="24"/>
          <w:szCs w:val="24"/>
        </w:rPr>
        <w:t>.</w:t>
      </w:r>
    </w:p>
    <w:p w14:paraId="3C0B0C48" w14:textId="77777777" w:rsidR="00745A7B" w:rsidRPr="00745A7B" w:rsidRDefault="00745A7B" w:rsidP="003B3C7D">
      <w:pPr>
        <w:pStyle w:val="ListParagraph"/>
        <w:spacing w:after="0" w:line="240" w:lineRule="auto"/>
        <w:rPr>
          <w:rFonts w:ascii="Arial" w:hAnsi="Arial" w:cs="Arial"/>
          <w:b/>
          <w:bCs/>
          <w:sz w:val="24"/>
          <w:szCs w:val="24"/>
        </w:rPr>
      </w:pPr>
    </w:p>
    <w:p w14:paraId="09D39115" w14:textId="7D94029F" w:rsidR="00F16CD6" w:rsidRPr="003B3C7D" w:rsidRDefault="00D55425" w:rsidP="003B3C7D">
      <w:pPr>
        <w:pStyle w:val="ListParagraph"/>
        <w:numPr>
          <w:ilvl w:val="0"/>
          <w:numId w:val="6"/>
        </w:numPr>
        <w:autoSpaceDE w:val="0"/>
        <w:autoSpaceDN w:val="0"/>
        <w:adjustRightInd w:val="0"/>
        <w:spacing w:after="0" w:line="240" w:lineRule="auto"/>
        <w:ind w:left="714" w:hanging="357"/>
        <w:rPr>
          <w:rFonts w:ascii="Arial" w:eastAsia="Times New Roman" w:hAnsi="Arial" w:cs="Arial"/>
          <w:sz w:val="24"/>
          <w:szCs w:val="24"/>
        </w:rPr>
      </w:pPr>
      <w:r>
        <w:rPr>
          <w:rFonts w:ascii="Arial" w:hAnsi="Arial" w:cs="Arial"/>
          <w:color w:val="000000"/>
          <w:sz w:val="24"/>
          <w:szCs w:val="24"/>
        </w:rPr>
        <w:t>E</w:t>
      </w:r>
      <w:r w:rsidRPr="00D55425">
        <w:rPr>
          <w:rFonts w:ascii="Arial" w:hAnsi="Arial" w:cs="Arial"/>
          <w:color w:val="000000"/>
          <w:sz w:val="24"/>
          <w:szCs w:val="24"/>
        </w:rPr>
        <w:t xml:space="preserve">nsuring green jobs are open to all, </w:t>
      </w:r>
      <w:r>
        <w:rPr>
          <w:rFonts w:ascii="Arial" w:hAnsi="Arial" w:cs="Arial"/>
          <w:color w:val="000000"/>
          <w:sz w:val="24"/>
          <w:szCs w:val="24"/>
        </w:rPr>
        <w:t xml:space="preserve">promoting </w:t>
      </w:r>
      <w:r w:rsidRPr="00D55425">
        <w:rPr>
          <w:rFonts w:ascii="Arial" w:hAnsi="Arial" w:cs="Arial"/>
          <w:color w:val="000000"/>
          <w:sz w:val="24"/>
          <w:szCs w:val="24"/>
        </w:rPr>
        <w:t>d</w:t>
      </w:r>
      <w:r w:rsidR="00A46B4E" w:rsidRPr="00D55425">
        <w:rPr>
          <w:rFonts w:ascii="Arial" w:hAnsi="Arial" w:cs="Arial"/>
          <w:sz w:val="24"/>
          <w:szCs w:val="24"/>
        </w:rPr>
        <w:t xml:space="preserve">iversity and </w:t>
      </w:r>
      <w:r>
        <w:rPr>
          <w:rFonts w:ascii="Arial" w:hAnsi="Arial" w:cs="Arial"/>
          <w:sz w:val="24"/>
          <w:szCs w:val="24"/>
        </w:rPr>
        <w:t xml:space="preserve">addressing </w:t>
      </w:r>
      <w:r w:rsidR="00A46B4E" w:rsidRPr="00D55425">
        <w:rPr>
          <w:rFonts w:ascii="Arial" w:hAnsi="Arial" w:cs="Arial"/>
          <w:sz w:val="24"/>
          <w:szCs w:val="24"/>
        </w:rPr>
        <w:t>economic inclusion issues</w:t>
      </w:r>
      <w:r>
        <w:rPr>
          <w:rFonts w:ascii="Arial" w:hAnsi="Arial" w:cs="Arial"/>
          <w:sz w:val="24"/>
          <w:szCs w:val="24"/>
        </w:rPr>
        <w:t xml:space="preserve">. </w:t>
      </w:r>
      <w:r w:rsidR="00A46B4E" w:rsidRPr="00D55425">
        <w:rPr>
          <w:rFonts w:ascii="Arial" w:hAnsi="Arial" w:cs="Arial"/>
          <w:sz w:val="24"/>
          <w:szCs w:val="24"/>
        </w:rPr>
        <w:t xml:space="preserve"> </w:t>
      </w:r>
      <w:r w:rsidRPr="00D55425">
        <w:rPr>
          <w:rFonts w:ascii="Arial" w:hAnsi="Arial" w:cs="Arial"/>
          <w:sz w:val="24"/>
          <w:szCs w:val="24"/>
        </w:rPr>
        <w:t>Proposals should</w:t>
      </w:r>
      <w:r w:rsidR="00F16CD6" w:rsidRPr="00D55425">
        <w:rPr>
          <w:rFonts w:ascii="Arial" w:eastAsia="Times New Roman" w:hAnsi="Arial" w:cs="Arial"/>
          <w:sz w:val="24"/>
          <w:szCs w:val="24"/>
        </w:rPr>
        <w:t xml:space="preserve"> </w:t>
      </w:r>
      <w:r w:rsidR="00745A7B" w:rsidRPr="00D55425">
        <w:rPr>
          <w:rFonts w:ascii="Arial" w:hAnsi="Arial" w:cs="Arial"/>
          <w:sz w:val="24"/>
          <w:szCs w:val="24"/>
        </w:rPr>
        <w:t>tackle barriers to retraining and upskilling so that no worker is left behind by the transition to net zero.</w:t>
      </w:r>
    </w:p>
    <w:p w14:paraId="32358679" w14:textId="77777777" w:rsidR="003B3C7D" w:rsidRPr="00D55425" w:rsidRDefault="003B3C7D" w:rsidP="003B3C7D">
      <w:pPr>
        <w:pStyle w:val="ListParagraph"/>
        <w:autoSpaceDE w:val="0"/>
        <w:autoSpaceDN w:val="0"/>
        <w:adjustRightInd w:val="0"/>
        <w:spacing w:after="0" w:line="240" w:lineRule="auto"/>
        <w:ind w:left="714"/>
        <w:rPr>
          <w:rFonts w:ascii="Arial" w:eastAsia="Times New Roman" w:hAnsi="Arial" w:cs="Arial"/>
          <w:sz w:val="24"/>
          <w:szCs w:val="24"/>
        </w:rPr>
      </w:pPr>
    </w:p>
    <w:p w14:paraId="62C81041" w14:textId="4322EA0B" w:rsidR="00F16CD6" w:rsidRDefault="00572746" w:rsidP="003B3C7D">
      <w:pPr>
        <w:numPr>
          <w:ilvl w:val="0"/>
          <w:numId w:val="6"/>
        </w:numPr>
        <w:spacing w:after="0" w:line="240" w:lineRule="auto"/>
        <w:ind w:left="714" w:hanging="357"/>
        <w:rPr>
          <w:rFonts w:ascii="Arial" w:eastAsia="Times New Roman" w:hAnsi="Arial" w:cs="Arial"/>
          <w:sz w:val="24"/>
          <w:szCs w:val="24"/>
        </w:rPr>
      </w:pPr>
      <w:r w:rsidRPr="00D55425">
        <w:rPr>
          <w:rFonts w:ascii="Arial" w:eastAsia="Times New Roman" w:hAnsi="Arial" w:cs="Arial"/>
          <w:sz w:val="24"/>
          <w:szCs w:val="24"/>
        </w:rPr>
        <w:t>A</w:t>
      </w:r>
      <w:r w:rsidR="00F16CD6" w:rsidRPr="00D55425">
        <w:rPr>
          <w:rFonts w:ascii="Arial" w:eastAsia="Times New Roman" w:hAnsi="Arial" w:cs="Arial"/>
          <w:sz w:val="24"/>
          <w:szCs w:val="24"/>
        </w:rPr>
        <w:t>dding value to a wide range of other support and not duplicating existing activity.</w:t>
      </w:r>
      <w:r w:rsidR="00D55425" w:rsidRPr="00D55425">
        <w:rPr>
          <w:rFonts w:ascii="Arial" w:eastAsia="Times New Roman" w:hAnsi="Arial" w:cs="Arial"/>
          <w:sz w:val="24"/>
          <w:szCs w:val="24"/>
        </w:rPr>
        <w:t xml:space="preserve"> </w:t>
      </w:r>
      <w:r w:rsidR="003818AE" w:rsidRPr="00D55425">
        <w:rPr>
          <w:rFonts w:ascii="Arial" w:eastAsia="Times New Roman" w:hAnsi="Arial" w:cs="Arial"/>
          <w:sz w:val="24"/>
          <w:szCs w:val="24"/>
        </w:rPr>
        <w:t>L</w:t>
      </w:r>
      <w:r w:rsidR="00F16CD6" w:rsidRPr="00D55425">
        <w:rPr>
          <w:rFonts w:ascii="Arial" w:eastAsia="Times New Roman" w:hAnsi="Arial" w:cs="Arial"/>
          <w:sz w:val="24"/>
          <w:szCs w:val="24"/>
        </w:rPr>
        <w:t>evering other funding where possible.</w:t>
      </w:r>
    </w:p>
    <w:p w14:paraId="2D79916C" w14:textId="77777777" w:rsidR="006A6AD2" w:rsidRDefault="006A6AD2" w:rsidP="006A6AD2">
      <w:pPr>
        <w:spacing w:after="0" w:line="240" w:lineRule="auto"/>
        <w:ind w:left="714"/>
        <w:rPr>
          <w:rFonts w:ascii="Arial" w:eastAsia="Times New Roman" w:hAnsi="Arial" w:cs="Arial"/>
          <w:sz w:val="24"/>
          <w:szCs w:val="24"/>
        </w:rPr>
      </w:pPr>
    </w:p>
    <w:p w14:paraId="0CE87055" w14:textId="5ED10744" w:rsidR="00F16CD6" w:rsidRDefault="00572746" w:rsidP="00C03DDE">
      <w:pPr>
        <w:numPr>
          <w:ilvl w:val="0"/>
          <w:numId w:val="6"/>
        </w:numPr>
        <w:spacing w:after="0" w:line="240" w:lineRule="auto"/>
        <w:ind w:left="714" w:hanging="357"/>
        <w:jc w:val="both"/>
        <w:rPr>
          <w:rFonts w:ascii="Arial" w:eastAsia="Times New Roman" w:hAnsi="Arial" w:cs="Arial"/>
          <w:sz w:val="24"/>
          <w:szCs w:val="24"/>
        </w:rPr>
      </w:pPr>
      <w:r>
        <w:rPr>
          <w:rFonts w:ascii="Arial" w:eastAsia="Times New Roman" w:hAnsi="Arial" w:cs="Arial"/>
          <w:sz w:val="24"/>
          <w:szCs w:val="24"/>
        </w:rPr>
        <w:t>C</w:t>
      </w:r>
      <w:r w:rsidR="00F16CD6" w:rsidRPr="00D81ED1">
        <w:rPr>
          <w:rFonts w:ascii="Arial" w:eastAsia="Times New Roman" w:hAnsi="Arial" w:cs="Arial"/>
          <w:sz w:val="24"/>
          <w:szCs w:val="24"/>
        </w:rPr>
        <w:t>onsistent with wider NTCA values, including around a Social and inclusive economy and sustainability objectives.</w:t>
      </w:r>
    </w:p>
    <w:p w14:paraId="14885FD6" w14:textId="1EF26A11" w:rsidR="00F16CD6" w:rsidRDefault="00F16CD6" w:rsidP="00C03DDE">
      <w:pPr>
        <w:spacing w:after="0" w:line="240" w:lineRule="auto"/>
        <w:jc w:val="both"/>
        <w:rPr>
          <w:rFonts w:ascii="Arial" w:eastAsia="Times New Roman" w:hAnsi="Arial" w:cs="Arial"/>
          <w:sz w:val="24"/>
          <w:szCs w:val="24"/>
        </w:rPr>
      </w:pPr>
    </w:p>
    <w:p w14:paraId="54DBD714" w14:textId="10D7105B" w:rsidR="006A6AD2" w:rsidRDefault="006A6AD2" w:rsidP="00C03DDE">
      <w:pPr>
        <w:spacing w:after="0" w:line="240" w:lineRule="auto"/>
        <w:jc w:val="both"/>
        <w:rPr>
          <w:rFonts w:ascii="Arial" w:eastAsia="Times New Roman" w:hAnsi="Arial" w:cs="Arial"/>
          <w:sz w:val="24"/>
          <w:szCs w:val="24"/>
        </w:rPr>
      </w:pPr>
    </w:p>
    <w:p w14:paraId="259B30BA" w14:textId="3C0BB068" w:rsidR="006A6AD2" w:rsidRPr="009E1F96" w:rsidRDefault="007E4CF7" w:rsidP="00C03DDE">
      <w:pPr>
        <w:spacing w:after="0" w:line="240" w:lineRule="auto"/>
        <w:jc w:val="both"/>
        <w:rPr>
          <w:rFonts w:ascii="Arial" w:eastAsia="Times New Roman" w:hAnsi="Arial" w:cs="Arial"/>
          <w:b/>
          <w:bCs/>
          <w:sz w:val="24"/>
          <w:szCs w:val="24"/>
        </w:rPr>
      </w:pPr>
      <w:r w:rsidRPr="007E4CF7">
        <w:rPr>
          <w:rFonts w:ascii="Arial" w:eastAsia="Times New Roman" w:hAnsi="Arial" w:cs="Arial"/>
          <w:b/>
          <w:bCs/>
          <w:sz w:val="24"/>
          <w:szCs w:val="24"/>
        </w:rPr>
        <w:t>Note:</w:t>
      </w:r>
      <w:r>
        <w:rPr>
          <w:rFonts w:ascii="Arial" w:eastAsia="Times New Roman" w:hAnsi="Arial" w:cs="Arial"/>
          <w:sz w:val="24"/>
          <w:szCs w:val="24"/>
        </w:rPr>
        <w:t xml:space="preserve"> </w:t>
      </w:r>
      <w:r w:rsidR="001775D2" w:rsidRPr="009E1F96">
        <w:rPr>
          <w:rFonts w:ascii="Arial" w:eastAsia="Times New Roman" w:hAnsi="Arial" w:cs="Arial"/>
          <w:b/>
          <w:bCs/>
          <w:sz w:val="24"/>
          <w:szCs w:val="24"/>
        </w:rPr>
        <w:t xml:space="preserve">For further detail on the funding </w:t>
      </w:r>
      <w:r w:rsidRPr="009E1F96">
        <w:rPr>
          <w:rFonts w:ascii="Arial" w:eastAsia="Times New Roman" w:hAnsi="Arial" w:cs="Arial"/>
          <w:b/>
          <w:bCs/>
          <w:sz w:val="24"/>
          <w:szCs w:val="24"/>
        </w:rPr>
        <w:t>parameters</w:t>
      </w:r>
      <w:r w:rsidR="001775D2" w:rsidRPr="009E1F96">
        <w:rPr>
          <w:rFonts w:ascii="Arial" w:eastAsia="Times New Roman" w:hAnsi="Arial" w:cs="Arial"/>
          <w:b/>
          <w:bCs/>
          <w:sz w:val="24"/>
          <w:szCs w:val="24"/>
        </w:rPr>
        <w:t xml:space="preserve"> please refer to Annex </w:t>
      </w:r>
      <w:r w:rsidR="006305AD" w:rsidRPr="009E1F96">
        <w:rPr>
          <w:rFonts w:ascii="Arial" w:eastAsia="Times New Roman" w:hAnsi="Arial" w:cs="Arial"/>
          <w:b/>
          <w:bCs/>
          <w:sz w:val="24"/>
          <w:szCs w:val="24"/>
        </w:rPr>
        <w:t>A</w:t>
      </w:r>
      <w:r w:rsidRPr="009E1F96">
        <w:rPr>
          <w:rFonts w:ascii="Arial" w:eastAsia="Times New Roman" w:hAnsi="Arial" w:cs="Arial"/>
          <w:b/>
          <w:bCs/>
          <w:sz w:val="24"/>
          <w:szCs w:val="24"/>
        </w:rPr>
        <w:t xml:space="preserve">. </w:t>
      </w:r>
    </w:p>
    <w:p w14:paraId="6AB83491" w14:textId="37C59FDA" w:rsidR="006A6AD2" w:rsidRDefault="006A6AD2" w:rsidP="00C03DDE">
      <w:pPr>
        <w:spacing w:after="0" w:line="240" w:lineRule="auto"/>
        <w:jc w:val="both"/>
        <w:rPr>
          <w:rFonts w:ascii="Arial" w:eastAsia="Times New Roman" w:hAnsi="Arial" w:cs="Arial"/>
          <w:sz w:val="24"/>
          <w:szCs w:val="24"/>
        </w:rPr>
      </w:pPr>
    </w:p>
    <w:p w14:paraId="33924DBB" w14:textId="0EBCC91E" w:rsidR="006A6AD2" w:rsidRDefault="006A6AD2" w:rsidP="00C03DDE">
      <w:pPr>
        <w:spacing w:after="0" w:line="240" w:lineRule="auto"/>
        <w:jc w:val="both"/>
        <w:rPr>
          <w:rFonts w:ascii="Arial" w:eastAsia="Times New Roman" w:hAnsi="Arial" w:cs="Arial"/>
          <w:sz w:val="24"/>
          <w:szCs w:val="24"/>
        </w:rPr>
      </w:pPr>
    </w:p>
    <w:p w14:paraId="7B7C30A1" w14:textId="66627B2F" w:rsidR="006A6AD2" w:rsidRDefault="006A6AD2" w:rsidP="00C03DDE">
      <w:pPr>
        <w:spacing w:after="0" w:line="240" w:lineRule="auto"/>
        <w:jc w:val="both"/>
        <w:rPr>
          <w:rFonts w:ascii="Arial" w:eastAsia="Times New Roman" w:hAnsi="Arial" w:cs="Arial"/>
          <w:sz w:val="24"/>
          <w:szCs w:val="24"/>
        </w:rPr>
      </w:pPr>
    </w:p>
    <w:p w14:paraId="6B1CAD16" w14:textId="46291E3A" w:rsidR="006A6AD2" w:rsidRDefault="006A6AD2" w:rsidP="00C03DDE">
      <w:pPr>
        <w:spacing w:after="0" w:line="240" w:lineRule="auto"/>
        <w:jc w:val="both"/>
        <w:rPr>
          <w:rFonts w:ascii="Arial" w:eastAsia="Times New Roman" w:hAnsi="Arial" w:cs="Arial"/>
          <w:sz w:val="24"/>
          <w:szCs w:val="24"/>
        </w:rPr>
      </w:pPr>
    </w:p>
    <w:p w14:paraId="32796D04" w14:textId="7757F30A" w:rsidR="006A6AD2" w:rsidRDefault="006A6AD2" w:rsidP="00C03DDE">
      <w:pPr>
        <w:spacing w:after="0" w:line="240" w:lineRule="auto"/>
        <w:jc w:val="both"/>
        <w:rPr>
          <w:rFonts w:ascii="Arial" w:eastAsia="Times New Roman" w:hAnsi="Arial" w:cs="Arial"/>
          <w:sz w:val="24"/>
          <w:szCs w:val="24"/>
        </w:rPr>
      </w:pPr>
    </w:p>
    <w:p w14:paraId="0413B681" w14:textId="034D2DB0" w:rsidR="006A6AD2" w:rsidRDefault="006A6AD2" w:rsidP="00C03DDE">
      <w:pPr>
        <w:spacing w:after="0" w:line="240" w:lineRule="auto"/>
        <w:jc w:val="both"/>
        <w:rPr>
          <w:rFonts w:ascii="Arial" w:eastAsia="Times New Roman" w:hAnsi="Arial" w:cs="Arial"/>
          <w:sz w:val="24"/>
          <w:szCs w:val="24"/>
        </w:rPr>
      </w:pPr>
    </w:p>
    <w:p w14:paraId="42DE5C9B" w14:textId="67936B78" w:rsidR="006A6AD2" w:rsidRDefault="006A6AD2" w:rsidP="00C03DDE">
      <w:pPr>
        <w:spacing w:after="0" w:line="240" w:lineRule="auto"/>
        <w:jc w:val="both"/>
        <w:rPr>
          <w:rFonts w:ascii="Arial" w:eastAsia="Times New Roman" w:hAnsi="Arial" w:cs="Arial"/>
          <w:sz w:val="24"/>
          <w:szCs w:val="24"/>
        </w:rPr>
      </w:pPr>
    </w:p>
    <w:p w14:paraId="1D8EBE2D" w14:textId="2BCCA584" w:rsidR="006A6AD2" w:rsidRDefault="006A6AD2" w:rsidP="00C03DDE">
      <w:pPr>
        <w:spacing w:after="0" w:line="240" w:lineRule="auto"/>
        <w:jc w:val="both"/>
        <w:rPr>
          <w:rFonts w:ascii="Arial" w:eastAsia="Times New Roman" w:hAnsi="Arial" w:cs="Arial"/>
          <w:sz w:val="24"/>
          <w:szCs w:val="24"/>
        </w:rPr>
      </w:pPr>
    </w:p>
    <w:p w14:paraId="64F68527" w14:textId="605F1EF4" w:rsidR="006A6AD2" w:rsidRDefault="006A6AD2" w:rsidP="00C03DDE">
      <w:pPr>
        <w:spacing w:after="0" w:line="240" w:lineRule="auto"/>
        <w:jc w:val="both"/>
        <w:rPr>
          <w:rFonts w:ascii="Arial" w:eastAsia="Times New Roman" w:hAnsi="Arial" w:cs="Arial"/>
          <w:sz w:val="24"/>
          <w:szCs w:val="24"/>
        </w:rPr>
      </w:pPr>
    </w:p>
    <w:p w14:paraId="3C336529" w14:textId="77777777" w:rsidR="006A6AD2" w:rsidRDefault="006A6AD2" w:rsidP="00C03DDE">
      <w:pPr>
        <w:spacing w:after="0" w:line="240" w:lineRule="auto"/>
        <w:jc w:val="both"/>
        <w:rPr>
          <w:rFonts w:ascii="Arial" w:eastAsia="Times New Roman" w:hAnsi="Arial" w:cs="Arial"/>
          <w:sz w:val="24"/>
          <w:szCs w:val="24"/>
        </w:rPr>
      </w:pPr>
    </w:p>
    <w:p w14:paraId="2FA8F0D0" w14:textId="77777777" w:rsidR="006A6AD2" w:rsidRDefault="006A6AD2" w:rsidP="00C03DDE">
      <w:pPr>
        <w:spacing w:after="0" w:line="240" w:lineRule="auto"/>
        <w:jc w:val="both"/>
        <w:rPr>
          <w:rFonts w:ascii="Arial" w:eastAsia="Times New Roman" w:hAnsi="Arial" w:cs="Arial"/>
          <w:sz w:val="24"/>
          <w:szCs w:val="24"/>
        </w:rPr>
      </w:pPr>
    </w:p>
    <w:p w14:paraId="3149BB4E" w14:textId="6E4BADF9" w:rsidR="00F16CD6" w:rsidRPr="00057DCD" w:rsidRDefault="00F16CD6" w:rsidP="00057DCD">
      <w:pPr>
        <w:pStyle w:val="Heading1"/>
        <w:numPr>
          <w:ilvl w:val="0"/>
          <w:numId w:val="45"/>
        </w:numPr>
        <w:ind w:left="567" w:hanging="567"/>
      </w:pPr>
      <w:bookmarkStart w:id="7" w:name="_Toc82606828"/>
      <w:r w:rsidRPr="00057DCD">
        <w:lastRenderedPageBreak/>
        <w:t xml:space="preserve">Funding </w:t>
      </w:r>
      <w:r w:rsidR="00A54615" w:rsidRPr="00057DCD">
        <w:t>p</w:t>
      </w:r>
      <w:r w:rsidRPr="00057DCD">
        <w:t>riorities</w:t>
      </w:r>
      <w:bookmarkEnd w:id="7"/>
    </w:p>
    <w:p w14:paraId="332E7E01" w14:textId="77777777" w:rsidR="00AB59DC" w:rsidRDefault="00AB59DC" w:rsidP="006A6AD2">
      <w:pPr>
        <w:autoSpaceDE w:val="0"/>
        <w:autoSpaceDN w:val="0"/>
        <w:adjustRightInd w:val="0"/>
        <w:spacing w:after="0" w:line="240" w:lineRule="auto"/>
        <w:rPr>
          <w:rFonts w:ascii="DMSans-Regular" w:hAnsi="DMSans-Regular" w:cs="DMSans-Regular"/>
          <w:sz w:val="17"/>
          <w:szCs w:val="17"/>
        </w:rPr>
      </w:pPr>
    </w:p>
    <w:p w14:paraId="7D678DA7" w14:textId="4440DABA" w:rsidR="00C03DDE" w:rsidRDefault="00D55425" w:rsidP="006A6AD2">
      <w:pPr>
        <w:pStyle w:val="Default"/>
        <w:rPr>
          <w:rFonts w:eastAsia="Times New Roman"/>
          <w:color w:val="0B0C0C"/>
          <w:shd w:val="clear" w:color="auto" w:fill="FFFFFF"/>
          <w:lang w:eastAsia="en-GB"/>
        </w:rPr>
      </w:pPr>
      <w:r w:rsidRPr="00D55425">
        <w:rPr>
          <w:rFonts w:eastAsia="Times New Roman"/>
          <w:color w:val="0B0C0C"/>
          <w:shd w:val="clear" w:color="auto" w:fill="FFFFFF"/>
          <w:lang w:eastAsia="en-GB"/>
        </w:rPr>
        <w:t xml:space="preserve">We are interested in proposals for innovative projects that equip people with the skills they need to capitalise on </w:t>
      </w:r>
      <w:r>
        <w:rPr>
          <w:rFonts w:eastAsia="Times New Roman"/>
          <w:color w:val="0B0C0C"/>
          <w:shd w:val="clear" w:color="auto" w:fill="FFFFFF"/>
          <w:lang w:eastAsia="en-GB"/>
        </w:rPr>
        <w:t xml:space="preserve">inward investment </w:t>
      </w:r>
      <w:r w:rsidRPr="00D55425">
        <w:rPr>
          <w:rFonts w:eastAsia="Times New Roman"/>
          <w:color w:val="0B0C0C"/>
          <w:shd w:val="clear" w:color="auto" w:fill="FFFFFF"/>
          <w:lang w:eastAsia="en-GB"/>
        </w:rPr>
        <w:t xml:space="preserve">opportunities in our area and </w:t>
      </w:r>
      <w:r w:rsidR="00C03DDE">
        <w:rPr>
          <w:rFonts w:eastAsia="Times New Roman"/>
          <w:color w:val="0B0C0C"/>
          <w:shd w:val="clear" w:color="auto" w:fill="FFFFFF"/>
          <w:lang w:eastAsia="en-GB"/>
        </w:rPr>
        <w:t xml:space="preserve">to support the skills needs </w:t>
      </w:r>
      <w:r w:rsidRPr="00D55425">
        <w:rPr>
          <w:rFonts w:eastAsia="Times New Roman"/>
          <w:color w:val="0B0C0C"/>
          <w:shd w:val="clear" w:color="auto" w:fill="FFFFFF"/>
          <w:lang w:eastAsia="en-GB"/>
        </w:rPr>
        <w:t>of a</w:t>
      </w:r>
      <w:r w:rsidR="00C03DDE">
        <w:rPr>
          <w:rFonts w:eastAsia="Times New Roman"/>
          <w:color w:val="0B0C0C"/>
          <w:shd w:val="clear" w:color="auto" w:fill="FFFFFF"/>
          <w:lang w:eastAsia="en-GB"/>
        </w:rPr>
        <w:t>n</w:t>
      </w:r>
      <w:r w:rsidRPr="00D55425">
        <w:rPr>
          <w:rFonts w:eastAsia="Times New Roman"/>
          <w:color w:val="0B0C0C"/>
          <w:shd w:val="clear" w:color="auto" w:fill="FFFFFF"/>
          <w:lang w:eastAsia="en-GB"/>
        </w:rPr>
        <w:t xml:space="preserve"> increasingly green economy. </w:t>
      </w:r>
      <w:r w:rsidR="00F32E7F">
        <w:rPr>
          <w:rFonts w:eastAsia="Times New Roman"/>
          <w:color w:val="0B0C0C"/>
          <w:shd w:val="clear" w:color="auto" w:fill="FFFFFF"/>
          <w:lang w:eastAsia="en-GB"/>
        </w:rPr>
        <w:t xml:space="preserve"> (</w:t>
      </w:r>
      <w:r w:rsidR="006A6AD2">
        <w:rPr>
          <w:rFonts w:eastAsia="Times New Roman"/>
          <w:color w:val="0B0C0C"/>
          <w:shd w:val="clear" w:color="auto" w:fill="FFFFFF"/>
          <w:lang w:eastAsia="en-GB"/>
        </w:rPr>
        <w:t>Key</w:t>
      </w:r>
      <w:r w:rsidR="00F32E7F">
        <w:rPr>
          <w:rFonts w:eastAsia="Times New Roman"/>
          <w:color w:val="0B0C0C"/>
          <w:shd w:val="clear" w:color="auto" w:fill="FFFFFF"/>
          <w:lang w:eastAsia="en-GB"/>
        </w:rPr>
        <w:t xml:space="preserve"> Sectors for this </w:t>
      </w:r>
      <w:r w:rsidR="006A6AD2">
        <w:rPr>
          <w:rFonts w:eastAsia="Times New Roman"/>
          <w:color w:val="0B0C0C"/>
          <w:shd w:val="clear" w:color="auto" w:fill="FFFFFF"/>
          <w:lang w:eastAsia="en-GB"/>
        </w:rPr>
        <w:t xml:space="preserve">funding opportunity </w:t>
      </w:r>
      <w:r w:rsidR="00F32E7F">
        <w:rPr>
          <w:rFonts w:eastAsia="Times New Roman"/>
          <w:color w:val="0B0C0C"/>
          <w:shd w:val="clear" w:color="auto" w:fill="FFFFFF"/>
          <w:lang w:eastAsia="en-GB"/>
        </w:rPr>
        <w:t xml:space="preserve">are detailed in Annex </w:t>
      </w:r>
      <w:r w:rsidR="006305AD">
        <w:rPr>
          <w:rFonts w:eastAsia="Times New Roman"/>
          <w:color w:val="0B0C0C"/>
          <w:shd w:val="clear" w:color="auto" w:fill="FFFFFF"/>
          <w:lang w:eastAsia="en-GB"/>
        </w:rPr>
        <w:t>B</w:t>
      </w:r>
      <w:r w:rsidR="00F32E7F">
        <w:rPr>
          <w:rFonts w:eastAsia="Times New Roman"/>
          <w:color w:val="0B0C0C"/>
          <w:shd w:val="clear" w:color="auto" w:fill="FFFFFF"/>
          <w:lang w:eastAsia="en-GB"/>
        </w:rPr>
        <w:t xml:space="preserve"> of this document).</w:t>
      </w:r>
    </w:p>
    <w:p w14:paraId="2783B7AB" w14:textId="0329E621" w:rsidR="006A6AD2" w:rsidRDefault="006A6AD2" w:rsidP="006A6AD2">
      <w:pPr>
        <w:pStyle w:val="Default"/>
        <w:rPr>
          <w:rFonts w:eastAsia="Times New Roman"/>
          <w:color w:val="0B0C0C"/>
          <w:shd w:val="clear" w:color="auto" w:fill="FFFFFF"/>
          <w:lang w:eastAsia="en-GB"/>
        </w:rPr>
      </w:pPr>
    </w:p>
    <w:p w14:paraId="55909B16" w14:textId="4EBF199C" w:rsidR="006A6AD2" w:rsidRPr="00CE68F9" w:rsidRDefault="006A6AD2" w:rsidP="006A6AD2">
      <w:pPr>
        <w:pStyle w:val="Default"/>
        <w:jc w:val="both"/>
      </w:pPr>
      <w:r>
        <w:t xml:space="preserve">This funding will support </w:t>
      </w:r>
      <w:r w:rsidRPr="006A6AD2">
        <w:t>skills</w:t>
      </w:r>
      <w:r>
        <w:t>/training</w:t>
      </w:r>
      <w:r w:rsidRPr="006A6AD2">
        <w:t xml:space="preserve"> activity that is explicitly </w:t>
      </w:r>
      <w:r w:rsidRPr="006A6AD2">
        <w:rPr>
          <w:b/>
          <w:bCs/>
        </w:rPr>
        <w:t>employer-led</w:t>
      </w:r>
      <w:r w:rsidRPr="006A6AD2">
        <w:t xml:space="preserve"> and co-invested in by businesses.</w:t>
      </w:r>
      <w:r>
        <w:t xml:space="preserve">   We are seeking innovation in </w:t>
      </w:r>
      <w:r w:rsidR="00563897">
        <w:t>provision;</w:t>
      </w:r>
      <w:r>
        <w:t xml:space="preserve"> this could include non-accredited training and support and/or accredited programmes </w:t>
      </w:r>
      <w:r w:rsidRPr="00CE68F9">
        <w:t xml:space="preserve">to address the high-level and technical skills needs of </w:t>
      </w:r>
      <w:r w:rsidR="00563897">
        <w:t xml:space="preserve">the key </w:t>
      </w:r>
      <w:r w:rsidRPr="00CE68F9">
        <w:t xml:space="preserve">sectors. </w:t>
      </w:r>
    </w:p>
    <w:p w14:paraId="445A23E0" w14:textId="77777777" w:rsidR="00C03DDE" w:rsidRPr="00CE68F9" w:rsidRDefault="00C03DDE" w:rsidP="006A6AD2">
      <w:pPr>
        <w:pStyle w:val="Default"/>
        <w:jc w:val="both"/>
      </w:pPr>
    </w:p>
    <w:p w14:paraId="7B754BD1" w14:textId="61647C5E" w:rsidR="00C03DDE" w:rsidRDefault="00C03DDE" w:rsidP="006A6AD2">
      <w:pPr>
        <w:spacing w:after="0" w:line="240" w:lineRule="auto"/>
        <w:jc w:val="both"/>
        <w:rPr>
          <w:rFonts w:ascii="Arial" w:eastAsia="Batang" w:hAnsi="Arial" w:cs="Arial"/>
          <w:sz w:val="24"/>
          <w:szCs w:val="24"/>
        </w:rPr>
      </w:pPr>
      <w:r>
        <w:rPr>
          <w:rFonts w:ascii="Arial" w:eastAsia="Batang" w:hAnsi="Arial" w:cs="Arial"/>
          <w:sz w:val="24"/>
          <w:szCs w:val="24"/>
        </w:rPr>
        <w:t>Any p</w:t>
      </w:r>
      <w:r w:rsidRPr="00CE68F9">
        <w:rPr>
          <w:rFonts w:ascii="Arial" w:eastAsia="Batang" w:hAnsi="Arial" w:cs="Arial"/>
          <w:sz w:val="24"/>
          <w:szCs w:val="24"/>
        </w:rPr>
        <w:t xml:space="preserve">roposals submitted should </w:t>
      </w:r>
      <w:r>
        <w:rPr>
          <w:rFonts w:ascii="Arial" w:eastAsia="Batang" w:hAnsi="Arial" w:cs="Arial"/>
          <w:sz w:val="24"/>
          <w:szCs w:val="24"/>
        </w:rPr>
        <w:t xml:space="preserve">clearly contribute to one or more of the following: </w:t>
      </w:r>
      <w:r w:rsidRPr="00CE68F9">
        <w:rPr>
          <w:rFonts w:ascii="Arial" w:eastAsia="Batang" w:hAnsi="Arial" w:cs="Arial"/>
          <w:sz w:val="24"/>
          <w:szCs w:val="24"/>
        </w:rPr>
        <w:t xml:space="preserve"> </w:t>
      </w:r>
    </w:p>
    <w:p w14:paraId="0C3B8064" w14:textId="77777777" w:rsidR="00C03DDE" w:rsidRPr="00CE68F9" w:rsidRDefault="00C03DDE" w:rsidP="006A6AD2">
      <w:pPr>
        <w:spacing w:after="0" w:line="240" w:lineRule="auto"/>
        <w:jc w:val="both"/>
        <w:rPr>
          <w:rFonts w:ascii="Arial" w:eastAsia="Batang" w:hAnsi="Arial" w:cs="Arial"/>
          <w:sz w:val="24"/>
          <w:szCs w:val="24"/>
        </w:rPr>
      </w:pPr>
    </w:p>
    <w:p w14:paraId="7C5E7F54" w14:textId="531BC068" w:rsidR="00D55425" w:rsidRPr="00633007" w:rsidRDefault="00D55425" w:rsidP="006A6AD2">
      <w:pPr>
        <w:pStyle w:val="ListParagraph"/>
        <w:numPr>
          <w:ilvl w:val="0"/>
          <w:numId w:val="41"/>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Secure better outcomes for young people</w:t>
      </w:r>
      <w:r w:rsidRPr="00633007">
        <w:rPr>
          <w:rFonts w:ascii="Arial" w:eastAsia="Times New Roman" w:hAnsi="Arial" w:cs="Arial"/>
          <w:sz w:val="24"/>
          <w:szCs w:val="24"/>
          <w:lang w:eastAsia="en-GB"/>
        </w:rPr>
        <w:t> </w:t>
      </w:r>
    </w:p>
    <w:p w14:paraId="16BF76C8" w14:textId="77777777" w:rsidR="00C03DDE" w:rsidRPr="00D55425" w:rsidRDefault="00C03DDE" w:rsidP="006A6AD2">
      <w:pPr>
        <w:spacing w:after="0" w:line="240" w:lineRule="auto"/>
        <w:textAlignment w:val="baseline"/>
        <w:rPr>
          <w:rFonts w:ascii="Segoe UI" w:eastAsia="Times New Roman" w:hAnsi="Segoe UI" w:cs="Segoe UI"/>
          <w:sz w:val="18"/>
          <w:szCs w:val="18"/>
          <w:lang w:eastAsia="en-GB"/>
        </w:rPr>
      </w:pPr>
    </w:p>
    <w:p w14:paraId="1CC8AA90" w14:textId="7CC827F0" w:rsidR="00E81A90" w:rsidRPr="0012147E" w:rsidRDefault="00C03DDE" w:rsidP="006A6AD2">
      <w:pPr>
        <w:spacing w:after="0" w:line="240" w:lineRule="auto"/>
        <w:textAlignment w:val="baseline"/>
        <w:rPr>
          <w:rFonts w:ascii="Arial" w:eastAsia="Times New Roman" w:hAnsi="Arial" w:cs="Arial"/>
          <w:sz w:val="24"/>
          <w:szCs w:val="24"/>
          <w:lang w:eastAsia="en-GB"/>
        </w:rPr>
      </w:pPr>
      <w:r w:rsidRPr="0012147E">
        <w:rPr>
          <w:rFonts w:ascii="Arial" w:hAnsi="Arial" w:cs="Arial"/>
          <w:sz w:val="24"/>
          <w:szCs w:val="24"/>
        </w:rPr>
        <w:t xml:space="preserve">We would welcome proposals that target young people without formal qualifications </w:t>
      </w:r>
      <w:r w:rsidR="003B3C7D" w:rsidRPr="0012147E">
        <w:rPr>
          <w:rFonts w:ascii="Arial" w:hAnsi="Arial" w:cs="Arial"/>
          <w:sz w:val="24"/>
          <w:szCs w:val="24"/>
        </w:rPr>
        <w:t xml:space="preserve">who </w:t>
      </w:r>
      <w:r w:rsidRPr="0012147E">
        <w:rPr>
          <w:rFonts w:ascii="Arial" w:hAnsi="Arial" w:cs="Arial"/>
          <w:sz w:val="24"/>
          <w:szCs w:val="24"/>
        </w:rPr>
        <w:t>are over-represented in low paid, low quality jobs.  There is a huge opportunity to break this cycle by supporting more young people to train for a green career</w:t>
      </w:r>
      <w:r w:rsidR="00E81A90" w:rsidRPr="0012147E">
        <w:rPr>
          <w:rFonts w:ascii="Arial" w:hAnsi="Arial" w:cs="Arial"/>
          <w:sz w:val="24"/>
          <w:szCs w:val="24"/>
        </w:rPr>
        <w:t xml:space="preserve"> through project</w:t>
      </w:r>
      <w:r w:rsidR="00E81A90" w:rsidRPr="0012147E">
        <w:rPr>
          <w:rFonts w:ascii="Arial" w:eastAsia="Times New Roman" w:hAnsi="Arial" w:cs="Arial"/>
          <w:sz w:val="24"/>
          <w:szCs w:val="24"/>
          <w:lang w:eastAsia="en-GB"/>
        </w:rPr>
        <w:t xml:space="preserve">s that support </w:t>
      </w:r>
      <w:r w:rsidR="003B3C7D" w:rsidRPr="0012147E">
        <w:rPr>
          <w:rFonts w:ascii="Arial" w:eastAsia="Times New Roman" w:hAnsi="Arial" w:cs="Arial"/>
          <w:sz w:val="24"/>
          <w:szCs w:val="24"/>
          <w:lang w:eastAsia="en-GB"/>
        </w:rPr>
        <w:t xml:space="preserve">young people </w:t>
      </w:r>
      <w:r w:rsidR="00E81A90" w:rsidRPr="0012147E">
        <w:rPr>
          <w:rFonts w:ascii="Arial" w:eastAsia="Times New Roman" w:hAnsi="Arial" w:cs="Arial"/>
          <w:sz w:val="24"/>
          <w:szCs w:val="24"/>
          <w:lang w:eastAsia="en-GB"/>
        </w:rPr>
        <w:t>to gain valuable technical skills and on the job training which provide entry to green jobs in our area.   </w:t>
      </w:r>
    </w:p>
    <w:p w14:paraId="69620863" w14:textId="46D317AF" w:rsidR="00D55425" w:rsidRPr="0012147E" w:rsidRDefault="00D55425" w:rsidP="006A6AD2">
      <w:pPr>
        <w:spacing w:after="0" w:line="240" w:lineRule="auto"/>
        <w:textAlignment w:val="baseline"/>
        <w:rPr>
          <w:rFonts w:ascii="Arial" w:eastAsia="Times New Roman" w:hAnsi="Arial" w:cs="Arial"/>
          <w:sz w:val="24"/>
          <w:szCs w:val="24"/>
          <w:lang w:eastAsia="en-GB"/>
        </w:rPr>
      </w:pPr>
      <w:r w:rsidRPr="0012147E">
        <w:rPr>
          <w:rFonts w:ascii="Arial" w:eastAsia="Times New Roman" w:hAnsi="Arial" w:cs="Arial"/>
          <w:sz w:val="24"/>
          <w:szCs w:val="24"/>
          <w:lang w:eastAsia="en-GB"/>
        </w:rPr>
        <w:t> </w:t>
      </w:r>
    </w:p>
    <w:p w14:paraId="603ABCCD" w14:textId="532E154C" w:rsidR="0012147E" w:rsidRPr="0012147E" w:rsidRDefault="0012147E" w:rsidP="006A6AD2">
      <w:pPr>
        <w:spacing w:after="0" w:line="240" w:lineRule="auto"/>
        <w:rPr>
          <w:rFonts w:ascii="Arial" w:hAnsi="Arial" w:cs="Arial"/>
          <w:b/>
          <w:bCs/>
          <w:sz w:val="24"/>
          <w:szCs w:val="24"/>
        </w:rPr>
      </w:pPr>
      <w:r w:rsidRPr="0012147E">
        <w:rPr>
          <w:rFonts w:ascii="Arial" w:hAnsi="Arial" w:cs="Arial"/>
          <w:sz w:val="24"/>
          <w:szCs w:val="24"/>
        </w:rPr>
        <w:t>Consideration will be given to proposals that are co-designed with employers at</w:t>
      </w:r>
      <w:r w:rsidR="00633007">
        <w:rPr>
          <w:rFonts w:ascii="Arial" w:hAnsi="Arial" w:cs="Arial"/>
          <w:sz w:val="24"/>
          <w:szCs w:val="24"/>
        </w:rPr>
        <w:t xml:space="preserve"> the</w:t>
      </w:r>
      <w:r w:rsidRPr="0012147E">
        <w:rPr>
          <w:rFonts w:ascii="Arial" w:hAnsi="Arial" w:cs="Arial"/>
          <w:sz w:val="24"/>
          <w:szCs w:val="24"/>
        </w:rPr>
        <w:t xml:space="preserve"> helm to provide local training academies with insight into the new demands for novel skills and the evolving skills gap in important sectors such as offshore wind and retrofit.</w:t>
      </w:r>
    </w:p>
    <w:p w14:paraId="48B21E86" w14:textId="77777777" w:rsidR="002540F5" w:rsidRPr="00D55425" w:rsidRDefault="002540F5" w:rsidP="006A6AD2">
      <w:pPr>
        <w:spacing w:after="0" w:line="240" w:lineRule="auto"/>
        <w:textAlignment w:val="baseline"/>
        <w:rPr>
          <w:rFonts w:ascii="Segoe UI" w:eastAsia="Times New Roman" w:hAnsi="Segoe UI" w:cs="Segoe UI"/>
          <w:sz w:val="18"/>
          <w:szCs w:val="18"/>
          <w:lang w:eastAsia="en-GB"/>
        </w:rPr>
      </w:pPr>
    </w:p>
    <w:p w14:paraId="70E8A4EA" w14:textId="6E8DB6D4" w:rsidR="00D55425" w:rsidRPr="00633007" w:rsidRDefault="00D55425" w:rsidP="006A6AD2">
      <w:pPr>
        <w:pStyle w:val="ListParagraph"/>
        <w:numPr>
          <w:ilvl w:val="0"/>
          <w:numId w:val="40"/>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Investment in skills to support the local economy</w:t>
      </w:r>
      <w:r w:rsidRPr="00633007">
        <w:rPr>
          <w:rFonts w:ascii="Arial" w:eastAsia="Times New Roman" w:hAnsi="Arial" w:cs="Arial"/>
          <w:sz w:val="24"/>
          <w:szCs w:val="24"/>
          <w:lang w:eastAsia="en-GB"/>
        </w:rPr>
        <w:t> </w:t>
      </w:r>
    </w:p>
    <w:p w14:paraId="50457BCD"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1F5245D6" w14:textId="62B1991A" w:rsidR="009A19A3" w:rsidRPr="00E214A9" w:rsidRDefault="00D55425" w:rsidP="006A6AD2">
      <w:pPr>
        <w:pStyle w:val="paragraph"/>
        <w:spacing w:before="0" w:beforeAutospacing="0" w:after="0" w:afterAutospacing="0"/>
        <w:textAlignment w:val="baseline"/>
        <w:rPr>
          <w:rFonts w:ascii="Arial" w:hAnsi="Arial" w:cs="Arial"/>
        </w:rPr>
      </w:pPr>
      <w:r w:rsidRPr="00E214A9">
        <w:rPr>
          <w:rFonts w:ascii="Arial" w:hAnsi="Arial" w:cs="Arial"/>
        </w:rPr>
        <w:t xml:space="preserve">We would welcome innovative proposals that demonstrate collaboration between employers and skills providers to address skills shortages in </w:t>
      </w:r>
      <w:r w:rsidR="009A19A3" w:rsidRPr="00E214A9">
        <w:rPr>
          <w:rFonts w:ascii="Arial" w:hAnsi="Arial" w:cs="Arial"/>
        </w:rPr>
        <w:t xml:space="preserve">the Low Carbon and Renewable Energy Economy in our region. </w:t>
      </w:r>
    </w:p>
    <w:p w14:paraId="07EAEDEF" w14:textId="77777777" w:rsidR="009A19A3" w:rsidRPr="00E214A9" w:rsidRDefault="009A19A3" w:rsidP="006A6AD2">
      <w:pPr>
        <w:spacing w:after="0" w:line="240" w:lineRule="auto"/>
        <w:textAlignment w:val="baseline"/>
        <w:rPr>
          <w:rFonts w:ascii="Arial" w:eastAsia="Times New Roman" w:hAnsi="Arial" w:cs="Arial"/>
          <w:sz w:val="24"/>
          <w:szCs w:val="24"/>
          <w:lang w:eastAsia="en-GB"/>
        </w:rPr>
      </w:pPr>
    </w:p>
    <w:p w14:paraId="2A50298F" w14:textId="58A569B2" w:rsidR="009A19A3" w:rsidRPr="00E214A9" w:rsidRDefault="00D55425" w:rsidP="006A6AD2">
      <w:pPr>
        <w:spacing w:after="0" w:line="240" w:lineRule="auto"/>
        <w:textAlignment w:val="baseline"/>
        <w:rPr>
          <w:rFonts w:ascii="Arial" w:eastAsia="Times New Roman" w:hAnsi="Arial" w:cs="Arial"/>
          <w:sz w:val="24"/>
          <w:szCs w:val="24"/>
          <w:lang w:eastAsia="en-GB"/>
        </w:rPr>
      </w:pPr>
      <w:r w:rsidRPr="00E214A9">
        <w:rPr>
          <w:rFonts w:ascii="Arial" w:eastAsia="Times New Roman" w:hAnsi="Arial" w:cs="Arial"/>
          <w:sz w:val="24"/>
          <w:szCs w:val="24"/>
          <w:lang w:eastAsia="en-GB"/>
        </w:rPr>
        <w:t xml:space="preserve">Projects may support retraining, upskilling or reskilling members of the workforce to meet the needs of a local employer or sector. </w:t>
      </w:r>
      <w:r w:rsidR="00E214A9" w:rsidRPr="00E214A9">
        <w:rPr>
          <w:rFonts w:ascii="Arial" w:hAnsi="Arial" w:cs="Arial"/>
          <w:sz w:val="24"/>
          <w:szCs w:val="24"/>
        </w:rPr>
        <w:t>Developing curricula to reinforce both specialist and transferable skills, align</w:t>
      </w:r>
      <w:r w:rsidR="00E214A9">
        <w:rPr>
          <w:rFonts w:ascii="Arial" w:hAnsi="Arial" w:cs="Arial"/>
          <w:sz w:val="24"/>
          <w:szCs w:val="24"/>
        </w:rPr>
        <w:t xml:space="preserve">ed with </w:t>
      </w:r>
      <w:r w:rsidR="00E214A9" w:rsidRPr="00E214A9">
        <w:rPr>
          <w:rFonts w:ascii="Arial" w:hAnsi="Arial" w:cs="Arial"/>
          <w:sz w:val="24"/>
          <w:szCs w:val="24"/>
        </w:rPr>
        <w:t>existing training systems and capacities</w:t>
      </w:r>
      <w:r w:rsidR="00E214A9">
        <w:rPr>
          <w:rFonts w:ascii="Arial" w:hAnsi="Arial" w:cs="Arial"/>
          <w:sz w:val="24"/>
          <w:szCs w:val="24"/>
        </w:rPr>
        <w:t xml:space="preserve">. </w:t>
      </w:r>
    </w:p>
    <w:p w14:paraId="0BC58E67" w14:textId="77777777" w:rsidR="009A19A3" w:rsidRPr="00E214A9" w:rsidRDefault="009A19A3" w:rsidP="006A6AD2">
      <w:pPr>
        <w:spacing w:after="0" w:line="240" w:lineRule="auto"/>
        <w:textAlignment w:val="baseline"/>
        <w:rPr>
          <w:rFonts w:ascii="Arial" w:eastAsia="Times New Roman" w:hAnsi="Arial" w:cs="Arial"/>
          <w:sz w:val="24"/>
          <w:szCs w:val="24"/>
          <w:lang w:eastAsia="en-GB"/>
        </w:rPr>
      </w:pPr>
    </w:p>
    <w:p w14:paraId="0A45C359" w14:textId="426FD869" w:rsidR="00D55425" w:rsidRPr="00E214A9" w:rsidRDefault="00D55425" w:rsidP="006A6AD2">
      <w:pPr>
        <w:spacing w:after="0" w:line="240" w:lineRule="auto"/>
        <w:textAlignment w:val="baseline"/>
        <w:rPr>
          <w:rFonts w:ascii="Arial" w:eastAsia="Times New Roman" w:hAnsi="Arial" w:cs="Arial"/>
          <w:color w:val="FF0000"/>
          <w:sz w:val="24"/>
          <w:szCs w:val="24"/>
          <w:lang w:eastAsia="en-GB"/>
        </w:rPr>
      </w:pPr>
      <w:r w:rsidRPr="00E214A9">
        <w:rPr>
          <w:rFonts w:ascii="Arial" w:eastAsia="Times New Roman" w:hAnsi="Arial" w:cs="Arial"/>
          <w:sz w:val="24"/>
          <w:szCs w:val="24"/>
          <w:lang w:eastAsia="en-GB"/>
        </w:rPr>
        <w:t xml:space="preserve">Provision may also be designed to </w:t>
      </w:r>
      <w:r w:rsidR="009A19A3" w:rsidRPr="00E214A9">
        <w:rPr>
          <w:rFonts w:ascii="Arial" w:eastAsia="Times New Roman" w:hAnsi="Arial" w:cs="Arial"/>
          <w:sz w:val="24"/>
          <w:szCs w:val="24"/>
          <w:lang w:eastAsia="en-GB"/>
        </w:rPr>
        <w:t>address</w:t>
      </w:r>
      <w:r w:rsidR="00E214A9" w:rsidRPr="00E214A9">
        <w:rPr>
          <w:rFonts w:ascii="Arial" w:eastAsia="Times New Roman" w:hAnsi="Arial" w:cs="Arial"/>
          <w:sz w:val="24"/>
          <w:szCs w:val="24"/>
          <w:lang w:eastAsia="en-GB"/>
        </w:rPr>
        <w:t xml:space="preserve"> </w:t>
      </w:r>
      <w:r w:rsidR="00E214A9" w:rsidRPr="00E214A9">
        <w:rPr>
          <w:rFonts w:ascii="Arial" w:hAnsi="Arial" w:cs="Arial"/>
          <w:sz w:val="24"/>
          <w:szCs w:val="24"/>
        </w:rPr>
        <w:t xml:space="preserve">future and current skills gaps, providing the skills, knowledge, and behaviours required for people to move into green jobs.  </w:t>
      </w:r>
      <w:r w:rsidR="009A19A3" w:rsidRPr="00E214A9">
        <w:rPr>
          <w:rFonts w:ascii="Arial" w:eastAsia="Times New Roman" w:hAnsi="Arial" w:cs="Arial"/>
          <w:sz w:val="24"/>
          <w:szCs w:val="24"/>
          <w:lang w:eastAsia="en-GB"/>
        </w:rPr>
        <w:t xml:space="preserve"> </w:t>
      </w:r>
    </w:p>
    <w:p w14:paraId="3DBBEB78" w14:textId="77777777" w:rsidR="002540F5" w:rsidRPr="00D55425" w:rsidRDefault="002540F5" w:rsidP="006A6AD2">
      <w:pPr>
        <w:spacing w:after="0" w:line="240" w:lineRule="auto"/>
        <w:ind w:left="720" w:hanging="720"/>
        <w:textAlignment w:val="baseline"/>
        <w:rPr>
          <w:rFonts w:ascii="Segoe UI" w:eastAsia="Times New Roman" w:hAnsi="Segoe UI" w:cs="Segoe UI"/>
          <w:sz w:val="18"/>
          <w:szCs w:val="18"/>
          <w:lang w:eastAsia="en-GB"/>
        </w:rPr>
      </w:pPr>
    </w:p>
    <w:p w14:paraId="3163D38C" w14:textId="2043EE59" w:rsidR="00D55425" w:rsidRPr="00633007" w:rsidRDefault="00D55425" w:rsidP="006A6AD2">
      <w:pPr>
        <w:pStyle w:val="ListParagraph"/>
        <w:numPr>
          <w:ilvl w:val="0"/>
          <w:numId w:val="39"/>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shd w:val="clear" w:color="auto" w:fill="FFFFFF"/>
          <w:lang w:eastAsia="en-GB"/>
        </w:rPr>
        <w:t>Help people progress into work</w:t>
      </w:r>
      <w:r w:rsidRPr="00633007">
        <w:rPr>
          <w:rFonts w:ascii="Arial" w:eastAsia="Times New Roman" w:hAnsi="Arial" w:cs="Arial"/>
          <w:sz w:val="24"/>
          <w:szCs w:val="24"/>
          <w:lang w:eastAsia="en-GB"/>
        </w:rPr>
        <w:t> </w:t>
      </w:r>
    </w:p>
    <w:p w14:paraId="08B34EB6"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24CA4418" w14:textId="1446635F" w:rsidR="00E214A9" w:rsidRDefault="00F84C45" w:rsidP="006A6AD2">
      <w:pPr>
        <w:spacing w:after="0" w:line="240" w:lineRule="auto"/>
        <w:rPr>
          <w:rFonts w:ascii="Arial" w:hAnsi="Arial" w:cs="Arial"/>
          <w:sz w:val="24"/>
          <w:szCs w:val="24"/>
        </w:rPr>
      </w:pPr>
      <w:r w:rsidRPr="00633007">
        <w:rPr>
          <w:rFonts w:ascii="Arial" w:hAnsi="Arial" w:cs="Arial"/>
          <w:sz w:val="24"/>
          <w:szCs w:val="24"/>
        </w:rPr>
        <w:t xml:space="preserve">NTCA is interested in skills and training proposals that maximise opportunities for </w:t>
      </w:r>
      <w:r w:rsidR="00E214A9" w:rsidRPr="00633007">
        <w:rPr>
          <w:rFonts w:ascii="Arial" w:hAnsi="Arial" w:cs="Arial"/>
          <w:sz w:val="24"/>
          <w:szCs w:val="24"/>
        </w:rPr>
        <w:t xml:space="preserve">unemployed </w:t>
      </w:r>
      <w:r w:rsidRPr="00633007">
        <w:rPr>
          <w:rFonts w:ascii="Arial" w:hAnsi="Arial" w:cs="Arial"/>
          <w:sz w:val="24"/>
          <w:szCs w:val="24"/>
        </w:rPr>
        <w:t xml:space="preserve">residents to access the growing proportion of ‘green jobs’ across our region.   </w:t>
      </w:r>
      <w:r w:rsidR="00E214A9" w:rsidRPr="00633007">
        <w:rPr>
          <w:rFonts w:ascii="Arial" w:hAnsi="Arial" w:cs="Arial"/>
          <w:sz w:val="24"/>
          <w:szCs w:val="24"/>
        </w:rPr>
        <w:t>Projects targeting people who have been unemployed for three or more months, build</w:t>
      </w:r>
      <w:r w:rsidR="0012147E" w:rsidRPr="00633007">
        <w:rPr>
          <w:rFonts w:ascii="Arial" w:hAnsi="Arial" w:cs="Arial"/>
          <w:sz w:val="24"/>
          <w:szCs w:val="24"/>
        </w:rPr>
        <w:t>ing</w:t>
      </w:r>
      <w:r w:rsidR="00E214A9" w:rsidRPr="00633007">
        <w:rPr>
          <w:rFonts w:ascii="Arial" w:hAnsi="Arial" w:cs="Arial"/>
          <w:sz w:val="24"/>
          <w:szCs w:val="24"/>
        </w:rPr>
        <w:t xml:space="preserve"> on unemployment schemes to help more people into ‘green’ </w:t>
      </w:r>
      <w:r w:rsidR="0012147E" w:rsidRPr="00633007">
        <w:rPr>
          <w:rFonts w:ascii="Arial" w:hAnsi="Arial" w:cs="Arial"/>
          <w:sz w:val="24"/>
          <w:szCs w:val="24"/>
        </w:rPr>
        <w:t xml:space="preserve">jobs. </w:t>
      </w:r>
    </w:p>
    <w:p w14:paraId="6B5EE3FD" w14:textId="77777777" w:rsidR="00563897" w:rsidRPr="00633007" w:rsidRDefault="00563897" w:rsidP="006A6AD2">
      <w:pPr>
        <w:spacing w:after="0" w:line="240" w:lineRule="auto"/>
        <w:rPr>
          <w:rFonts w:ascii="Arial" w:hAnsi="Arial" w:cs="Arial"/>
          <w:sz w:val="24"/>
          <w:szCs w:val="24"/>
        </w:rPr>
      </w:pPr>
    </w:p>
    <w:p w14:paraId="40A3270B" w14:textId="77777777" w:rsidR="00563897" w:rsidRDefault="00E214A9" w:rsidP="006A6AD2">
      <w:pPr>
        <w:spacing w:after="0" w:line="240" w:lineRule="auto"/>
        <w:rPr>
          <w:rFonts w:ascii="Arial" w:hAnsi="Arial" w:cs="Arial"/>
          <w:sz w:val="24"/>
          <w:szCs w:val="24"/>
        </w:rPr>
      </w:pPr>
      <w:r w:rsidRPr="00633007">
        <w:rPr>
          <w:rFonts w:ascii="Arial" w:eastAsia="Times New Roman" w:hAnsi="Arial" w:cs="Arial"/>
          <w:sz w:val="24"/>
          <w:szCs w:val="24"/>
          <w:lang w:eastAsia="en-GB"/>
        </w:rPr>
        <w:t>W</w:t>
      </w:r>
      <w:r w:rsidR="00D55425" w:rsidRPr="00633007">
        <w:rPr>
          <w:rFonts w:ascii="Arial" w:eastAsia="Times New Roman" w:hAnsi="Arial" w:cs="Arial"/>
          <w:sz w:val="24"/>
          <w:szCs w:val="24"/>
          <w:lang w:eastAsia="en-GB"/>
        </w:rPr>
        <w:t xml:space="preserve">e </w:t>
      </w:r>
      <w:r w:rsidR="00633007" w:rsidRPr="00633007">
        <w:rPr>
          <w:rFonts w:ascii="Arial" w:eastAsia="Times New Roman" w:hAnsi="Arial" w:cs="Arial"/>
          <w:sz w:val="24"/>
          <w:szCs w:val="24"/>
          <w:lang w:eastAsia="en-GB"/>
        </w:rPr>
        <w:t xml:space="preserve">welcome </w:t>
      </w:r>
      <w:r w:rsidR="00D55425" w:rsidRPr="00633007">
        <w:rPr>
          <w:rFonts w:ascii="Arial" w:eastAsia="Times New Roman" w:hAnsi="Arial" w:cs="Arial"/>
          <w:sz w:val="24"/>
          <w:szCs w:val="24"/>
          <w:lang w:eastAsia="en-GB"/>
        </w:rPr>
        <w:t xml:space="preserve">proposals </w:t>
      </w:r>
      <w:r w:rsidRPr="00633007">
        <w:rPr>
          <w:rFonts w:ascii="Arial" w:hAnsi="Arial" w:cs="Arial"/>
          <w:sz w:val="24"/>
          <w:szCs w:val="24"/>
        </w:rPr>
        <w:t>tackling the barriers which stop women and other underrepresented groups from accessing green jobs.</w:t>
      </w:r>
      <w:r w:rsidR="00633007" w:rsidRPr="00633007">
        <w:rPr>
          <w:rFonts w:ascii="Arial" w:hAnsi="Arial" w:cs="Arial"/>
          <w:sz w:val="24"/>
          <w:szCs w:val="24"/>
        </w:rPr>
        <w:t xml:space="preserve">  </w:t>
      </w:r>
    </w:p>
    <w:p w14:paraId="1F114D0C" w14:textId="325D4EC2" w:rsidR="00E214A9" w:rsidRPr="00633007" w:rsidRDefault="00633007" w:rsidP="006A6AD2">
      <w:pPr>
        <w:spacing w:after="0" w:line="240" w:lineRule="auto"/>
        <w:rPr>
          <w:rFonts w:ascii="Arial" w:hAnsi="Arial" w:cs="Arial"/>
          <w:b/>
          <w:bCs/>
          <w:sz w:val="24"/>
          <w:szCs w:val="24"/>
        </w:rPr>
      </w:pPr>
      <w:r w:rsidRPr="00633007">
        <w:rPr>
          <w:rFonts w:ascii="Arial" w:hAnsi="Arial" w:cs="Arial"/>
          <w:sz w:val="24"/>
          <w:szCs w:val="24"/>
        </w:rPr>
        <w:t xml:space="preserve"> </w:t>
      </w:r>
    </w:p>
    <w:p w14:paraId="340C0D01" w14:textId="065DC849" w:rsidR="00E53785" w:rsidRPr="0070698A" w:rsidRDefault="00633007" w:rsidP="006A6AD2">
      <w:pPr>
        <w:spacing w:after="0" w:line="240" w:lineRule="auto"/>
        <w:rPr>
          <w:rFonts w:ascii="Arial" w:hAnsi="Arial" w:cs="Arial"/>
          <w:i/>
          <w:iCs/>
          <w:sz w:val="24"/>
          <w:szCs w:val="24"/>
        </w:rPr>
      </w:pPr>
      <w:r w:rsidRPr="00633007">
        <w:rPr>
          <w:rFonts w:ascii="Arial" w:hAnsi="Arial" w:cs="Arial"/>
          <w:b/>
          <w:bCs/>
          <w:sz w:val="24"/>
          <w:szCs w:val="24"/>
        </w:rPr>
        <w:t>Note:</w:t>
      </w:r>
      <w:r>
        <w:rPr>
          <w:rFonts w:ascii="Arial" w:hAnsi="Arial" w:cs="Arial"/>
          <w:sz w:val="24"/>
          <w:szCs w:val="24"/>
        </w:rPr>
        <w:t xml:space="preserve"> </w:t>
      </w:r>
      <w:r w:rsidR="0070698A">
        <w:rPr>
          <w:rFonts w:ascii="Arial" w:hAnsi="Arial" w:cs="Arial"/>
          <w:sz w:val="24"/>
          <w:szCs w:val="24"/>
        </w:rPr>
        <w:t>T</w:t>
      </w:r>
      <w:r w:rsidR="00E53785" w:rsidRPr="00E53785">
        <w:rPr>
          <w:rFonts w:ascii="Arial" w:hAnsi="Arial" w:cs="Arial"/>
          <w:sz w:val="24"/>
          <w:szCs w:val="24"/>
        </w:rPr>
        <w:t>here are many definitions of a ‘green job’</w:t>
      </w:r>
      <w:r w:rsidR="0070698A">
        <w:rPr>
          <w:rFonts w:ascii="Arial" w:hAnsi="Arial" w:cs="Arial"/>
          <w:sz w:val="24"/>
          <w:szCs w:val="24"/>
        </w:rPr>
        <w:t>, f</w:t>
      </w:r>
      <w:r w:rsidR="00E53785" w:rsidRPr="00E53785">
        <w:rPr>
          <w:rFonts w:ascii="Arial" w:hAnsi="Arial" w:cs="Arial"/>
          <w:sz w:val="24"/>
          <w:szCs w:val="24"/>
        </w:rPr>
        <w:t>or the purpose of thi</w:t>
      </w:r>
      <w:r w:rsidR="0070698A">
        <w:rPr>
          <w:rFonts w:ascii="Arial" w:hAnsi="Arial" w:cs="Arial"/>
          <w:sz w:val="24"/>
          <w:szCs w:val="24"/>
        </w:rPr>
        <w:t xml:space="preserve">s funding call NTCA uses the definition outlined in </w:t>
      </w:r>
      <w:r w:rsidR="0070698A" w:rsidRPr="00E53785">
        <w:rPr>
          <w:rFonts w:ascii="Arial" w:hAnsi="Arial" w:cs="Arial"/>
          <w:sz w:val="24"/>
          <w:szCs w:val="24"/>
        </w:rPr>
        <w:t xml:space="preserve">the </w:t>
      </w:r>
      <w:hyperlink r:id="rId16" w:history="1">
        <w:r w:rsidR="0070698A" w:rsidRPr="00E53785">
          <w:rPr>
            <w:rStyle w:val="Hyperlink"/>
            <w:rFonts w:ascii="Arial" w:hAnsi="Arial" w:cs="Arial"/>
            <w:sz w:val="24"/>
            <w:szCs w:val="24"/>
          </w:rPr>
          <w:t>Green Jobs Taskforce Report</w:t>
        </w:r>
      </w:hyperlink>
      <w:r w:rsidR="0070698A" w:rsidRPr="0070698A">
        <w:rPr>
          <w:rFonts w:ascii="Arial" w:hAnsi="Arial" w:cs="Arial"/>
          <w:i/>
          <w:iCs/>
          <w:sz w:val="24"/>
          <w:szCs w:val="24"/>
        </w:rPr>
        <w:t>.  ‘A</w:t>
      </w:r>
      <w:r w:rsidR="00E53785" w:rsidRPr="0070698A">
        <w:rPr>
          <w:rFonts w:ascii="Arial" w:hAnsi="Arial" w:cs="Arial"/>
          <w:i/>
          <w:iCs/>
          <w:sz w:val="24"/>
          <w:szCs w:val="24"/>
        </w:rPr>
        <w:t xml:space="preserve"> ‘green job’ is used to signify employment in an activity that directly contributes to - or indirectly supports - the achievement of the UK's net zero emissions target and other environmental goals, such as nature restoration and mitigation against climate risks</w:t>
      </w:r>
      <w:r w:rsidR="0070698A" w:rsidRPr="0070698A">
        <w:rPr>
          <w:rFonts w:ascii="Arial" w:hAnsi="Arial" w:cs="Arial"/>
          <w:i/>
          <w:iCs/>
          <w:sz w:val="24"/>
          <w:szCs w:val="24"/>
        </w:rPr>
        <w:t>’</w:t>
      </w:r>
      <w:r w:rsidR="00E53785" w:rsidRPr="0070698A">
        <w:rPr>
          <w:rFonts w:ascii="Arial" w:hAnsi="Arial" w:cs="Arial"/>
          <w:i/>
          <w:iCs/>
          <w:sz w:val="24"/>
          <w:szCs w:val="24"/>
        </w:rPr>
        <w:t xml:space="preserve">.  </w:t>
      </w:r>
    </w:p>
    <w:p w14:paraId="6DE4FF2F" w14:textId="77777777" w:rsidR="00E53785" w:rsidRDefault="00E53785" w:rsidP="00751F73">
      <w:pPr>
        <w:pStyle w:val="Default"/>
      </w:pPr>
    </w:p>
    <w:p w14:paraId="0BEAB2C7" w14:textId="2FF1E740" w:rsidR="000C28CF" w:rsidRPr="00563897" w:rsidRDefault="00EF5127" w:rsidP="00057DCD">
      <w:pPr>
        <w:pStyle w:val="Heading1"/>
        <w:numPr>
          <w:ilvl w:val="0"/>
          <w:numId w:val="45"/>
        </w:numPr>
        <w:spacing w:before="0" w:line="240" w:lineRule="auto"/>
        <w:ind w:left="567" w:hanging="567"/>
      </w:pPr>
      <w:bookmarkStart w:id="8" w:name="_Toc82606829"/>
      <w:r w:rsidRPr="00563897">
        <w:lastRenderedPageBreak/>
        <w:t>Outcomes</w:t>
      </w:r>
      <w:bookmarkEnd w:id="8"/>
      <w:r w:rsidRPr="00563897">
        <w:t xml:space="preserve"> </w:t>
      </w:r>
    </w:p>
    <w:p w14:paraId="36A8DA25" w14:textId="73665905" w:rsidR="000C28CF" w:rsidRPr="00563897" w:rsidRDefault="000C28CF" w:rsidP="00057DCD">
      <w:pPr>
        <w:pStyle w:val="Default"/>
      </w:pPr>
    </w:p>
    <w:p w14:paraId="11EB2455" w14:textId="77777777" w:rsidR="00EF5127" w:rsidRPr="00563897" w:rsidRDefault="00EF5127" w:rsidP="00057DCD">
      <w:pPr>
        <w:spacing w:after="0" w:line="240" w:lineRule="auto"/>
        <w:jc w:val="both"/>
        <w:rPr>
          <w:rFonts w:ascii="Arial" w:eastAsia="Batang" w:hAnsi="Arial" w:cs="Arial"/>
          <w:sz w:val="24"/>
          <w:szCs w:val="24"/>
        </w:rPr>
      </w:pPr>
      <w:r w:rsidRPr="00563897">
        <w:rPr>
          <w:rFonts w:ascii="Arial" w:eastAsia="Batang" w:hAnsi="Arial" w:cs="Arial"/>
          <w:sz w:val="24"/>
          <w:szCs w:val="24"/>
        </w:rPr>
        <w:t xml:space="preserve">The following are examples of </w:t>
      </w:r>
      <w:r w:rsidRPr="00563897">
        <w:rPr>
          <w:rFonts w:ascii="Arial" w:eastAsia="Batang" w:hAnsi="Arial" w:cs="Arial"/>
          <w:b/>
          <w:bCs/>
          <w:sz w:val="24"/>
          <w:szCs w:val="24"/>
        </w:rPr>
        <w:t xml:space="preserve">outcomes </w:t>
      </w:r>
      <w:r w:rsidRPr="00563897">
        <w:rPr>
          <w:rFonts w:ascii="Arial" w:eastAsia="Batang" w:hAnsi="Arial" w:cs="Arial"/>
          <w:sz w:val="24"/>
          <w:szCs w:val="24"/>
        </w:rPr>
        <w:t>that the NTCA expects as a result of activity funded through this call:</w:t>
      </w:r>
    </w:p>
    <w:p w14:paraId="04DD8E06" w14:textId="77777777" w:rsidR="00EF5127" w:rsidRPr="00563897" w:rsidRDefault="00EF5127" w:rsidP="00057DCD">
      <w:pPr>
        <w:spacing w:after="0" w:line="240" w:lineRule="auto"/>
        <w:jc w:val="both"/>
        <w:rPr>
          <w:rFonts w:ascii="Arial" w:eastAsia="Batang" w:hAnsi="Arial" w:cs="Arial"/>
          <w:sz w:val="24"/>
          <w:szCs w:val="24"/>
        </w:rPr>
      </w:pPr>
    </w:p>
    <w:p w14:paraId="429E380C" w14:textId="5094B0FD" w:rsidR="00EF5127" w:rsidRPr="00563897" w:rsidRDefault="00E4507B" w:rsidP="00057DCD">
      <w:pPr>
        <w:pStyle w:val="ListParagraph"/>
        <w:numPr>
          <w:ilvl w:val="0"/>
          <w:numId w:val="21"/>
        </w:numPr>
        <w:spacing w:after="0" w:line="240" w:lineRule="auto"/>
        <w:ind w:left="720"/>
        <w:contextualSpacing w:val="0"/>
        <w:jc w:val="both"/>
        <w:rPr>
          <w:rFonts w:ascii="Arial" w:hAnsi="Arial" w:cs="Arial"/>
          <w:bCs/>
          <w:sz w:val="24"/>
          <w:szCs w:val="24"/>
        </w:rPr>
      </w:pPr>
      <w:r>
        <w:rPr>
          <w:rFonts w:ascii="Arial" w:hAnsi="Arial" w:cs="Arial"/>
          <w:bCs/>
          <w:sz w:val="24"/>
          <w:szCs w:val="24"/>
        </w:rPr>
        <w:t>T</w:t>
      </w:r>
      <w:r w:rsidR="00EF5127" w:rsidRPr="00563897">
        <w:rPr>
          <w:rFonts w:ascii="Arial" w:hAnsi="Arial" w:cs="Arial"/>
          <w:bCs/>
          <w:sz w:val="24"/>
          <w:szCs w:val="24"/>
        </w:rPr>
        <w:t xml:space="preserve">he primary intent of the investment will be to directly </w:t>
      </w:r>
      <w:r w:rsidR="00F32E7F" w:rsidRPr="00563897">
        <w:rPr>
          <w:rFonts w:ascii="Arial" w:hAnsi="Arial" w:cs="Arial"/>
          <w:bCs/>
          <w:sz w:val="24"/>
          <w:szCs w:val="24"/>
        </w:rPr>
        <w:t xml:space="preserve">support skills and training provision </w:t>
      </w:r>
      <w:r w:rsidR="00563897">
        <w:rPr>
          <w:rFonts w:ascii="Arial" w:hAnsi="Arial" w:cs="Arial"/>
          <w:bCs/>
          <w:sz w:val="24"/>
          <w:szCs w:val="24"/>
        </w:rPr>
        <w:t xml:space="preserve">related to the Green Economy </w:t>
      </w:r>
      <w:r w:rsidR="00EF5127" w:rsidRPr="00563897">
        <w:rPr>
          <w:rFonts w:ascii="Arial" w:hAnsi="Arial" w:cs="Arial"/>
          <w:bCs/>
          <w:sz w:val="24"/>
          <w:szCs w:val="24"/>
        </w:rPr>
        <w:t>for residents of North of Tyne – therefore significant out</w:t>
      </w:r>
      <w:r w:rsidR="002D61BE">
        <w:rPr>
          <w:rFonts w:ascii="Arial" w:hAnsi="Arial" w:cs="Arial"/>
          <w:bCs/>
          <w:sz w:val="24"/>
          <w:szCs w:val="24"/>
        </w:rPr>
        <w:t>comes</w:t>
      </w:r>
      <w:r w:rsidR="00EF5127" w:rsidRPr="00563897">
        <w:rPr>
          <w:rFonts w:ascii="Arial" w:hAnsi="Arial" w:cs="Arial"/>
          <w:bCs/>
          <w:sz w:val="24"/>
          <w:szCs w:val="24"/>
        </w:rPr>
        <w:t xml:space="preserve"> in relation to </w:t>
      </w:r>
      <w:r w:rsidR="0070299A">
        <w:rPr>
          <w:rFonts w:ascii="Arial" w:hAnsi="Arial" w:cs="Arial"/>
          <w:bCs/>
          <w:sz w:val="24"/>
          <w:szCs w:val="24"/>
        </w:rPr>
        <w:t xml:space="preserve">skills </w:t>
      </w:r>
      <w:r w:rsidR="00563897">
        <w:rPr>
          <w:rFonts w:ascii="Arial" w:hAnsi="Arial" w:cs="Arial"/>
          <w:bCs/>
          <w:sz w:val="24"/>
          <w:szCs w:val="24"/>
        </w:rPr>
        <w:t xml:space="preserve">and </w:t>
      </w:r>
      <w:r w:rsidR="00EF5127" w:rsidRPr="00563897">
        <w:rPr>
          <w:rFonts w:ascii="Arial" w:hAnsi="Arial" w:cs="Arial"/>
          <w:bCs/>
          <w:sz w:val="24"/>
          <w:szCs w:val="24"/>
        </w:rPr>
        <w:t xml:space="preserve">employment gained (or safeguarded or progression secured) are expected. </w:t>
      </w:r>
    </w:p>
    <w:p w14:paraId="41B93EA7" w14:textId="77777777" w:rsidR="00F32E7F" w:rsidRPr="00563897" w:rsidRDefault="00F32E7F" w:rsidP="00057DCD">
      <w:pPr>
        <w:pStyle w:val="ListParagraph"/>
        <w:spacing w:after="0" w:line="240" w:lineRule="auto"/>
        <w:contextualSpacing w:val="0"/>
        <w:jc w:val="both"/>
        <w:rPr>
          <w:rFonts w:ascii="Arial" w:hAnsi="Arial" w:cs="Arial"/>
          <w:bCs/>
          <w:sz w:val="24"/>
          <w:szCs w:val="24"/>
        </w:rPr>
      </w:pPr>
    </w:p>
    <w:p w14:paraId="4AD90338" w14:textId="1FF3801B" w:rsidR="00EF5127" w:rsidRPr="00563897" w:rsidRDefault="00EF5127" w:rsidP="00057DCD">
      <w:pPr>
        <w:pStyle w:val="ListParagraph"/>
        <w:numPr>
          <w:ilvl w:val="0"/>
          <w:numId w:val="21"/>
        </w:numPr>
        <w:spacing w:after="0" w:line="240" w:lineRule="auto"/>
        <w:ind w:left="720"/>
        <w:jc w:val="both"/>
        <w:rPr>
          <w:rFonts w:ascii="Arial" w:eastAsia="Batang" w:hAnsi="Arial" w:cs="Arial"/>
          <w:b/>
          <w:sz w:val="24"/>
          <w:szCs w:val="24"/>
        </w:rPr>
      </w:pPr>
      <w:r w:rsidRPr="00563897">
        <w:rPr>
          <w:rFonts w:ascii="Arial" w:hAnsi="Arial" w:cs="Arial"/>
          <w:sz w:val="24"/>
          <w:szCs w:val="24"/>
        </w:rPr>
        <w:t xml:space="preserve">A small proportion of activity (~&lt;20%) could relate to improvements in the responsiveness or quality of the skills system in North of Tyne </w:t>
      </w:r>
      <w:r w:rsidR="00F32E7F" w:rsidRPr="00563897">
        <w:rPr>
          <w:rFonts w:ascii="Arial" w:hAnsi="Arial" w:cs="Arial"/>
          <w:sz w:val="24"/>
          <w:szCs w:val="24"/>
        </w:rPr>
        <w:t>to the Green Economy.   Therefore,</w:t>
      </w:r>
      <w:r w:rsidRPr="00563897">
        <w:rPr>
          <w:rFonts w:ascii="Arial" w:hAnsi="Arial" w:cs="Arial"/>
          <w:sz w:val="24"/>
          <w:szCs w:val="24"/>
        </w:rPr>
        <w:t xml:space="preserve"> have limited direct outputs using NTCA standard definitions. Should business cases for this type of activity come forward they will be expected to clearly articulate their rationale, impact, and value for money.</w:t>
      </w:r>
    </w:p>
    <w:p w14:paraId="025D538A" w14:textId="77777777" w:rsidR="00EF5127" w:rsidRPr="00563897" w:rsidRDefault="00EF5127" w:rsidP="00057DCD">
      <w:pPr>
        <w:spacing w:after="0" w:line="240" w:lineRule="auto"/>
        <w:jc w:val="both"/>
        <w:textAlignment w:val="baseline"/>
        <w:rPr>
          <w:rFonts w:ascii="Arial" w:eastAsia="Batang" w:hAnsi="Arial" w:cs="Arial"/>
          <w:sz w:val="24"/>
          <w:szCs w:val="24"/>
          <w:lang w:eastAsia="en-GB"/>
        </w:rPr>
      </w:pPr>
    </w:p>
    <w:p w14:paraId="3D968E0A" w14:textId="736BACE5" w:rsidR="00D3585C" w:rsidRPr="00057DCD" w:rsidRDefault="00D3585C" w:rsidP="00057DCD">
      <w:pPr>
        <w:pStyle w:val="Heading1"/>
        <w:numPr>
          <w:ilvl w:val="0"/>
          <w:numId w:val="45"/>
        </w:numPr>
        <w:spacing w:before="0" w:line="240" w:lineRule="auto"/>
        <w:ind w:left="567" w:hanging="567"/>
        <w:rPr>
          <w:rFonts w:eastAsia="Batang"/>
        </w:rPr>
      </w:pPr>
      <w:bookmarkStart w:id="9" w:name="_Toc82606830"/>
      <w:r w:rsidRPr="00057DCD">
        <w:rPr>
          <w:rFonts w:eastAsia="Batang"/>
        </w:rPr>
        <w:t>Outputs</w:t>
      </w:r>
      <w:bookmarkEnd w:id="9"/>
    </w:p>
    <w:p w14:paraId="4CDE8117" w14:textId="77777777" w:rsidR="00D3585C" w:rsidRPr="00563897" w:rsidRDefault="00D3585C" w:rsidP="00057DCD">
      <w:pPr>
        <w:spacing w:after="0" w:line="240" w:lineRule="auto"/>
        <w:jc w:val="both"/>
        <w:textAlignment w:val="baseline"/>
        <w:rPr>
          <w:rFonts w:ascii="Arial" w:eastAsia="Batang" w:hAnsi="Arial" w:cs="Arial"/>
          <w:sz w:val="24"/>
          <w:szCs w:val="24"/>
          <w:lang w:eastAsia="en-GB"/>
        </w:rPr>
      </w:pPr>
    </w:p>
    <w:p w14:paraId="7E2A1FDB" w14:textId="118B3E1F" w:rsidR="00A71F7B" w:rsidRPr="00563897" w:rsidRDefault="0048661E" w:rsidP="00057DCD">
      <w:pPr>
        <w:spacing w:after="0" w:line="240" w:lineRule="auto"/>
        <w:jc w:val="both"/>
        <w:textAlignment w:val="baseline"/>
        <w:rPr>
          <w:rFonts w:ascii="Arial" w:eastAsia="Times New Roman" w:hAnsi="Arial" w:cs="Arial"/>
          <w:sz w:val="24"/>
          <w:szCs w:val="24"/>
          <w:lang w:eastAsia="en-GB"/>
        </w:rPr>
      </w:pPr>
      <w:r w:rsidRPr="00563897">
        <w:rPr>
          <w:rFonts w:ascii="Arial" w:eastAsia="Batang" w:hAnsi="Arial" w:cs="Arial"/>
          <w:sz w:val="24"/>
          <w:szCs w:val="24"/>
          <w:lang w:eastAsia="en-GB"/>
        </w:rPr>
        <w:t>P</w:t>
      </w:r>
      <w:r w:rsidR="00A71F7B" w:rsidRPr="00563897">
        <w:rPr>
          <w:rFonts w:ascii="Arial" w:eastAsia="Batang" w:hAnsi="Arial" w:cs="Arial"/>
          <w:sz w:val="24"/>
          <w:szCs w:val="24"/>
          <w:lang w:eastAsia="en-GB"/>
        </w:rPr>
        <w:t>roposals should deliver against</w:t>
      </w:r>
      <w:r w:rsidR="0024300D" w:rsidRPr="00563897">
        <w:rPr>
          <w:rFonts w:ascii="Arial" w:eastAsia="Batang" w:hAnsi="Arial" w:cs="Arial"/>
          <w:sz w:val="24"/>
          <w:szCs w:val="24"/>
          <w:lang w:eastAsia="en-GB"/>
        </w:rPr>
        <w:t xml:space="preserve"> several of</w:t>
      </w:r>
      <w:r w:rsidR="00A71F7B" w:rsidRPr="00563897">
        <w:rPr>
          <w:rFonts w:ascii="Arial" w:eastAsia="Batang" w:hAnsi="Arial" w:cs="Arial"/>
          <w:sz w:val="24"/>
          <w:szCs w:val="24"/>
          <w:lang w:eastAsia="en-GB"/>
        </w:rPr>
        <w:t xml:space="preserve"> the following NTCA Outputs and performance Indicators</w:t>
      </w:r>
      <w:r w:rsidR="0051750D" w:rsidRPr="00563897">
        <w:rPr>
          <w:rStyle w:val="FootnoteReference"/>
          <w:rFonts w:ascii="Arial" w:eastAsia="Batang" w:hAnsi="Arial" w:cs="Arial"/>
          <w:sz w:val="24"/>
          <w:szCs w:val="24"/>
          <w:lang w:eastAsia="en-GB"/>
        </w:rPr>
        <w:footnoteReference w:id="4"/>
      </w:r>
      <w:r w:rsidR="00A71F7B" w:rsidRPr="00563897">
        <w:rPr>
          <w:rFonts w:ascii="Arial" w:eastAsia="Batang" w:hAnsi="Arial" w:cs="Arial"/>
          <w:sz w:val="24"/>
          <w:szCs w:val="24"/>
          <w:lang w:eastAsia="en-GB"/>
        </w:rPr>
        <w:t>:</w:t>
      </w:r>
      <w:r w:rsidR="00A71F7B" w:rsidRPr="00563897">
        <w:rPr>
          <w:rFonts w:ascii="Arial" w:eastAsia="Times New Roman" w:hAnsi="Arial" w:cs="Arial"/>
          <w:sz w:val="24"/>
          <w:szCs w:val="24"/>
          <w:lang w:eastAsia="en-GB"/>
        </w:rPr>
        <w:t> </w:t>
      </w:r>
    </w:p>
    <w:p w14:paraId="31151F67" w14:textId="77777777" w:rsidR="00A71F7B" w:rsidRPr="00563897" w:rsidRDefault="00A71F7B" w:rsidP="00057DCD">
      <w:pPr>
        <w:spacing w:after="0" w:line="240" w:lineRule="auto"/>
        <w:jc w:val="both"/>
        <w:textAlignment w:val="baseline"/>
        <w:rPr>
          <w:rFonts w:ascii="Arial" w:eastAsia="Times New Roman" w:hAnsi="Arial" w:cs="Arial"/>
          <w:sz w:val="24"/>
          <w:szCs w:val="24"/>
          <w:lang w:eastAsia="en-GB"/>
        </w:rPr>
      </w:pPr>
    </w:p>
    <w:p w14:paraId="07A69133" w14:textId="7F478C55" w:rsidR="00A71F7B"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007 – Number of residents Supported </w:t>
      </w:r>
    </w:p>
    <w:p w14:paraId="76DF85F9" w14:textId="5FEC92D9"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008 – Participants in Education/Training upon leaving </w:t>
      </w:r>
    </w:p>
    <w:p w14:paraId="11CA6CA5" w14:textId="429E5274"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009 – Participants in employment/self-employment upon leaving </w:t>
      </w:r>
    </w:p>
    <w:p w14:paraId="73A9984F" w14:textId="3D9DBD42" w:rsidR="003653FD"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012</w:t>
      </w:r>
      <w:r w:rsidR="0051750D" w:rsidRPr="00563897">
        <w:rPr>
          <w:rFonts w:ascii="Arial" w:hAnsi="Arial" w:cs="Arial"/>
        </w:rPr>
        <w:t xml:space="preserve"> – Participants gaining level 3 qualification and above </w:t>
      </w:r>
    </w:p>
    <w:p w14:paraId="677259ED" w14:textId="7C490963"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015 – Number of apprenticeship/traineeship opportunities achieved</w:t>
      </w:r>
    </w:p>
    <w:p w14:paraId="6FF03D26" w14:textId="2DAB5A9F"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003 – Direct Jobs Safeguarded</w:t>
      </w:r>
    </w:p>
    <w:p w14:paraId="3DDBA21E" w14:textId="77777777" w:rsidR="009D5A8B" w:rsidRPr="00563897" w:rsidRDefault="009D5A8B" w:rsidP="00563897">
      <w:pPr>
        <w:spacing w:after="0" w:line="240" w:lineRule="auto"/>
        <w:jc w:val="both"/>
        <w:rPr>
          <w:rFonts w:ascii="Arial" w:eastAsia="Batang" w:hAnsi="Arial" w:cs="Arial"/>
          <w:sz w:val="24"/>
          <w:szCs w:val="24"/>
        </w:rPr>
      </w:pPr>
    </w:p>
    <w:p w14:paraId="57FECFAF" w14:textId="77777777" w:rsidR="00F32E7F" w:rsidRPr="00563897" w:rsidRDefault="00F32E7F" w:rsidP="00057DCD">
      <w:pPr>
        <w:pStyle w:val="Heading1"/>
        <w:numPr>
          <w:ilvl w:val="0"/>
          <w:numId w:val="45"/>
        </w:numPr>
        <w:spacing w:before="0" w:line="240" w:lineRule="auto"/>
        <w:ind w:left="567" w:hanging="567"/>
      </w:pPr>
      <w:bookmarkStart w:id="10" w:name="_Toc82606831"/>
      <w:r w:rsidRPr="00563897">
        <w:t>Submission of Proposals</w:t>
      </w:r>
      <w:bookmarkEnd w:id="10"/>
    </w:p>
    <w:p w14:paraId="65724D3B"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11E682A9" w14:textId="532F4EF5" w:rsidR="00B81F29" w:rsidRDefault="00AA0517" w:rsidP="00B81F29">
      <w:pPr>
        <w:rPr>
          <w:rFonts w:ascii="Verdana" w:eastAsia="Times New Roman" w:hAnsi="Verdana"/>
          <w:sz w:val="21"/>
          <w:szCs w:val="21"/>
        </w:rPr>
      </w:pPr>
      <w:r>
        <w:rPr>
          <w:rFonts w:ascii="Arial" w:hAnsi="Arial" w:cs="Arial"/>
          <w:color w:val="000000"/>
          <w:sz w:val="24"/>
          <w:szCs w:val="24"/>
        </w:rPr>
        <w:t xml:space="preserve">First stage </w:t>
      </w:r>
      <w:r w:rsidR="002D61BE">
        <w:rPr>
          <w:rFonts w:ascii="Arial" w:hAnsi="Arial" w:cs="Arial"/>
          <w:color w:val="000000"/>
          <w:sz w:val="24"/>
          <w:szCs w:val="24"/>
        </w:rPr>
        <w:t xml:space="preserve">Expression of Interest </w:t>
      </w:r>
      <w:r>
        <w:rPr>
          <w:rFonts w:ascii="Arial" w:hAnsi="Arial" w:cs="Arial"/>
          <w:color w:val="000000"/>
          <w:sz w:val="24"/>
          <w:szCs w:val="24"/>
        </w:rPr>
        <w:t xml:space="preserve">application </w:t>
      </w:r>
      <w:r w:rsidR="00F32E7F" w:rsidRPr="00563897">
        <w:rPr>
          <w:rFonts w:ascii="Arial" w:hAnsi="Arial" w:cs="Arial"/>
          <w:color w:val="000000"/>
          <w:sz w:val="24"/>
          <w:szCs w:val="24"/>
        </w:rPr>
        <w:t xml:space="preserve">forms for </w:t>
      </w:r>
      <w:r>
        <w:rPr>
          <w:rFonts w:ascii="Arial" w:hAnsi="Arial" w:cs="Arial"/>
          <w:color w:val="000000"/>
          <w:sz w:val="24"/>
          <w:szCs w:val="24"/>
        </w:rPr>
        <w:t>this funding opportunity</w:t>
      </w:r>
      <w:r w:rsidR="00F94B9F">
        <w:rPr>
          <w:rFonts w:ascii="Arial" w:hAnsi="Arial" w:cs="Arial"/>
          <w:color w:val="000000"/>
          <w:sz w:val="24"/>
          <w:szCs w:val="24"/>
        </w:rPr>
        <w:t xml:space="preserve"> are available by</w:t>
      </w:r>
      <w:r w:rsidR="00F32E7F" w:rsidRPr="00563897">
        <w:rPr>
          <w:rFonts w:ascii="Arial" w:hAnsi="Arial" w:cs="Arial"/>
          <w:color w:val="000000"/>
          <w:sz w:val="24"/>
          <w:szCs w:val="24"/>
        </w:rPr>
        <w:t xml:space="preserve"> emailing </w:t>
      </w:r>
      <w:hyperlink r:id="rId17" w:history="1">
        <w:r w:rsidR="00B81F29">
          <w:rPr>
            <w:rStyle w:val="Hyperlink"/>
            <w:rFonts w:ascii="Verdana" w:eastAsia="Times New Roman" w:hAnsi="Verdana"/>
            <w:sz w:val="21"/>
            <w:szCs w:val="21"/>
          </w:rPr>
          <w:t>Skillsforgrowth@northoftyne-ca.gov.uk</w:t>
        </w:r>
      </w:hyperlink>
    </w:p>
    <w:p w14:paraId="75896DDE" w14:textId="10D56394" w:rsidR="00F32E7F" w:rsidRPr="00B81F29" w:rsidRDefault="00F32E7F" w:rsidP="00B81F29">
      <w:pPr>
        <w:jc w:val="both"/>
        <w:rPr>
          <w:rFonts w:ascii="Verdana" w:eastAsia="Times New Roman" w:hAnsi="Verdana"/>
          <w:sz w:val="21"/>
          <w:szCs w:val="21"/>
        </w:rPr>
      </w:pPr>
      <w:r w:rsidRPr="00563897">
        <w:rPr>
          <w:rFonts w:ascii="Arial" w:hAnsi="Arial" w:cs="Arial"/>
          <w:color w:val="000000"/>
          <w:sz w:val="24"/>
          <w:szCs w:val="24"/>
        </w:rPr>
        <w:t xml:space="preserve">Queries from applicants should be sent to </w:t>
      </w:r>
      <w:hyperlink r:id="rId18"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Pr="00563897">
        <w:rPr>
          <w:rFonts w:ascii="Arial" w:hAnsi="Arial" w:cs="Arial"/>
          <w:color w:val="000000"/>
          <w:sz w:val="24"/>
          <w:szCs w:val="24"/>
        </w:rPr>
        <w:t xml:space="preserve">Applicants should be aware that queries may be anonymised and responded to publicly through a Q&amp;A Log on the NTCA website. </w:t>
      </w:r>
    </w:p>
    <w:p w14:paraId="6BC136F0" w14:textId="2746346B"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r w:rsidRPr="00563897">
        <w:rPr>
          <w:rFonts w:ascii="Arial" w:hAnsi="Arial" w:cs="Arial"/>
          <w:color w:val="000000"/>
          <w:sz w:val="24"/>
          <w:szCs w:val="24"/>
        </w:rPr>
        <w:t xml:space="preserve">Please consider the following strategic documents that may help you with your application. </w:t>
      </w:r>
    </w:p>
    <w:p w14:paraId="6E658A39"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3D87CA7F" w14:textId="43F1D8E6" w:rsidR="00F32E7F" w:rsidRPr="005A0F29" w:rsidRDefault="00CB77CC"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19" w:history="1">
        <w:r w:rsidR="00E4507B" w:rsidRPr="005A0F29">
          <w:rPr>
            <w:rStyle w:val="Hyperlink"/>
            <w:rFonts w:ascii="Arial" w:hAnsi="Arial" w:cs="Arial"/>
            <w:sz w:val="24"/>
            <w:szCs w:val="24"/>
          </w:rPr>
          <w:t>North of Tyne Corporate Plan 2021-2022 - 'Jobs, Skills and A Post-COVID Economy'</w:t>
        </w:r>
      </w:hyperlink>
      <w:r w:rsidR="00E4507B" w:rsidRPr="005A0F29">
        <w:rPr>
          <w:rFonts w:ascii="Arial" w:hAnsi="Arial" w:cs="Arial"/>
          <w:sz w:val="24"/>
          <w:szCs w:val="24"/>
        </w:rPr>
        <w:t xml:space="preserve"> </w:t>
      </w:r>
    </w:p>
    <w:p w14:paraId="301ABFE1" w14:textId="62768678" w:rsidR="005A0F29" w:rsidRPr="005A0F29" w:rsidRDefault="00CB77CC"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20" w:history="1">
        <w:r w:rsidR="005A0F29" w:rsidRPr="005A0F29">
          <w:rPr>
            <w:rStyle w:val="Hyperlink"/>
            <w:rFonts w:ascii="Arial" w:hAnsi="Arial" w:cs="Arial"/>
            <w:sz w:val="24"/>
            <w:szCs w:val="24"/>
          </w:rPr>
          <w:t xml:space="preserve">NTCA Inclusive Economy Policy Statement June 2021 </w:t>
        </w:r>
      </w:hyperlink>
    </w:p>
    <w:p w14:paraId="061DC078" w14:textId="77777777" w:rsidR="00F32E7F" w:rsidRPr="005A0F29" w:rsidRDefault="00CB77CC" w:rsidP="00F32E7F">
      <w:pPr>
        <w:pStyle w:val="ListParagraph"/>
        <w:numPr>
          <w:ilvl w:val="0"/>
          <w:numId w:val="13"/>
        </w:numPr>
        <w:autoSpaceDE w:val="0"/>
        <w:autoSpaceDN w:val="0"/>
        <w:adjustRightInd w:val="0"/>
        <w:spacing w:after="0" w:line="240" w:lineRule="auto"/>
        <w:jc w:val="both"/>
        <w:rPr>
          <w:rFonts w:ascii="Arial" w:hAnsi="Arial" w:cs="Arial"/>
          <w:color w:val="0000FF"/>
          <w:sz w:val="24"/>
          <w:szCs w:val="24"/>
          <w:u w:val="single"/>
        </w:rPr>
      </w:pPr>
      <w:hyperlink r:id="rId21" w:history="1">
        <w:r w:rsidR="00F32E7F" w:rsidRPr="005A0F29">
          <w:rPr>
            <w:rStyle w:val="Hyperlink"/>
            <w:rFonts w:ascii="Arial" w:hAnsi="Arial" w:cs="Arial"/>
            <w:sz w:val="24"/>
            <w:szCs w:val="24"/>
          </w:rPr>
          <w:t>NTCA’s Strategic Skills Plan and Adult Education Budget funded activities</w:t>
        </w:r>
      </w:hyperlink>
    </w:p>
    <w:p w14:paraId="3E6D652E" w14:textId="77777777" w:rsidR="00F32E7F" w:rsidRPr="005A0F29" w:rsidRDefault="00F32E7F" w:rsidP="00F32E7F">
      <w:pPr>
        <w:autoSpaceDE w:val="0"/>
        <w:autoSpaceDN w:val="0"/>
        <w:adjustRightInd w:val="0"/>
        <w:spacing w:after="0" w:line="240" w:lineRule="auto"/>
        <w:jc w:val="both"/>
        <w:rPr>
          <w:rFonts w:ascii="Arial" w:hAnsi="Arial" w:cs="Arial"/>
          <w:color w:val="000000"/>
          <w:sz w:val="24"/>
          <w:szCs w:val="24"/>
        </w:rPr>
      </w:pPr>
    </w:p>
    <w:p w14:paraId="05CF6849" w14:textId="7BC61DB2" w:rsidR="00F32E7F" w:rsidRPr="00B81F29" w:rsidRDefault="00F32E7F" w:rsidP="00B81F29">
      <w:pPr>
        <w:jc w:val="both"/>
        <w:rPr>
          <w:rFonts w:ascii="Verdana" w:eastAsia="Times New Roman" w:hAnsi="Verdana"/>
          <w:sz w:val="21"/>
          <w:szCs w:val="21"/>
        </w:rPr>
      </w:pPr>
      <w:r w:rsidRPr="00CE68F9">
        <w:rPr>
          <w:rFonts w:ascii="Arial" w:hAnsi="Arial" w:cs="Arial"/>
          <w:color w:val="000000"/>
          <w:sz w:val="24"/>
          <w:szCs w:val="24"/>
        </w:rPr>
        <w:t xml:space="preserve">Completed applications should be sent to </w:t>
      </w:r>
      <w:hyperlink r:id="rId22"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005321A3" w:rsidRPr="002D61BE">
        <w:rPr>
          <w:rFonts w:ascii="Arial" w:hAnsi="Arial" w:cs="Arial"/>
          <w:sz w:val="24"/>
          <w:szCs w:val="24"/>
        </w:rPr>
        <w:t>b</w:t>
      </w:r>
      <w:r w:rsidRPr="002D61BE">
        <w:rPr>
          <w:rFonts w:ascii="Arial" w:eastAsia="Times New Roman" w:hAnsi="Arial" w:cs="Arial"/>
          <w:sz w:val="24"/>
          <w:szCs w:val="24"/>
        </w:rPr>
        <w:t xml:space="preserve">y </w:t>
      </w:r>
      <w:r w:rsidR="002D61BE" w:rsidRPr="002D61BE">
        <w:rPr>
          <w:rFonts w:ascii="Arial" w:eastAsia="Times New Roman" w:hAnsi="Arial" w:cs="Arial"/>
          <w:sz w:val="24"/>
          <w:szCs w:val="24"/>
        </w:rPr>
        <w:t>Friday 5</w:t>
      </w:r>
      <w:r w:rsidR="002D61BE" w:rsidRPr="002D61BE">
        <w:rPr>
          <w:rFonts w:ascii="Arial" w:eastAsia="Times New Roman" w:hAnsi="Arial" w:cs="Arial"/>
          <w:sz w:val="24"/>
          <w:szCs w:val="24"/>
          <w:vertAlign w:val="superscript"/>
        </w:rPr>
        <w:t>th</w:t>
      </w:r>
      <w:r w:rsidR="002D61BE" w:rsidRPr="002D61BE">
        <w:rPr>
          <w:rFonts w:ascii="Arial" w:eastAsia="Times New Roman" w:hAnsi="Arial" w:cs="Arial"/>
          <w:sz w:val="24"/>
          <w:szCs w:val="24"/>
        </w:rPr>
        <w:t xml:space="preserve"> November 2021</w:t>
      </w:r>
      <w:r w:rsidR="005321A3" w:rsidRPr="002D61BE">
        <w:rPr>
          <w:rFonts w:ascii="Arial" w:eastAsia="Times New Roman" w:hAnsi="Arial" w:cs="Arial"/>
          <w:sz w:val="24"/>
          <w:szCs w:val="24"/>
        </w:rPr>
        <w:t xml:space="preserve">. </w:t>
      </w:r>
      <w:r w:rsidRPr="00CE68F9">
        <w:rPr>
          <w:rFonts w:ascii="Arial" w:hAnsi="Arial" w:cs="Arial"/>
          <w:color w:val="000000"/>
          <w:sz w:val="24"/>
          <w:szCs w:val="24"/>
        </w:rPr>
        <w:t xml:space="preserve">Before doing so, please ensure that you have followed the guidance, completed all </w:t>
      </w:r>
      <w:proofErr w:type="gramStart"/>
      <w:r w:rsidRPr="00CE68F9">
        <w:rPr>
          <w:rFonts w:ascii="Arial" w:hAnsi="Arial" w:cs="Arial"/>
          <w:color w:val="000000"/>
          <w:sz w:val="24"/>
          <w:szCs w:val="24"/>
        </w:rPr>
        <w:t>questions</w:t>
      </w:r>
      <w:proofErr w:type="gramEnd"/>
      <w:r w:rsidRPr="00CE68F9">
        <w:rPr>
          <w:rFonts w:ascii="Arial" w:hAnsi="Arial" w:cs="Arial"/>
          <w:color w:val="000000"/>
          <w:sz w:val="24"/>
          <w:szCs w:val="24"/>
        </w:rPr>
        <w:t xml:space="preserve"> and entered an electronic signature.</w:t>
      </w:r>
    </w:p>
    <w:p w14:paraId="3A726D73" w14:textId="1B868DAE" w:rsidR="00EF5127" w:rsidRDefault="00EF5127" w:rsidP="00057DCD">
      <w:pPr>
        <w:spacing w:after="0" w:line="240" w:lineRule="auto"/>
        <w:jc w:val="both"/>
        <w:rPr>
          <w:rFonts w:ascii="Arial" w:eastAsia="Times New Roman" w:hAnsi="Arial" w:cs="Arial"/>
          <w:b/>
          <w:bCs/>
          <w:sz w:val="24"/>
          <w:szCs w:val="24"/>
          <w:lang w:eastAsia="en-GB"/>
        </w:rPr>
      </w:pPr>
    </w:p>
    <w:p w14:paraId="13F5FB0B" w14:textId="5EAC9CA0" w:rsidR="00E4507B" w:rsidRDefault="00E4507B" w:rsidP="00057DCD">
      <w:pPr>
        <w:spacing w:after="0" w:line="240" w:lineRule="auto"/>
        <w:jc w:val="both"/>
        <w:rPr>
          <w:rFonts w:ascii="Arial" w:eastAsia="Times New Roman" w:hAnsi="Arial" w:cs="Arial"/>
          <w:b/>
          <w:bCs/>
          <w:sz w:val="24"/>
          <w:szCs w:val="24"/>
          <w:lang w:eastAsia="en-GB"/>
        </w:rPr>
      </w:pPr>
    </w:p>
    <w:p w14:paraId="1F0198D8" w14:textId="77777777" w:rsidR="00E4507B" w:rsidRDefault="00E4507B" w:rsidP="00057DCD">
      <w:pPr>
        <w:spacing w:after="0" w:line="240" w:lineRule="auto"/>
        <w:jc w:val="both"/>
        <w:rPr>
          <w:rFonts w:ascii="Arial" w:eastAsia="Times New Roman" w:hAnsi="Arial" w:cs="Arial"/>
          <w:b/>
          <w:bCs/>
          <w:sz w:val="24"/>
          <w:szCs w:val="24"/>
          <w:lang w:eastAsia="en-GB"/>
        </w:rPr>
      </w:pPr>
    </w:p>
    <w:p w14:paraId="0B55267B" w14:textId="25FFFC54" w:rsidR="00AA0517" w:rsidRPr="00CE68F9" w:rsidRDefault="00AA0517" w:rsidP="00057DCD">
      <w:pPr>
        <w:pStyle w:val="Heading1"/>
        <w:numPr>
          <w:ilvl w:val="0"/>
          <w:numId w:val="45"/>
        </w:numPr>
        <w:spacing w:before="0" w:line="240" w:lineRule="auto"/>
        <w:ind w:left="567" w:hanging="567"/>
      </w:pPr>
      <w:bookmarkStart w:id="11" w:name="_Toc82606832"/>
      <w:r w:rsidRPr="00CE68F9">
        <w:lastRenderedPageBreak/>
        <w:t>Assessment &amp; Selection Process</w:t>
      </w:r>
      <w:bookmarkEnd w:id="11"/>
    </w:p>
    <w:p w14:paraId="5CB1E811" w14:textId="77777777" w:rsidR="00AA0517" w:rsidRPr="00CE68F9" w:rsidRDefault="00AA0517" w:rsidP="00057DCD">
      <w:pPr>
        <w:autoSpaceDE w:val="0"/>
        <w:autoSpaceDN w:val="0"/>
        <w:adjustRightInd w:val="0"/>
        <w:spacing w:after="0" w:line="240" w:lineRule="auto"/>
        <w:rPr>
          <w:rFonts w:ascii="Arial" w:hAnsi="Arial" w:cs="Arial"/>
          <w:color w:val="000000"/>
          <w:sz w:val="24"/>
          <w:szCs w:val="24"/>
        </w:rPr>
      </w:pPr>
    </w:p>
    <w:p w14:paraId="0AFF0353" w14:textId="50704366" w:rsidR="00AA0517" w:rsidRPr="00AA0517" w:rsidRDefault="00AA0517" w:rsidP="00057DCD">
      <w:pPr>
        <w:spacing w:after="0" w:line="240" w:lineRule="auto"/>
        <w:contextualSpacing/>
        <w:rPr>
          <w:rFonts w:ascii="Arial" w:eastAsia="Batang" w:hAnsi="Arial" w:cs="Arial"/>
          <w:sz w:val="24"/>
          <w:szCs w:val="24"/>
        </w:rPr>
      </w:pPr>
      <w:r w:rsidRPr="00AA0517">
        <w:rPr>
          <w:rFonts w:ascii="Arial" w:eastAsia="Times New Roman" w:hAnsi="Arial" w:cs="Arial"/>
          <w:sz w:val="24"/>
          <w:szCs w:val="24"/>
        </w:rPr>
        <w:t>This funding opportunity will be</w:t>
      </w:r>
      <w:r w:rsidRPr="00AA0517">
        <w:rPr>
          <w:rFonts w:ascii="Arial" w:eastAsia="Batang" w:hAnsi="Arial" w:cs="Arial"/>
          <w:sz w:val="24"/>
          <w:szCs w:val="24"/>
        </w:rPr>
        <w:t xml:space="preserve"> developed through a two-stage process. </w:t>
      </w:r>
      <w:r w:rsidR="002D61BE">
        <w:rPr>
          <w:rFonts w:ascii="Arial" w:eastAsia="Batang" w:hAnsi="Arial" w:cs="Arial"/>
          <w:sz w:val="24"/>
          <w:szCs w:val="24"/>
        </w:rPr>
        <w:t xml:space="preserve">First </w:t>
      </w:r>
      <w:r w:rsidR="001A0398">
        <w:rPr>
          <w:rFonts w:ascii="Arial" w:eastAsia="Batang" w:hAnsi="Arial" w:cs="Arial"/>
          <w:sz w:val="24"/>
          <w:szCs w:val="24"/>
        </w:rPr>
        <w:t>S</w:t>
      </w:r>
      <w:r w:rsidR="002D61BE">
        <w:rPr>
          <w:rFonts w:ascii="Arial" w:eastAsia="Batang" w:hAnsi="Arial" w:cs="Arial"/>
          <w:sz w:val="24"/>
          <w:szCs w:val="24"/>
        </w:rPr>
        <w:t xml:space="preserve">tage </w:t>
      </w:r>
      <w:r w:rsidRPr="00AA0517">
        <w:rPr>
          <w:rFonts w:ascii="Arial" w:eastAsia="Batang" w:hAnsi="Arial" w:cs="Arial"/>
          <w:sz w:val="24"/>
          <w:szCs w:val="24"/>
        </w:rPr>
        <w:t xml:space="preserve">Expression of Interest and </w:t>
      </w:r>
      <w:r w:rsidR="002D61BE">
        <w:rPr>
          <w:rFonts w:ascii="Arial" w:eastAsia="Batang" w:hAnsi="Arial" w:cs="Arial"/>
          <w:sz w:val="24"/>
          <w:szCs w:val="24"/>
        </w:rPr>
        <w:t xml:space="preserve">Second </w:t>
      </w:r>
      <w:r w:rsidR="001A0398">
        <w:rPr>
          <w:rFonts w:ascii="Arial" w:eastAsia="Batang" w:hAnsi="Arial" w:cs="Arial"/>
          <w:sz w:val="24"/>
          <w:szCs w:val="24"/>
        </w:rPr>
        <w:t>S</w:t>
      </w:r>
      <w:r w:rsidR="002D61BE">
        <w:rPr>
          <w:rFonts w:ascii="Arial" w:eastAsia="Batang" w:hAnsi="Arial" w:cs="Arial"/>
          <w:sz w:val="24"/>
          <w:szCs w:val="24"/>
        </w:rPr>
        <w:t xml:space="preserve">tage </w:t>
      </w:r>
      <w:r w:rsidRPr="00AA0517">
        <w:rPr>
          <w:rFonts w:ascii="Arial" w:eastAsia="Batang" w:hAnsi="Arial" w:cs="Arial"/>
          <w:sz w:val="24"/>
          <w:szCs w:val="24"/>
        </w:rPr>
        <w:t>Full Business Case.</w:t>
      </w:r>
    </w:p>
    <w:p w14:paraId="742F2D10" w14:textId="77777777" w:rsidR="00AA0517" w:rsidRDefault="00AA0517" w:rsidP="00057DCD">
      <w:pPr>
        <w:spacing w:after="0" w:line="240" w:lineRule="auto"/>
        <w:jc w:val="both"/>
        <w:rPr>
          <w:rFonts w:ascii="Arial" w:eastAsia="Batang" w:hAnsi="Arial" w:cs="Arial"/>
          <w:sz w:val="24"/>
          <w:szCs w:val="24"/>
        </w:rPr>
      </w:pPr>
    </w:p>
    <w:p w14:paraId="50E0BB91" w14:textId="77777777" w:rsidR="00AA0517" w:rsidRPr="00CE68F9" w:rsidRDefault="00AA0517" w:rsidP="00057DCD">
      <w:pPr>
        <w:spacing w:after="0" w:line="240" w:lineRule="auto"/>
        <w:jc w:val="both"/>
        <w:rPr>
          <w:rFonts w:ascii="Arial" w:eastAsia="Batang" w:hAnsi="Arial" w:cs="Arial"/>
          <w:sz w:val="24"/>
          <w:szCs w:val="24"/>
        </w:rPr>
      </w:pPr>
      <w:r w:rsidRPr="00AA0517">
        <w:rPr>
          <w:rFonts w:ascii="Arial" w:eastAsia="Batang" w:hAnsi="Arial" w:cs="Arial"/>
          <w:b/>
          <w:bCs/>
          <w:sz w:val="24"/>
          <w:szCs w:val="24"/>
        </w:rPr>
        <w:t>First stage Expressions of Interest</w:t>
      </w:r>
      <w:r w:rsidRPr="00CE68F9">
        <w:rPr>
          <w:rFonts w:ascii="Arial" w:eastAsia="Batang" w:hAnsi="Arial" w:cs="Arial"/>
          <w:sz w:val="24"/>
          <w:szCs w:val="24"/>
        </w:rPr>
        <w:t xml:space="preserve"> </w:t>
      </w:r>
      <w:r>
        <w:rPr>
          <w:rFonts w:ascii="Arial" w:eastAsia="Batang" w:hAnsi="Arial" w:cs="Arial"/>
          <w:sz w:val="24"/>
          <w:szCs w:val="24"/>
        </w:rPr>
        <w:t xml:space="preserve">should be submitted on the form provided and </w:t>
      </w:r>
      <w:r w:rsidRPr="00CE68F9">
        <w:rPr>
          <w:rFonts w:ascii="Arial" w:eastAsia="Batang" w:hAnsi="Arial" w:cs="Arial"/>
          <w:sz w:val="24"/>
          <w:szCs w:val="24"/>
        </w:rPr>
        <w:t xml:space="preserve">will be scored against the following criteria. Applicants should note that, in line with the overarching principles of the call, strategic fit and delivery of desired outcomes criteria are </w:t>
      </w:r>
      <w:r w:rsidRPr="00CE68F9">
        <w:rPr>
          <w:rFonts w:ascii="Arial" w:eastAsia="Batang" w:hAnsi="Arial" w:cs="Arial"/>
          <w:b/>
          <w:bCs/>
          <w:sz w:val="24"/>
          <w:szCs w:val="24"/>
        </w:rPr>
        <w:t>pass/fail</w:t>
      </w:r>
      <w:r w:rsidRPr="00CE68F9">
        <w:rPr>
          <w:rFonts w:ascii="Arial" w:eastAsia="Batang" w:hAnsi="Arial" w:cs="Arial"/>
          <w:sz w:val="24"/>
          <w:szCs w:val="24"/>
        </w:rPr>
        <w:t xml:space="preserve">. </w:t>
      </w:r>
    </w:p>
    <w:p w14:paraId="58889426" w14:textId="77777777" w:rsidR="00AA0517" w:rsidRPr="00CE68F9" w:rsidRDefault="00AA0517" w:rsidP="00AA0517">
      <w:pPr>
        <w:spacing w:after="0" w:line="240" w:lineRule="auto"/>
        <w:contextualSpacing/>
        <w:jc w:val="both"/>
        <w:rPr>
          <w:rFonts w:ascii="Arial" w:eastAsia="Batang" w:hAnsi="Arial" w:cs="Arial"/>
          <w:sz w:val="24"/>
          <w:szCs w:val="24"/>
        </w:rPr>
      </w:pPr>
    </w:p>
    <w:tbl>
      <w:tblPr>
        <w:tblStyle w:val="TableGrid1"/>
        <w:tblW w:w="10201" w:type="dxa"/>
        <w:tblLook w:val="04A0" w:firstRow="1" w:lastRow="0" w:firstColumn="1" w:lastColumn="0" w:noHBand="0" w:noVBand="1"/>
      </w:tblPr>
      <w:tblGrid>
        <w:gridCol w:w="1980"/>
        <w:gridCol w:w="5528"/>
        <w:gridCol w:w="2693"/>
      </w:tblGrid>
      <w:tr w:rsidR="00AA0517" w:rsidRPr="00CE68F9" w14:paraId="26AC8D88" w14:textId="77777777" w:rsidTr="00AA0517">
        <w:tc>
          <w:tcPr>
            <w:tcW w:w="1980" w:type="dxa"/>
          </w:tcPr>
          <w:p w14:paraId="0AA853EB"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Criteria</w:t>
            </w:r>
          </w:p>
        </w:tc>
        <w:tc>
          <w:tcPr>
            <w:tcW w:w="5528" w:type="dxa"/>
          </w:tcPr>
          <w:p w14:paraId="76A8173D" w14:textId="77777777" w:rsidR="00AA0517" w:rsidRPr="00CE68F9" w:rsidRDefault="00AA0517" w:rsidP="00F94B9F">
            <w:pPr>
              <w:ind w:firstLine="720"/>
              <w:contextualSpacing/>
              <w:jc w:val="both"/>
              <w:rPr>
                <w:rFonts w:ascii="Arial" w:eastAsia="Batang" w:hAnsi="Arial" w:cs="Arial"/>
                <w:b/>
                <w:bCs/>
                <w:sz w:val="24"/>
                <w:szCs w:val="24"/>
              </w:rPr>
            </w:pPr>
            <w:r w:rsidRPr="00CE68F9">
              <w:rPr>
                <w:rFonts w:ascii="Arial" w:eastAsia="Batang" w:hAnsi="Arial" w:cs="Arial"/>
                <w:b/>
                <w:bCs/>
                <w:sz w:val="24"/>
                <w:szCs w:val="24"/>
              </w:rPr>
              <w:t>Consideration</w:t>
            </w:r>
          </w:p>
        </w:tc>
        <w:tc>
          <w:tcPr>
            <w:tcW w:w="2693" w:type="dxa"/>
          </w:tcPr>
          <w:p w14:paraId="29907A32" w14:textId="77777777" w:rsidR="00AA0517" w:rsidRPr="00CE68F9" w:rsidRDefault="00AA0517" w:rsidP="00F94B9F">
            <w:pPr>
              <w:contextualSpacing/>
              <w:jc w:val="center"/>
              <w:rPr>
                <w:rFonts w:ascii="Arial" w:eastAsia="Batang" w:hAnsi="Arial" w:cs="Arial"/>
                <w:b/>
                <w:bCs/>
                <w:sz w:val="24"/>
                <w:szCs w:val="24"/>
              </w:rPr>
            </w:pPr>
            <w:r w:rsidRPr="00CE68F9">
              <w:rPr>
                <w:rFonts w:ascii="Arial" w:eastAsia="Batang" w:hAnsi="Arial" w:cs="Arial"/>
                <w:b/>
                <w:bCs/>
                <w:sz w:val="24"/>
                <w:szCs w:val="24"/>
              </w:rPr>
              <w:t>Available marks</w:t>
            </w:r>
          </w:p>
        </w:tc>
      </w:tr>
      <w:tr w:rsidR="00AA0517" w:rsidRPr="00CE68F9" w14:paraId="62E56A82" w14:textId="77777777" w:rsidTr="00AA0517">
        <w:trPr>
          <w:trHeight w:val="841"/>
        </w:trPr>
        <w:tc>
          <w:tcPr>
            <w:tcW w:w="1980" w:type="dxa"/>
          </w:tcPr>
          <w:p w14:paraId="44BE6B2E"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Strategic Fit</w:t>
            </w:r>
          </w:p>
        </w:tc>
        <w:tc>
          <w:tcPr>
            <w:tcW w:w="5528" w:type="dxa"/>
          </w:tcPr>
          <w:p w14:paraId="58229635" w14:textId="24D3BFBA"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proposed fit with NTCA </w:t>
            </w:r>
            <w:r w:rsidR="00AE3323">
              <w:rPr>
                <w:rFonts w:ascii="Arial" w:eastAsia="Times New Roman" w:hAnsi="Arial" w:cs="Arial"/>
                <w:sz w:val="24"/>
                <w:szCs w:val="24"/>
              </w:rPr>
              <w:t>Corporate Plan,</w:t>
            </w:r>
            <w:r w:rsidRPr="00CE68F9">
              <w:rPr>
                <w:rFonts w:ascii="Arial" w:eastAsia="Times New Roman" w:hAnsi="Arial" w:cs="Arial"/>
                <w:sz w:val="24"/>
                <w:szCs w:val="24"/>
              </w:rPr>
              <w:t xml:space="preserve"> Inclusive Economy </w:t>
            </w:r>
            <w:proofErr w:type="gramStart"/>
            <w:r w:rsidRPr="00CE68F9">
              <w:rPr>
                <w:rFonts w:ascii="Arial" w:eastAsia="Times New Roman" w:hAnsi="Arial" w:cs="Arial"/>
                <w:sz w:val="24"/>
                <w:szCs w:val="24"/>
              </w:rPr>
              <w:t>Statement</w:t>
            </w:r>
            <w:proofErr w:type="gramEnd"/>
            <w:r w:rsidRPr="00CE68F9">
              <w:rPr>
                <w:rFonts w:ascii="Arial" w:eastAsia="Times New Roman" w:hAnsi="Arial" w:cs="Arial"/>
                <w:sz w:val="24"/>
                <w:szCs w:val="24"/>
              </w:rPr>
              <w:t xml:space="preserve"> and call focus area</w:t>
            </w:r>
            <w:r>
              <w:rPr>
                <w:rFonts w:ascii="Arial" w:eastAsia="Times New Roman" w:hAnsi="Arial" w:cs="Arial"/>
                <w:sz w:val="24"/>
                <w:szCs w:val="24"/>
              </w:rPr>
              <w:t>.</w:t>
            </w:r>
            <w:r w:rsidRPr="00CE68F9">
              <w:rPr>
                <w:rFonts w:ascii="Arial" w:eastAsia="Times New Roman" w:hAnsi="Arial" w:cs="Arial"/>
                <w:sz w:val="24"/>
                <w:szCs w:val="24"/>
              </w:rPr>
              <w:t xml:space="preserve"> </w:t>
            </w:r>
          </w:p>
          <w:p w14:paraId="41E94892" w14:textId="027B36C6"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effective and will lead to innovation in the </w:t>
            </w:r>
            <w:r>
              <w:rPr>
                <w:rFonts w:ascii="Arial" w:eastAsia="Times New Roman" w:hAnsi="Arial" w:cs="Arial"/>
                <w:sz w:val="24"/>
                <w:szCs w:val="24"/>
              </w:rPr>
              <w:t>Green Economy</w:t>
            </w:r>
            <w:r w:rsidRPr="00CE68F9">
              <w:rPr>
                <w:rFonts w:ascii="Arial" w:eastAsia="Times New Roman" w:hAnsi="Arial" w:cs="Arial"/>
                <w:sz w:val="24"/>
                <w:szCs w:val="24"/>
              </w:rPr>
              <w:t>; and</w:t>
            </w:r>
          </w:p>
          <w:p w14:paraId="150E1C82" w14:textId="77777777" w:rsidR="00AA0517"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developed in adherence with the overarching principles for the call and where appropriate evidence is provided in relation to stakeholder support, value added, etc. </w:t>
            </w:r>
          </w:p>
          <w:p w14:paraId="2D91D04C" w14:textId="1CE840E4" w:rsidR="00AA0517" w:rsidRPr="00CE68F9" w:rsidRDefault="00AA0517" w:rsidP="00AA0517">
            <w:pPr>
              <w:ind w:left="720"/>
              <w:contextualSpacing/>
              <w:jc w:val="both"/>
              <w:rPr>
                <w:rFonts w:ascii="Arial" w:eastAsia="Times New Roman" w:hAnsi="Arial" w:cs="Arial"/>
                <w:sz w:val="24"/>
                <w:szCs w:val="24"/>
              </w:rPr>
            </w:pPr>
          </w:p>
        </w:tc>
        <w:tc>
          <w:tcPr>
            <w:tcW w:w="2693" w:type="dxa"/>
            <w:vAlign w:val="center"/>
          </w:tcPr>
          <w:p w14:paraId="4DF0C37B" w14:textId="77777777" w:rsidR="00AA0517" w:rsidRPr="00CE68F9" w:rsidRDefault="00AA0517" w:rsidP="00F94B9F">
            <w:pPr>
              <w:rPr>
                <w:rFonts w:ascii="Arial" w:hAnsi="Arial" w:cs="Arial"/>
                <w:b/>
                <w:bCs/>
                <w:sz w:val="24"/>
                <w:szCs w:val="24"/>
              </w:rPr>
            </w:pPr>
          </w:p>
          <w:p w14:paraId="288837A7" w14:textId="77777777" w:rsidR="00AA0517" w:rsidRPr="00CE68F9" w:rsidRDefault="00AA0517" w:rsidP="00F94B9F">
            <w:pPr>
              <w:rPr>
                <w:rFonts w:ascii="Arial" w:hAnsi="Arial" w:cs="Arial"/>
                <w:b/>
                <w:bCs/>
                <w:sz w:val="24"/>
                <w:szCs w:val="24"/>
              </w:rPr>
            </w:pPr>
            <w:r w:rsidRPr="00CE68F9">
              <w:rPr>
                <w:rFonts w:ascii="Arial" w:hAnsi="Arial" w:cs="Arial"/>
                <w:b/>
                <w:bCs/>
                <w:sz w:val="24"/>
                <w:szCs w:val="24"/>
              </w:rPr>
              <w:t>Pass (10-15) or Fail</w:t>
            </w:r>
          </w:p>
          <w:p w14:paraId="0CCBBFB6" w14:textId="77777777" w:rsidR="00AA0517" w:rsidRPr="00CE68F9" w:rsidRDefault="00AA0517" w:rsidP="00F94B9F">
            <w:pPr>
              <w:rPr>
                <w:rFonts w:ascii="Arial" w:hAnsi="Arial" w:cs="Arial"/>
                <w:b/>
                <w:bCs/>
                <w:sz w:val="24"/>
                <w:szCs w:val="24"/>
              </w:rPr>
            </w:pPr>
          </w:p>
          <w:p w14:paraId="7F866BE0" w14:textId="77777777" w:rsidR="00AA0517" w:rsidRPr="00CE68F9" w:rsidRDefault="00AA0517" w:rsidP="00F94B9F">
            <w:pPr>
              <w:contextualSpacing/>
              <w:jc w:val="center"/>
              <w:rPr>
                <w:rFonts w:ascii="Arial" w:eastAsia="Batang" w:hAnsi="Arial" w:cs="Arial"/>
                <w:b/>
                <w:bCs/>
                <w:sz w:val="24"/>
                <w:szCs w:val="24"/>
              </w:rPr>
            </w:pPr>
          </w:p>
        </w:tc>
      </w:tr>
      <w:tr w:rsidR="00AA0517" w:rsidRPr="00CE68F9" w14:paraId="27F06157" w14:textId="77777777" w:rsidTr="00AA0517">
        <w:tc>
          <w:tcPr>
            <w:tcW w:w="1980" w:type="dxa"/>
          </w:tcPr>
          <w:p w14:paraId="1633DA11" w14:textId="61F859AA"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Delivery of desired </w:t>
            </w:r>
            <w:r w:rsidR="00A36651">
              <w:rPr>
                <w:rFonts w:ascii="Arial" w:eastAsia="Batang" w:hAnsi="Arial" w:cs="Arial"/>
                <w:b/>
                <w:bCs/>
                <w:sz w:val="24"/>
                <w:szCs w:val="24"/>
              </w:rPr>
              <w:t xml:space="preserve">outcomes </w:t>
            </w:r>
          </w:p>
        </w:tc>
        <w:tc>
          <w:tcPr>
            <w:tcW w:w="5528" w:type="dxa"/>
          </w:tcPr>
          <w:p w14:paraId="756D4504" w14:textId="7106E087" w:rsidR="00AA0517" w:rsidRDefault="00AA0517" w:rsidP="00B81F29">
            <w:pPr>
              <w:pStyle w:val="paragraph"/>
              <w:numPr>
                <w:ilvl w:val="0"/>
                <w:numId w:val="44"/>
              </w:numPr>
              <w:spacing w:before="0" w:beforeAutospacing="0" w:after="0" w:afterAutospacing="0"/>
              <w:textAlignment w:val="baseline"/>
              <w:rPr>
                <w:rFonts w:ascii="Arial" w:hAnsi="Arial" w:cs="Arial"/>
              </w:rPr>
            </w:pPr>
            <w:r w:rsidRPr="00CE68F9">
              <w:rPr>
                <w:rFonts w:ascii="Arial" w:hAnsi="Arial" w:cs="Arial"/>
                <w:color w:val="000000"/>
              </w:rPr>
              <w:t xml:space="preserve">Demonstration of clear knowledge of the </w:t>
            </w:r>
            <w:r>
              <w:rPr>
                <w:rFonts w:ascii="Arial" w:hAnsi="Arial" w:cs="Arial"/>
              </w:rPr>
              <w:t xml:space="preserve">Low Carbon and Renewable Energy Economy in the NTCA area; and </w:t>
            </w:r>
          </w:p>
          <w:p w14:paraId="5167F9D5" w14:textId="1DC7A8AE" w:rsidR="00AA0517" w:rsidRDefault="00AA0517" w:rsidP="00B81F29">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Clear alignment of proposals with the </w:t>
            </w:r>
            <w:r>
              <w:rPr>
                <w:rFonts w:ascii="Arial" w:hAnsi="Arial" w:cs="Arial"/>
                <w:color w:val="000000"/>
                <w:sz w:val="24"/>
                <w:szCs w:val="24"/>
              </w:rPr>
              <w:t xml:space="preserve">overarching principles and funding priorities </w:t>
            </w:r>
            <w:r w:rsidRPr="00CE68F9">
              <w:rPr>
                <w:rFonts w:ascii="Arial" w:hAnsi="Arial" w:cs="Arial"/>
                <w:color w:val="000000"/>
                <w:sz w:val="24"/>
                <w:szCs w:val="24"/>
              </w:rPr>
              <w:t xml:space="preserve">set out in </w:t>
            </w:r>
            <w:r w:rsidR="005A0F29">
              <w:rPr>
                <w:rFonts w:ascii="Arial" w:hAnsi="Arial" w:cs="Arial"/>
                <w:color w:val="000000"/>
                <w:sz w:val="24"/>
                <w:szCs w:val="24"/>
              </w:rPr>
              <w:t xml:space="preserve">the </w:t>
            </w:r>
            <w:r w:rsidRPr="00CE68F9">
              <w:rPr>
                <w:rFonts w:ascii="Arial" w:hAnsi="Arial" w:cs="Arial"/>
                <w:color w:val="000000"/>
                <w:sz w:val="24"/>
                <w:szCs w:val="24"/>
              </w:rPr>
              <w:t xml:space="preserve">call </w:t>
            </w:r>
            <w:r w:rsidR="005A0F29">
              <w:rPr>
                <w:rFonts w:ascii="Arial" w:hAnsi="Arial" w:cs="Arial"/>
                <w:color w:val="000000"/>
                <w:sz w:val="24"/>
                <w:szCs w:val="24"/>
              </w:rPr>
              <w:t xml:space="preserve">definition </w:t>
            </w:r>
            <w:r w:rsidRPr="00CE68F9">
              <w:rPr>
                <w:rFonts w:ascii="Arial" w:hAnsi="Arial" w:cs="Arial"/>
                <w:color w:val="000000"/>
                <w:sz w:val="24"/>
                <w:szCs w:val="24"/>
              </w:rPr>
              <w:t xml:space="preserve">document. </w:t>
            </w:r>
          </w:p>
          <w:p w14:paraId="0FFF81DA" w14:textId="5A823CEB"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58253F0B" w14:textId="77777777" w:rsidR="00AA0517" w:rsidRPr="00CE68F9" w:rsidRDefault="00AA0517" w:rsidP="00F94B9F">
            <w:pPr>
              <w:contextualSpacing/>
              <w:jc w:val="center"/>
              <w:rPr>
                <w:rFonts w:ascii="Arial" w:eastAsia="Batang" w:hAnsi="Arial" w:cs="Arial"/>
                <w:b/>
                <w:bCs/>
                <w:sz w:val="24"/>
                <w:szCs w:val="24"/>
              </w:rPr>
            </w:pPr>
            <w:r w:rsidRPr="00CE68F9">
              <w:rPr>
                <w:rFonts w:ascii="Arial" w:hAnsi="Arial" w:cs="Arial"/>
                <w:b/>
                <w:bCs/>
                <w:sz w:val="24"/>
                <w:szCs w:val="24"/>
              </w:rPr>
              <w:t>Pass (7-15) or Fail</w:t>
            </w:r>
          </w:p>
        </w:tc>
      </w:tr>
      <w:tr w:rsidR="00AA0517" w:rsidRPr="00CE68F9" w14:paraId="44884607" w14:textId="77777777" w:rsidTr="00AA0517">
        <w:tc>
          <w:tcPr>
            <w:tcW w:w="1980" w:type="dxa"/>
          </w:tcPr>
          <w:p w14:paraId="4BD30000"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Value for Money </w:t>
            </w:r>
          </w:p>
        </w:tc>
        <w:tc>
          <w:tcPr>
            <w:tcW w:w="5528" w:type="dxa"/>
          </w:tcPr>
          <w:p w14:paraId="15E200BE" w14:textId="77777777" w:rsidR="00AA0517" w:rsidRDefault="00AA0517" w:rsidP="0037245F">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The value for money associated with proposals.</w:t>
            </w:r>
          </w:p>
          <w:p w14:paraId="174FE28B" w14:textId="77777777" w:rsidR="00AA0517" w:rsidRDefault="00AA0517" w:rsidP="00AA0517">
            <w:pPr>
              <w:autoSpaceDE w:val="0"/>
              <w:autoSpaceDN w:val="0"/>
              <w:adjustRightInd w:val="0"/>
              <w:ind w:left="720"/>
              <w:jc w:val="both"/>
              <w:rPr>
                <w:rFonts w:ascii="Arial" w:hAnsi="Arial" w:cs="Arial"/>
                <w:color w:val="000000"/>
                <w:sz w:val="24"/>
                <w:szCs w:val="24"/>
              </w:rPr>
            </w:pPr>
          </w:p>
          <w:p w14:paraId="78B3DF15" w14:textId="54AE4723" w:rsidR="0070299A" w:rsidRPr="00CE68F9" w:rsidRDefault="0070299A" w:rsidP="000C1DFF">
            <w:pPr>
              <w:autoSpaceDE w:val="0"/>
              <w:autoSpaceDN w:val="0"/>
              <w:adjustRightInd w:val="0"/>
              <w:jc w:val="both"/>
              <w:rPr>
                <w:rFonts w:ascii="Arial" w:hAnsi="Arial" w:cs="Arial"/>
                <w:color w:val="000000"/>
                <w:sz w:val="24"/>
                <w:szCs w:val="24"/>
              </w:rPr>
            </w:pPr>
          </w:p>
        </w:tc>
        <w:tc>
          <w:tcPr>
            <w:tcW w:w="2693" w:type="dxa"/>
            <w:vAlign w:val="center"/>
          </w:tcPr>
          <w:p w14:paraId="278215BA"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51DE43EF" w14:textId="77777777" w:rsidTr="00AA0517">
        <w:tc>
          <w:tcPr>
            <w:tcW w:w="1980" w:type="dxa"/>
          </w:tcPr>
          <w:p w14:paraId="6809F5B0" w14:textId="77777777" w:rsidR="00B81F2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Intensity of Grant Request</w:t>
            </w:r>
          </w:p>
          <w:p w14:paraId="3AF362FE" w14:textId="5AE2E7E3" w:rsidR="00AA0517" w:rsidRPr="00CE68F9" w:rsidRDefault="00AA0517" w:rsidP="00F94B9F">
            <w:pPr>
              <w:contextualSpacing/>
              <w:rPr>
                <w:rFonts w:ascii="Arial" w:eastAsia="Batang" w:hAnsi="Arial" w:cs="Arial"/>
                <w:b/>
                <w:bCs/>
                <w:sz w:val="24"/>
                <w:szCs w:val="24"/>
              </w:rPr>
            </w:pPr>
          </w:p>
        </w:tc>
        <w:tc>
          <w:tcPr>
            <w:tcW w:w="5528" w:type="dxa"/>
          </w:tcPr>
          <w:p w14:paraId="72BF7477" w14:textId="3664FA4B" w:rsidR="00611E9F" w:rsidRPr="00B01B1A" w:rsidRDefault="00611E9F" w:rsidP="00611E9F">
            <w:pPr>
              <w:numPr>
                <w:ilvl w:val="0"/>
                <w:numId w:val="10"/>
              </w:numPr>
              <w:autoSpaceDE w:val="0"/>
              <w:autoSpaceDN w:val="0"/>
              <w:adjustRightInd w:val="0"/>
              <w:jc w:val="both"/>
              <w:rPr>
                <w:rFonts w:ascii="Arial" w:hAnsi="Arial" w:cs="Arial"/>
                <w:color w:val="000000"/>
                <w:sz w:val="24"/>
                <w:szCs w:val="24"/>
              </w:rPr>
            </w:pPr>
            <w:r w:rsidRPr="00B01B1A">
              <w:rPr>
                <w:rFonts w:ascii="Arial" w:hAnsi="Arial" w:cs="Arial"/>
                <w:color w:val="000000"/>
                <w:sz w:val="24"/>
                <w:szCs w:val="24"/>
              </w:rPr>
              <w:t>The overall proportion of funding requested from the NTCA as a proportion of total eligible project costs (intensity of grant request) will be assessed.</w:t>
            </w:r>
          </w:p>
          <w:p w14:paraId="2D045D33" w14:textId="77777777" w:rsidR="00AA0517" w:rsidRDefault="00611E9F" w:rsidP="00611E9F">
            <w:pPr>
              <w:pStyle w:val="ListParagraph"/>
              <w:numPr>
                <w:ilvl w:val="0"/>
                <w:numId w:val="10"/>
              </w:numPr>
              <w:spacing w:after="0" w:line="240" w:lineRule="auto"/>
              <w:rPr>
                <w:rFonts w:ascii="Arial" w:hAnsi="Arial" w:cs="Arial"/>
                <w:color w:val="000000"/>
                <w:sz w:val="24"/>
                <w:szCs w:val="24"/>
              </w:rPr>
            </w:pPr>
            <w:r w:rsidRPr="00B01B1A">
              <w:rPr>
                <w:rFonts w:ascii="Arial" w:hAnsi="Arial" w:cs="Arial"/>
                <w:color w:val="000000"/>
                <w:sz w:val="24"/>
                <w:szCs w:val="24"/>
              </w:rPr>
              <w:t>Projects requesting a lower proportion of funding from the NTCA will score more highly.</w:t>
            </w:r>
          </w:p>
          <w:p w14:paraId="21B3ADA9" w14:textId="22122439" w:rsidR="00B01B1A" w:rsidRPr="00CE68F9" w:rsidRDefault="00B01B1A" w:rsidP="00B01B1A">
            <w:pPr>
              <w:pStyle w:val="ListParagraph"/>
              <w:spacing w:after="0" w:line="240" w:lineRule="auto"/>
              <w:rPr>
                <w:rFonts w:ascii="Arial" w:hAnsi="Arial" w:cs="Arial"/>
                <w:color w:val="000000"/>
                <w:sz w:val="24"/>
                <w:szCs w:val="24"/>
              </w:rPr>
            </w:pPr>
          </w:p>
        </w:tc>
        <w:tc>
          <w:tcPr>
            <w:tcW w:w="2693" w:type="dxa"/>
            <w:vAlign w:val="center"/>
          </w:tcPr>
          <w:p w14:paraId="051A027E"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07D6B93C" w14:textId="77777777" w:rsidTr="00AA0517">
        <w:tc>
          <w:tcPr>
            <w:tcW w:w="1980" w:type="dxa"/>
          </w:tcPr>
          <w:p w14:paraId="56E10F73"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Status of Match Funding </w:t>
            </w:r>
          </w:p>
        </w:tc>
        <w:tc>
          <w:tcPr>
            <w:tcW w:w="5528" w:type="dxa"/>
          </w:tcPr>
          <w:p w14:paraId="22735121" w14:textId="77777777" w:rsidR="00B81F29" w:rsidRDefault="00AA0517" w:rsidP="000C1DFF">
            <w:pPr>
              <w:numPr>
                <w:ilvl w:val="0"/>
                <w:numId w:val="12"/>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The degree to which match funding that is confirmed will be assessed. </w:t>
            </w:r>
            <w:r w:rsidR="00F94B9F">
              <w:rPr>
                <w:rFonts w:ascii="Arial" w:hAnsi="Arial" w:cs="Arial"/>
                <w:color w:val="000000"/>
                <w:sz w:val="24"/>
                <w:szCs w:val="24"/>
              </w:rPr>
              <w:t xml:space="preserve"> </w:t>
            </w:r>
          </w:p>
          <w:p w14:paraId="0F675A29" w14:textId="260AC415" w:rsidR="00AA0517" w:rsidRDefault="00F94B9F" w:rsidP="000C1DFF">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Applicants must</w:t>
            </w:r>
            <w:r w:rsidR="00612D0A">
              <w:rPr>
                <w:rFonts w:ascii="Arial" w:hAnsi="Arial" w:cs="Arial"/>
                <w:color w:val="000000"/>
                <w:sz w:val="24"/>
                <w:szCs w:val="24"/>
              </w:rPr>
              <w:t xml:space="preserve"> </w:t>
            </w:r>
            <w:r>
              <w:rPr>
                <w:rFonts w:ascii="Arial" w:hAnsi="Arial" w:cs="Arial"/>
                <w:color w:val="000000"/>
                <w:sz w:val="24"/>
                <w:szCs w:val="24"/>
              </w:rPr>
              <w:t xml:space="preserve">carefully consider the status of match funding and intensity </w:t>
            </w:r>
          </w:p>
          <w:p w14:paraId="131A90A3" w14:textId="571D0576"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7D2B793B"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6C2D1033" w14:textId="77777777" w:rsidTr="00AA0517">
        <w:tc>
          <w:tcPr>
            <w:tcW w:w="1980" w:type="dxa"/>
          </w:tcPr>
          <w:p w14:paraId="538CDC62"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Subsidy Control Risk </w:t>
            </w:r>
          </w:p>
        </w:tc>
        <w:tc>
          <w:tcPr>
            <w:tcW w:w="5528" w:type="dxa"/>
          </w:tcPr>
          <w:p w14:paraId="5DEF6E2C" w14:textId="55A3DF4D" w:rsidR="0070299A" w:rsidRPr="00B01B1A" w:rsidRDefault="004D6F9A" w:rsidP="00B01B1A">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Subsidy Control</w:t>
            </w:r>
            <w:r w:rsidR="00AA0517" w:rsidRPr="00CE68F9">
              <w:rPr>
                <w:rFonts w:ascii="Arial" w:hAnsi="Arial" w:cs="Arial"/>
                <w:color w:val="000000"/>
                <w:sz w:val="24"/>
                <w:szCs w:val="24"/>
              </w:rPr>
              <w:t xml:space="preserve"> risk will be established through an assessment of the applicant’s understanding of the relevant </w:t>
            </w:r>
            <w:r>
              <w:rPr>
                <w:rFonts w:ascii="Arial" w:hAnsi="Arial" w:cs="Arial"/>
                <w:color w:val="000000"/>
                <w:sz w:val="24"/>
                <w:szCs w:val="24"/>
              </w:rPr>
              <w:t>Subsidy Control principles</w:t>
            </w:r>
            <w:r w:rsidR="00AA0517" w:rsidRPr="00CE68F9">
              <w:rPr>
                <w:rFonts w:ascii="Arial" w:hAnsi="Arial" w:cs="Arial"/>
                <w:color w:val="000000"/>
                <w:sz w:val="24"/>
                <w:szCs w:val="24"/>
              </w:rPr>
              <w:t xml:space="preserve"> and solutions and the degree to which they have taken and provided evidence of appropriate legal advice. </w:t>
            </w:r>
          </w:p>
        </w:tc>
        <w:tc>
          <w:tcPr>
            <w:tcW w:w="2693" w:type="dxa"/>
            <w:vAlign w:val="center"/>
          </w:tcPr>
          <w:p w14:paraId="45626E44"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5B71BD78" w14:textId="77777777" w:rsidTr="00AA0517">
        <w:tc>
          <w:tcPr>
            <w:tcW w:w="1980" w:type="dxa"/>
          </w:tcPr>
          <w:p w14:paraId="17D36B24"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lastRenderedPageBreak/>
              <w:t>Deliverability risk</w:t>
            </w:r>
          </w:p>
        </w:tc>
        <w:tc>
          <w:tcPr>
            <w:tcW w:w="5528" w:type="dxa"/>
          </w:tcPr>
          <w:p w14:paraId="24C20C3C" w14:textId="16026758" w:rsidR="00AA0517" w:rsidRPr="00CE68F9"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deliverability, </w:t>
            </w:r>
            <w:proofErr w:type="gramStart"/>
            <w:r w:rsidRPr="00CE68F9">
              <w:rPr>
                <w:rFonts w:ascii="Arial" w:eastAsia="Times New Roman" w:hAnsi="Arial" w:cs="Arial"/>
                <w:sz w:val="24"/>
                <w:szCs w:val="24"/>
              </w:rPr>
              <w:t>capacity</w:t>
            </w:r>
            <w:proofErr w:type="gramEnd"/>
            <w:r w:rsidRPr="00CE68F9">
              <w:rPr>
                <w:rFonts w:ascii="Arial" w:eastAsia="Times New Roman" w:hAnsi="Arial" w:cs="Arial"/>
                <w:sz w:val="24"/>
                <w:szCs w:val="24"/>
              </w:rPr>
              <w:t xml:space="preserve"> and risks. Clear explanation of delivery routes, timeframes, and key milestones. </w:t>
            </w:r>
          </w:p>
          <w:p w14:paraId="47E61855" w14:textId="77777777" w:rsidR="00AA0517"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Evidence of partnership strength, commitment (as appropriate) and strategic backing. </w:t>
            </w:r>
          </w:p>
          <w:p w14:paraId="42BFEB30" w14:textId="0AFA85A7"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57AE7956"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15</w:t>
            </w:r>
          </w:p>
        </w:tc>
      </w:tr>
      <w:tr w:rsidR="00AA0517" w:rsidRPr="00CE68F9" w14:paraId="3B6D04EE" w14:textId="77777777" w:rsidTr="00AA0517">
        <w:tc>
          <w:tcPr>
            <w:tcW w:w="1980" w:type="dxa"/>
          </w:tcPr>
          <w:p w14:paraId="357E8DA5"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 xml:space="preserve">Inclusive Economy Fit </w:t>
            </w:r>
          </w:p>
        </w:tc>
        <w:tc>
          <w:tcPr>
            <w:tcW w:w="5528" w:type="dxa"/>
          </w:tcPr>
          <w:p w14:paraId="79B16AAE" w14:textId="77777777" w:rsidR="00AA0517" w:rsidRDefault="00AA0517" w:rsidP="00AA0517">
            <w:pPr>
              <w:numPr>
                <w:ilvl w:val="0"/>
                <w:numId w:val="13"/>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the inclusive economy implications of proposals and the ability of the project to make a proactive and targeted impact on the inclusive economy ambitions of the NTCA and to have a positive impact on residents. </w:t>
            </w:r>
          </w:p>
          <w:p w14:paraId="530CBFBE" w14:textId="6140455A"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2B24BCD5"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10</w:t>
            </w:r>
          </w:p>
        </w:tc>
      </w:tr>
      <w:tr w:rsidR="00B81F29" w:rsidRPr="00CE68F9" w14:paraId="74E92B66" w14:textId="77777777" w:rsidTr="00AB5AD4">
        <w:tc>
          <w:tcPr>
            <w:tcW w:w="7508" w:type="dxa"/>
            <w:gridSpan w:val="2"/>
          </w:tcPr>
          <w:p w14:paraId="70E0CD88" w14:textId="5CD13C04" w:rsidR="00B81F29" w:rsidRPr="00CE68F9" w:rsidRDefault="00E452F3" w:rsidP="00B81F29">
            <w:pPr>
              <w:tabs>
                <w:tab w:val="left" w:pos="1740"/>
              </w:tabs>
              <w:contextualSpacing/>
              <w:rPr>
                <w:rFonts w:ascii="Arial" w:eastAsia="Times New Roman" w:hAnsi="Arial" w:cs="Arial"/>
                <w:sz w:val="24"/>
                <w:szCs w:val="24"/>
              </w:rPr>
            </w:pPr>
            <w:r>
              <w:rPr>
                <w:rFonts w:ascii="Arial" w:eastAsia="Times New Roman" w:hAnsi="Arial" w:cs="Arial"/>
                <w:sz w:val="24"/>
                <w:szCs w:val="24"/>
              </w:rPr>
              <w:t>Marks</w:t>
            </w:r>
            <w:r w:rsidR="00B81F29">
              <w:rPr>
                <w:rFonts w:ascii="Arial" w:eastAsia="Times New Roman" w:hAnsi="Arial" w:cs="Arial"/>
                <w:sz w:val="24"/>
                <w:szCs w:val="24"/>
              </w:rPr>
              <w:t xml:space="preserve"> Available</w:t>
            </w:r>
          </w:p>
        </w:tc>
        <w:tc>
          <w:tcPr>
            <w:tcW w:w="2693" w:type="dxa"/>
            <w:vAlign w:val="center"/>
          </w:tcPr>
          <w:p w14:paraId="7B39D68F" w14:textId="2D8608DB" w:rsidR="00B81F29" w:rsidRPr="00CE68F9" w:rsidRDefault="00E452F3" w:rsidP="00F94B9F">
            <w:pPr>
              <w:contextualSpacing/>
              <w:jc w:val="center"/>
              <w:rPr>
                <w:rFonts w:ascii="Arial" w:eastAsia="Batang" w:hAnsi="Arial" w:cs="Arial"/>
                <w:sz w:val="24"/>
                <w:szCs w:val="24"/>
              </w:rPr>
            </w:pPr>
            <w:r>
              <w:rPr>
                <w:rFonts w:ascii="Arial" w:eastAsia="Batang" w:hAnsi="Arial" w:cs="Arial"/>
                <w:sz w:val="24"/>
                <w:szCs w:val="24"/>
              </w:rPr>
              <w:t>75</w:t>
            </w:r>
          </w:p>
        </w:tc>
      </w:tr>
    </w:tbl>
    <w:p w14:paraId="6062F839" w14:textId="77777777" w:rsidR="00AA0517" w:rsidRPr="00CE68F9" w:rsidRDefault="00AA0517" w:rsidP="00AA0517">
      <w:pPr>
        <w:spacing w:after="0" w:line="240" w:lineRule="auto"/>
        <w:contextualSpacing/>
        <w:jc w:val="both"/>
        <w:rPr>
          <w:rFonts w:ascii="Arial" w:eastAsia="Batang" w:hAnsi="Arial" w:cs="Arial"/>
          <w:sz w:val="24"/>
          <w:szCs w:val="24"/>
        </w:rPr>
      </w:pPr>
    </w:p>
    <w:p w14:paraId="4FD993C6"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Project proposals will be scored against the selection criteria in this document.  Scoring will be undertaken by a panel made up of Officers of the NTCA and other relevant external members. Clarifications may be sought by NTCA throughout the assessment process.</w:t>
      </w:r>
    </w:p>
    <w:p w14:paraId="6906F070"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p>
    <w:p w14:paraId="4A42ECE7" w14:textId="7D9FBB90" w:rsidR="00AA0517" w:rsidRPr="0032071D"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Strategic fit and</w:t>
      </w:r>
      <w:r w:rsidR="001201C1">
        <w:rPr>
          <w:rFonts w:ascii="Arial" w:hAnsi="Arial" w:cs="Arial"/>
          <w:color w:val="000000"/>
          <w:sz w:val="24"/>
          <w:szCs w:val="24"/>
        </w:rPr>
        <w:t xml:space="preserve"> Delivery of </w:t>
      </w:r>
      <w:r w:rsidR="00704198">
        <w:rPr>
          <w:rFonts w:ascii="Arial" w:hAnsi="Arial" w:cs="Arial"/>
          <w:color w:val="000000"/>
          <w:sz w:val="24"/>
          <w:szCs w:val="24"/>
        </w:rPr>
        <w:t>D</w:t>
      </w:r>
      <w:r w:rsidR="001201C1">
        <w:rPr>
          <w:rFonts w:ascii="Arial" w:hAnsi="Arial" w:cs="Arial"/>
          <w:color w:val="000000"/>
          <w:sz w:val="24"/>
          <w:szCs w:val="24"/>
        </w:rPr>
        <w:t xml:space="preserve">esired </w:t>
      </w:r>
      <w:r w:rsidR="00704198">
        <w:rPr>
          <w:rFonts w:ascii="Arial" w:hAnsi="Arial" w:cs="Arial"/>
          <w:color w:val="000000"/>
          <w:sz w:val="24"/>
          <w:szCs w:val="24"/>
        </w:rPr>
        <w:t>O</w:t>
      </w:r>
      <w:r w:rsidR="001201C1">
        <w:rPr>
          <w:rFonts w:ascii="Arial" w:hAnsi="Arial" w:cs="Arial"/>
          <w:color w:val="000000"/>
          <w:sz w:val="24"/>
          <w:szCs w:val="24"/>
        </w:rPr>
        <w:t xml:space="preserve">utcomes </w:t>
      </w:r>
      <w:r w:rsidRPr="00CE68F9">
        <w:rPr>
          <w:rFonts w:ascii="Arial" w:hAnsi="Arial" w:cs="Arial"/>
          <w:color w:val="000000"/>
          <w:sz w:val="24"/>
          <w:szCs w:val="24"/>
        </w:rPr>
        <w:t xml:space="preserve">are Pass/Fail, as indicated in the scoring guidance and matrix. </w:t>
      </w:r>
    </w:p>
    <w:p w14:paraId="04872932" w14:textId="02DC137F"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06164341" w14:textId="77777777" w:rsidR="00704198" w:rsidRPr="00CA6C6D" w:rsidRDefault="00704198" w:rsidP="00704198">
      <w:pPr>
        <w:spacing w:after="0" w:line="240" w:lineRule="auto"/>
        <w:contextualSpacing/>
        <w:jc w:val="both"/>
        <w:rPr>
          <w:rFonts w:ascii="Arial" w:eastAsia="Batang" w:hAnsi="Arial" w:cs="Arial"/>
          <w:sz w:val="24"/>
          <w:szCs w:val="24"/>
        </w:rPr>
      </w:pPr>
      <w:r w:rsidRPr="00CA6C6D">
        <w:rPr>
          <w:rFonts w:ascii="Arial" w:eastAsia="Batang" w:hAnsi="Arial" w:cs="Arial"/>
          <w:b/>
          <w:bCs/>
          <w:sz w:val="24"/>
          <w:szCs w:val="24"/>
        </w:rPr>
        <w:t xml:space="preserve">NOTE: </w:t>
      </w:r>
      <w:r w:rsidRPr="00CA6C6D">
        <w:rPr>
          <w:rFonts w:ascii="Arial" w:eastAsia="Batang" w:hAnsi="Arial" w:cs="Arial"/>
          <w:sz w:val="24"/>
          <w:szCs w:val="24"/>
        </w:rPr>
        <w:t xml:space="preserve">a detailed scoring Matrix is provided at Annex C. </w:t>
      </w:r>
    </w:p>
    <w:p w14:paraId="21604A7C" w14:textId="77777777" w:rsidR="00704198" w:rsidRDefault="00704198" w:rsidP="00AA0517">
      <w:pPr>
        <w:autoSpaceDE w:val="0"/>
        <w:autoSpaceDN w:val="0"/>
        <w:adjustRightInd w:val="0"/>
        <w:spacing w:after="0" w:line="240" w:lineRule="auto"/>
        <w:jc w:val="both"/>
        <w:rPr>
          <w:rFonts w:ascii="Arial" w:eastAsia="Batang" w:hAnsi="Arial" w:cs="Arial"/>
          <w:color w:val="000000"/>
          <w:sz w:val="24"/>
          <w:szCs w:val="24"/>
        </w:rPr>
      </w:pPr>
    </w:p>
    <w:p w14:paraId="2EC1073E" w14:textId="7B52C6DC" w:rsidR="00AA0517" w:rsidRPr="00AA0517" w:rsidRDefault="00AA0517" w:rsidP="00AA0517">
      <w:pPr>
        <w:autoSpaceDE w:val="0"/>
        <w:autoSpaceDN w:val="0"/>
        <w:adjustRightInd w:val="0"/>
        <w:spacing w:after="0" w:line="240" w:lineRule="auto"/>
        <w:jc w:val="both"/>
        <w:rPr>
          <w:rFonts w:ascii="Arial" w:eastAsia="Batang" w:hAnsi="Arial" w:cs="Arial"/>
          <w:b/>
          <w:bCs/>
          <w:color w:val="000000"/>
          <w:sz w:val="24"/>
          <w:szCs w:val="24"/>
        </w:rPr>
      </w:pPr>
      <w:r w:rsidRPr="00AA0517">
        <w:rPr>
          <w:rFonts w:ascii="Arial" w:eastAsia="Batang" w:hAnsi="Arial" w:cs="Arial"/>
          <w:b/>
          <w:bCs/>
          <w:color w:val="000000"/>
          <w:sz w:val="24"/>
          <w:szCs w:val="24"/>
        </w:rPr>
        <w:t>Stage 2 – Full Business Case</w:t>
      </w:r>
    </w:p>
    <w:p w14:paraId="289F7DD8" w14:textId="77777777"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50441D62" w14:textId="4DC4E06E"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Following this, project proposals that </w:t>
      </w:r>
      <w:r w:rsidRPr="0070209F">
        <w:rPr>
          <w:rFonts w:ascii="Arial" w:eastAsia="Batang" w:hAnsi="Arial" w:cs="Arial"/>
          <w:color w:val="000000"/>
          <w:sz w:val="24"/>
          <w:szCs w:val="24"/>
        </w:rPr>
        <w:t>pass both pass/fail criteria and have a scored a minimum of 4</w:t>
      </w:r>
      <w:r w:rsidR="001201C1">
        <w:rPr>
          <w:rFonts w:ascii="Arial" w:eastAsia="Batang" w:hAnsi="Arial" w:cs="Arial"/>
          <w:color w:val="000000"/>
          <w:sz w:val="24"/>
          <w:szCs w:val="24"/>
        </w:rPr>
        <w:t>5</w:t>
      </w:r>
      <w:r w:rsidRPr="0070209F">
        <w:rPr>
          <w:rFonts w:ascii="Arial" w:eastAsia="Batang" w:hAnsi="Arial" w:cs="Arial"/>
          <w:color w:val="000000"/>
          <w:sz w:val="24"/>
          <w:szCs w:val="24"/>
        </w:rPr>
        <w:t xml:space="preserve"> points out of 75 will be considered by the NTCA Investment Panel. If the combined value of projects meeting this threshold exceeds the funding available, the NTCA</w:t>
      </w:r>
      <w:r w:rsidRPr="00CE68F9">
        <w:rPr>
          <w:rFonts w:ascii="Arial" w:eastAsia="Batang" w:hAnsi="Arial" w:cs="Arial"/>
          <w:color w:val="000000"/>
          <w:sz w:val="24"/>
          <w:szCs w:val="24"/>
        </w:rPr>
        <w:t xml:space="preserve"> Investment Panel will have sole discretion to decide which proposals are invited to submit a Full Business Case. Acceptance of a project proposal to progress to full business case stage does not in any way indicate or constitute an offer of grant from NTCA. </w:t>
      </w:r>
    </w:p>
    <w:p w14:paraId="65ADC49A" w14:textId="77777777" w:rsidR="00612D0A" w:rsidRPr="00CE68F9" w:rsidRDefault="00612D0A" w:rsidP="00AA0517">
      <w:pPr>
        <w:autoSpaceDE w:val="0"/>
        <w:autoSpaceDN w:val="0"/>
        <w:adjustRightInd w:val="0"/>
        <w:spacing w:after="0" w:line="240" w:lineRule="auto"/>
        <w:jc w:val="both"/>
        <w:rPr>
          <w:rFonts w:ascii="Arial" w:eastAsia="Batang" w:hAnsi="Arial" w:cs="Arial"/>
          <w:color w:val="000000"/>
          <w:sz w:val="24"/>
          <w:szCs w:val="24"/>
        </w:rPr>
      </w:pPr>
    </w:p>
    <w:p w14:paraId="7D1EA1CC"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Each Full Business Case submitted following a successful first stage Expression of Interest will be processed in line with the NTCA’s Assurance Framework and will be appraised against the HM Treasury ‘five case’ model and NTCA’s additional Inclusive Economy Case prior to being considered for approval by NTCA’s Technical Officers Group and Investment Panel and NTCA Cabinet. </w:t>
      </w:r>
    </w:p>
    <w:p w14:paraId="1B31FF0E" w14:textId="77777777" w:rsidR="00AA0517" w:rsidRDefault="00AA0517" w:rsidP="00CA6C6D">
      <w:pPr>
        <w:spacing w:after="0" w:line="240" w:lineRule="auto"/>
        <w:contextualSpacing/>
        <w:jc w:val="both"/>
        <w:rPr>
          <w:rFonts w:ascii="Arial" w:eastAsia="Batang" w:hAnsi="Arial" w:cs="Arial"/>
          <w:sz w:val="24"/>
          <w:szCs w:val="24"/>
        </w:rPr>
      </w:pPr>
    </w:p>
    <w:p w14:paraId="68127DF2"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r w:rsidRPr="00CE68F9">
        <w:rPr>
          <w:rFonts w:ascii="Arial" w:hAnsi="Arial" w:cs="Arial"/>
          <w:sz w:val="24"/>
          <w:szCs w:val="24"/>
        </w:rPr>
        <w:t xml:space="preserve">Projects which fail to secure support at the Full Business Case stage will be considered as a part of NTCA’s longer-term pipeline in preparation for other sources of funding. </w:t>
      </w:r>
    </w:p>
    <w:p w14:paraId="2876A028"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p>
    <w:p w14:paraId="69EADFF1" w14:textId="77777777" w:rsidR="00AA0517" w:rsidRPr="00E25841" w:rsidRDefault="00AA0517" w:rsidP="00CA6C6D">
      <w:pPr>
        <w:spacing w:after="0" w:line="240" w:lineRule="auto"/>
        <w:jc w:val="both"/>
        <w:rPr>
          <w:rFonts w:ascii="Arial" w:eastAsia="Batang" w:hAnsi="Arial" w:cs="Arial"/>
          <w:sz w:val="24"/>
          <w:szCs w:val="24"/>
        </w:rPr>
      </w:pPr>
      <w:r w:rsidRPr="00E25841">
        <w:rPr>
          <w:rFonts w:ascii="Arial" w:eastAsia="Batang" w:hAnsi="Arial" w:cs="Arial"/>
          <w:sz w:val="24"/>
          <w:szCs w:val="24"/>
        </w:rPr>
        <w:t xml:space="preserve">NTCA may enter into dialogue with applicants and seek clarification at any point in the application process. This may result in revisions to propositions between the first stage expression of interest and the Full Application and potentially lead to proposals being changed, withdrawn, or combined with the of proposals submitted by other applicants in a new partnership arrangement. </w:t>
      </w:r>
    </w:p>
    <w:p w14:paraId="729E1057" w14:textId="77777777" w:rsidR="00AA0517" w:rsidRPr="00CE68F9" w:rsidRDefault="00AA0517" w:rsidP="00CA6C6D">
      <w:pPr>
        <w:spacing w:after="0" w:line="240" w:lineRule="auto"/>
        <w:contextualSpacing/>
        <w:jc w:val="both"/>
        <w:rPr>
          <w:rFonts w:ascii="Arial" w:eastAsia="Batang" w:hAnsi="Arial" w:cs="Arial"/>
          <w:sz w:val="24"/>
          <w:szCs w:val="24"/>
        </w:rPr>
      </w:pPr>
    </w:p>
    <w:p w14:paraId="33230E9C" w14:textId="52C9058B" w:rsidR="00EF5127" w:rsidRDefault="00EF5127" w:rsidP="00CA6C6D">
      <w:pPr>
        <w:spacing w:after="0" w:line="240" w:lineRule="auto"/>
        <w:jc w:val="both"/>
        <w:rPr>
          <w:rFonts w:ascii="Arial" w:eastAsia="Times New Roman" w:hAnsi="Arial" w:cs="Arial"/>
          <w:b/>
          <w:bCs/>
          <w:sz w:val="24"/>
          <w:szCs w:val="24"/>
          <w:lang w:eastAsia="en-GB"/>
        </w:rPr>
      </w:pPr>
    </w:p>
    <w:p w14:paraId="04E682F0" w14:textId="1A39D1B6" w:rsidR="005A0F29" w:rsidRDefault="005A0F29" w:rsidP="00CA6C6D">
      <w:pPr>
        <w:spacing w:after="0" w:line="240" w:lineRule="auto"/>
        <w:jc w:val="both"/>
        <w:rPr>
          <w:rFonts w:ascii="Arial" w:eastAsia="Times New Roman" w:hAnsi="Arial" w:cs="Arial"/>
          <w:b/>
          <w:bCs/>
          <w:sz w:val="24"/>
          <w:szCs w:val="24"/>
          <w:lang w:eastAsia="en-GB"/>
        </w:rPr>
      </w:pPr>
    </w:p>
    <w:p w14:paraId="372EE026" w14:textId="21E38B22" w:rsidR="005A0F29" w:rsidRDefault="005A0F29" w:rsidP="00CA6C6D">
      <w:pPr>
        <w:spacing w:after="0" w:line="240" w:lineRule="auto"/>
        <w:jc w:val="both"/>
        <w:rPr>
          <w:rFonts w:ascii="Arial" w:eastAsia="Times New Roman" w:hAnsi="Arial" w:cs="Arial"/>
          <w:b/>
          <w:bCs/>
          <w:sz w:val="24"/>
          <w:szCs w:val="24"/>
          <w:lang w:eastAsia="en-GB"/>
        </w:rPr>
      </w:pPr>
    </w:p>
    <w:p w14:paraId="315D5F0F" w14:textId="77777777" w:rsidR="005A0F29" w:rsidRPr="00CA6C6D" w:rsidRDefault="005A0F29" w:rsidP="00CA6C6D">
      <w:pPr>
        <w:spacing w:after="0" w:line="240" w:lineRule="auto"/>
        <w:jc w:val="both"/>
        <w:rPr>
          <w:rFonts w:ascii="Arial" w:eastAsia="Times New Roman" w:hAnsi="Arial" w:cs="Arial"/>
          <w:b/>
          <w:bCs/>
          <w:sz w:val="24"/>
          <w:szCs w:val="24"/>
          <w:lang w:eastAsia="en-GB"/>
        </w:rPr>
      </w:pPr>
    </w:p>
    <w:p w14:paraId="4B5FF000" w14:textId="77777777" w:rsidR="00CA6C6D" w:rsidRPr="00057DCD" w:rsidRDefault="00CA6C6D" w:rsidP="00057DCD">
      <w:pPr>
        <w:pStyle w:val="Heading1"/>
        <w:numPr>
          <w:ilvl w:val="0"/>
          <w:numId w:val="45"/>
        </w:numPr>
        <w:spacing w:before="0" w:line="240" w:lineRule="auto"/>
        <w:ind w:left="567" w:hanging="567"/>
      </w:pPr>
      <w:bookmarkStart w:id="12" w:name="_Toc82606833"/>
      <w:r w:rsidRPr="00057DCD">
        <w:lastRenderedPageBreak/>
        <w:t>Subsidy Control</w:t>
      </w:r>
      <w:bookmarkEnd w:id="12"/>
    </w:p>
    <w:p w14:paraId="3A870F02" w14:textId="77777777" w:rsidR="00CA6C6D" w:rsidRPr="00CE68F9" w:rsidRDefault="00CA6C6D" w:rsidP="00CA6C6D">
      <w:pPr>
        <w:autoSpaceDE w:val="0"/>
        <w:autoSpaceDN w:val="0"/>
        <w:adjustRightInd w:val="0"/>
        <w:spacing w:after="0" w:line="240" w:lineRule="auto"/>
        <w:jc w:val="both"/>
        <w:rPr>
          <w:rFonts w:ascii="Arial" w:eastAsia="Batang" w:hAnsi="Arial" w:cs="Arial"/>
          <w:sz w:val="24"/>
          <w:szCs w:val="24"/>
        </w:rPr>
      </w:pPr>
    </w:p>
    <w:p w14:paraId="6A57A5DA"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Following the UK’s departure from the European Union on 31st December 2020, a new subsidy control regime is now in place. As such, NTCA require all applicants for funding to seek advice setting out how projects are compliant with the new UK Subsidy regime. The application includes a specific section for applicants to respond</w:t>
      </w:r>
      <w:r>
        <w:rPr>
          <w:rFonts w:ascii="Arial" w:hAnsi="Arial" w:cs="Arial"/>
          <w:sz w:val="24"/>
          <w:szCs w:val="24"/>
        </w:rPr>
        <w:t>. T</w:t>
      </w:r>
      <w:r w:rsidRPr="0051750D">
        <w:rPr>
          <w:rFonts w:ascii="Arial" w:hAnsi="Arial" w:cs="Arial"/>
          <w:sz w:val="24"/>
          <w:szCs w:val="24"/>
        </w:rPr>
        <w:t xml:space="preserve">his is a requirement under the new regime, as set out in the BEIS Technical Guidance (which can be accessed here: </w:t>
      </w:r>
      <w:hyperlink r:id="rId23" w:history="1">
        <w:r w:rsidRPr="005941DC">
          <w:rPr>
            <w:rStyle w:val="Hyperlink"/>
            <w:rFonts w:ascii="Arial" w:hAnsi="Arial" w:cs="Arial"/>
            <w:sz w:val="24"/>
            <w:szCs w:val="24"/>
          </w:rPr>
          <w:t>https://www.gov.uk/government/publications/complying-with-the-uks-international-obligations-on-subsidy-control-guidance-for-public-authorities/technical-guidance-on-the-uks-international-subsidy-control-commitments-from-1-january-2021</w:t>
        </w:r>
      </w:hyperlink>
      <w:r>
        <w:rPr>
          <w:rFonts w:ascii="Arial" w:hAnsi="Arial" w:cs="Arial"/>
          <w:sz w:val="24"/>
          <w:szCs w:val="24"/>
        </w:rPr>
        <w:t>).</w:t>
      </w:r>
    </w:p>
    <w:p w14:paraId="3F828C23" w14:textId="77777777" w:rsidR="00CA6C6D" w:rsidRDefault="00CA6C6D" w:rsidP="00CA6C6D">
      <w:pPr>
        <w:spacing w:after="0" w:line="240" w:lineRule="auto"/>
        <w:contextualSpacing/>
        <w:rPr>
          <w:rFonts w:ascii="Arial" w:hAnsi="Arial" w:cs="Arial"/>
          <w:sz w:val="24"/>
          <w:szCs w:val="24"/>
        </w:rPr>
      </w:pPr>
    </w:p>
    <w:p w14:paraId="0E4702CB"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Please note the advice should cover both receipt of the Funding from NTCA and the subsequent transfer of that Funding to third parties.</w:t>
      </w:r>
    </w:p>
    <w:p w14:paraId="5542E4AF" w14:textId="77777777" w:rsidR="00CA6C6D" w:rsidRDefault="00CA6C6D" w:rsidP="00CA6C6D">
      <w:pPr>
        <w:spacing w:after="0" w:line="240" w:lineRule="auto"/>
        <w:contextualSpacing/>
        <w:rPr>
          <w:rFonts w:ascii="Arial" w:hAnsi="Arial" w:cs="Arial"/>
          <w:sz w:val="24"/>
          <w:szCs w:val="24"/>
        </w:rPr>
      </w:pPr>
    </w:p>
    <w:p w14:paraId="024BFD99" w14:textId="77777777" w:rsidR="00CA6C6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To comply with new subsidy control regulations, all awards that are considered ‘subsidies’, and with a value of over £300,000, will be published on the new BEIS transparency database. All awards will be monitored for their ongoing compliance with subsidy control rules.</w:t>
      </w:r>
    </w:p>
    <w:p w14:paraId="384C78E6" w14:textId="77777777" w:rsidR="00CA6C6D" w:rsidRPr="0051750D" w:rsidRDefault="00CA6C6D" w:rsidP="00057DCD">
      <w:pPr>
        <w:spacing w:after="0" w:line="240" w:lineRule="auto"/>
        <w:contextualSpacing/>
        <w:jc w:val="both"/>
        <w:rPr>
          <w:rFonts w:ascii="Arial" w:hAnsi="Arial" w:cs="Arial"/>
          <w:sz w:val="24"/>
          <w:szCs w:val="24"/>
        </w:rPr>
      </w:pPr>
    </w:p>
    <w:p w14:paraId="68C6F0BD" w14:textId="77777777" w:rsidR="00CA6C6D" w:rsidRPr="00CE68F9" w:rsidRDefault="00CA6C6D" w:rsidP="00057DCD">
      <w:pPr>
        <w:pStyle w:val="Heading1"/>
        <w:numPr>
          <w:ilvl w:val="0"/>
          <w:numId w:val="45"/>
        </w:numPr>
        <w:spacing w:before="0" w:line="240" w:lineRule="auto"/>
        <w:ind w:left="567" w:hanging="567"/>
      </w:pPr>
      <w:bookmarkStart w:id="13" w:name="_Toc82606834"/>
      <w:r w:rsidRPr="00CE68F9">
        <w:t>Other information</w:t>
      </w:r>
      <w:bookmarkEnd w:id="13"/>
      <w:r w:rsidRPr="00CE68F9">
        <w:t xml:space="preserve"> </w:t>
      </w:r>
    </w:p>
    <w:p w14:paraId="330E63B2" w14:textId="77777777" w:rsidR="00CA6C6D" w:rsidRPr="00CE68F9" w:rsidRDefault="00CA6C6D" w:rsidP="00057DCD">
      <w:pPr>
        <w:spacing w:after="0" w:line="240" w:lineRule="auto"/>
        <w:ind w:left="360"/>
        <w:contextualSpacing/>
        <w:jc w:val="both"/>
        <w:rPr>
          <w:rFonts w:ascii="Arial" w:eastAsia="Times New Roman" w:hAnsi="Arial" w:cs="Arial"/>
          <w:b/>
          <w:bCs/>
          <w:sz w:val="24"/>
          <w:szCs w:val="24"/>
        </w:rPr>
      </w:pPr>
    </w:p>
    <w:p w14:paraId="4A135FC2" w14:textId="18ADE68D" w:rsidR="00CA6C6D" w:rsidRDefault="00CA6C6D" w:rsidP="00057DCD">
      <w:pPr>
        <w:tabs>
          <w:tab w:val="left" w:pos="2703"/>
        </w:tabs>
        <w:spacing w:after="0" w:line="240" w:lineRule="auto"/>
        <w:rPr>
          <w:rFonts w:ascii="Arial" w:eastAsia="Times New Roman" w:hAnsi="Arial" w:cs="Arial"/>
          <w:b/>
          <w:bCs/>
          <w:sz w:val="24"/>
          <w:szCs w:val="24"/>
          <w:lang w:eastAsia="en-GB"/>
        </w:rPr>
      </w:pPr>
      <w:r w:rsidRPr="00CE68F9">
        <w:rPr>
          <w:rFonts w:ascii="Arial" w:eastAsia="Times New Roman" w:hAnsi="Arial" w:cs="Arial"/>
          <w:b/>
          <w:bCs/>
          <w:sz w:val="24"/>
          <w:szCs w:val="24"/>
          <w:lang w:eastAsia="en-GB"/>
        </w:rPr>
        <w:t>Fraud, Liability and Payment Terms</w:t>
      </w:r>
    </w:p>
    <w:p w14:paraId="62725C07" w14:textId="77777777" w:rsidR="00057DCD" w:rsidRPr="00CE68F9" w:rsidRDefault="00057DCD" w:rsidP="00057DCD">
      <w:pPr>
        <w:tabs>
          <w:tab w:val="left" w:pos="2703"/>
        </w:tabs>
        <w:spacing w:after="0" w:line="240" w:lineRule="auto"/>
        <w:rPr>
          <w:rFonts w:ascii="Arial" w:eastAsia="Times New Roman" w:hAnsi="Arial" w:cs="Arial"/>
          <w:b/>
          <w:bCs/>
          <w:sz w:val="24"/>
          <w:szCs w:val="24"/>
          <w:lang w:eastAsia="en-GB"/>
        </w:rPr>
      </w:pPr>
    </w:p>
    <w:p w14:paraId="644D62E0" w14:textId="2C715880"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14:paraId="0E961C14" w14:textId="77777777" w:rsidR="00CA6C6D" w:rsidRPr="00CE68F9" w:rsidRDefault="00CA6C6D" w:rsidP="00057DCD">
      <w:pPr>
        <w:spacing w:after="0" w:line="240" w:lineRule="auto"/>
        <w:rPr>
          <w:rFonts w:ascii="Arial" w:eastAsia="Batang" w:hAnsi="Arial" w:cs="Arial"/>
          <w:sz w:val="24"/>
          <w:szCs w:val="24"/>
        </w:rPr>
      </w:pPr>
    </w:p>
    <w:p w14:paraId="07D71D92" w14:textId="2D6E9A01"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does not accept any liability for any issues that may arise for applicants under this scheme, whether they are successful or not. </w:t>
      </w:r>
    </w:p>
    <w:p w14:paraId="716BD2B0" w14:textId="77777777" w:rsidR="00CA6C6D" w:rsidRPr="00CE68F9" w:rsidRDefault="00CA6C6D" w:rsidP="00057DCD">
      <w:pPr>
        <w:spacing w:after="0" w:line="240" w:lineRule="auto"/>
        <w:rPr>
          <w:rFonts w:ascii="Arial" w:eastAsia="Batang" w:hAnsi="Arial" w:cs="Arial"/>
          <w:sz w:val="24"/>
          <w:szCs w:val="24"/>
        </w:rPr>
      </w:pPr>
    </w:p>
    <w:p w14:paraId="6296169F" w14:textId="77777777" w:rsidR="00CA6C6D" w:rsidRPr="00CE68F9" w:rsidRDefault="00CA6C6D" w:rsidP="00057DCD">
      <w:pPr>
        <w:spacing w:after="0" w:line="240" w:lineRule="auto"/>
        <w:rPr>
          <w:rFonts w:ascii="Arial" w:eastAsia="Batang" w:hAnsi="Arial" w:cs="Arial"/>
          <w:sz w:val="24"/>
          <w:szCs w:val="24"/>
        </w:rPr>
      </w:pPr>
      <w:r w:rsidRPr="00CE68F9">
        <w:rPr>
          <w:rFonts w:ascii="Arial" w:eastAsia="Batang" w:hAnsi="Arial" w:cs="Arial"/>
          <w:sz w:val="24"/>
          <w:szCs w:val="24"/>
        </w:rPr>
        <w:t>Following a grant award, the applicant will be required to submit claims to draw down the grant. Only claims which can demonstrate evidence of expenditure will be eligible for payment. Payments will be made directly to the applicant’s bank account by electronic transfer, normally within 5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state aid requirements.</w:t>
      </w:r>
    </w:p>
    <w:p w14:paraId="520C3FE6" w14:textId="77777777" w:rsidR="00EF5127" w:rsidRDefault="00EF5127" w:rsidP="00CA6C6D">
      <w:pPr>
        <w:spacing w:after="0" w:line="240" w:lineRule="auto"/>
        <w:jc w:val="both"/>
        <w:rPr>
          <w:rFonts w:ascii="Arial" w:eastAsia="Times New Roman" w:hAnsi="Arial" w:cs="Arial"/>
          <w:b/>
          <w:bCs/>
          <w:sz w:val="24"/>
          <w:szCs w:val="24"/>
          <w:lang w:eastAsia="en-GB"/>
        </w:rPr>
      </w:pPr>
    </w:p>
    <w:p w14:paraId="1EE690EB" w14:textId="77777777" w:rsidR="00586945" w:rsidRDefault="00586945" w:rsidP="00A71F7B">
      <w:pPr>
        <w:spacing w:after="0" w:line="240" w:lineRule="auto"/>
        <w:jc w:val="both"/>
        <w:rPr>
          <w:rFonts w:ascii="Arial" w:eastAsia="Times New Roman" w:hAnsi="Arial" w:cs="Arial"/>
          <w:b/>
          <w:bCs/>
          <w:sz w:val="24"/>
          <w:szCs w:val="24"/>
          <w:lang w:eastAsia="en-GB"/>
        </w:rPr>
      </w:pPr>
    </w:p>
    <w:p w14:paraId="25D474AF" w14:textId="77777777" w:rsidR="00EF5127" w:rsidRDefault="00EF5127" w:rsidP="00A71F7B">
      <w:pPr>
        <w:spacing w:after="0" w:line="240" w:lineRule="auto"/>
        <w:jc w:val="both"/>
        <w:rPr>
          <w:rFonts w:ascii="Arial" w:eastAsia="Times New Roman" w:hAnsi="Arial" w:cs="Arial"/>
          <w:b/>
          <w:bCs/>
          <w:sz w:val="24"/>
          <w:szCs w:val="24"/>
          <w:lang w:eastAsia="en-GB"/>
        </w:rPr>
      </w:pPr>
    </w:p>
    <w:p w14:paraId="5D7FBB98" w14:textId="77777777" w:rsidR="00EF5127" w:rsidRDefault="00EF5127" w:rsidP="00A71F7B">
      <w:pPr>
        <w:spacing w:after="0" w:line="240" w:lineRule="auto"/>
        <w:jc w:val="both"/>
        <w:rPr>
          <w:rFonts w:ascii="Arial" w:eastAsia="Times New Roman" w:hAnsi="Arial" w:cs="Arial"/>
          <w:b/>
          <w:bCs/>
          <w:sz w:val="24"/>
          <w:szCs w:val="24"/>
          <w:lang w:eastAsia="en-GB"/>
        </w:rPr>
      </w:pPr>
    </w:p>
    <w:p w14:paraId="7DFA0D34" w14:textId="77777777" w:rsidR="00EF5127" w:rsidRDefault="00EF5127" w:rsidP="00A71F7B">
      <w:pPr>
        <w:spacing w:after="0" w:line="240" w:lineRule="auto"/>
        <w:jc w:val="both"/>
        <w:rPr>
          <w:rFonts w:ascii="Arial" w:eastAsia="Times New Roman" w:hAnsi="Arial" w:cs="Arial"/>
          <w:b/>
          <w:bCs/>
          <w:sz w:val="24"/>
          <w:szCs w:val="24"/>
          <w:lang w:eastAsia="en-GB"/>
        </w:rPr>
      </w:pPr>
    </w:p>
    <w:p w14:paraId="4887CD71" w14:textId="77777777" w:rsidR="00EF5127" w:rsidRDefault="00EF5127" w:rsidP="00A71F7B">
      <w:pPr>
        <w:spacing w:after="0" w:line="240" w:lineRule="auto"/>
        <w:jc w:val="both"/>
        <w:rPr>
          <w:rFonts w:ascii="Arial" w:eastAsia="Times New Roman" w:hAnsi="Arial" w:cs="Arial"/>
          <w:b/>
          <w:bCs/>
          <w:sz w:val="24"/>
          <w:szCs w:val="24"/>
          <w:lang w:eastAsia="en-GB"/>
        </w:rPr>
      </w:pPr>
    </w:p>
    <w:p w14:paraId="47D7C975" w14:textId="77777777" w:rsidR="00F32E7F" w:rsidRDefault="00F32E7F" w:rsidP="00A71F7B">
      <w:pPr>
        <w:spacing w:after="0" w:line="240" w:lineRule="auto"/>
        <w:jc w:val="both"/>
        <w:rPr>
          <w:rFonts w:ascii="Arial" w:eastAsia="Times New Roman" w:hAnsi="Arial" w:cs="Arial"/>
          <w:b/>
          <w:bCs/>
          <w:sz w:val="24"/>
          <w:szCs w:val="24"/>
          <w:lang w:eastAsia="en-GB"/>
        </w:rPr>
      </w:pPr>
    </w:p>
    <w:p w14:paraId="0FED007C" w14:textId="77777777" w:rsidR="00586945" w:rsidRDefault="00586945" w:rsidP="00A71F7B">
      <w:pPr>
        <w:spacing w:after="0" w:line="240" w:lineRule="auto"/>
        <w:jc w:val="both"/>
        <w:rPr>
          <w:rFonts w:ascii="Arial" w:eastAsia="Times New Roman" w:hAnsi="Arial" w:cs="Arial"/>
          <w:b/>
          <w:bCs/>
          <w:sz w:val="24"/>
          <w:szCs w:val="24"/>
          <w:lang w:eastAsia="en-GB"/>
        </w:rPr>
      </w:pPr>
    </w:p>
    <w:p w14:paraId="17B586A7" w14:textId="77777777" w:rsidR="00586945" w:rsidRDefault="00586945" w:rsidP="00A71F7B">
      <w:pPr>
        <w:spacing w:after="0" w:line="240" w:lineRule="auto"/>
        <w:jc w:val="both"/>
        <w:rPr>
          <w:rFonts w:ascii="Arial" w:eastAsia="Times New Roman" w:hAnsi="Arial" w:cs="Arial"/>
          <w:b/>
          <w:bCs/>
          <w:sz w:val="24"/>
          <w:szCs w:val="24"/>
          <w:lang w:eastAsia="en-GB"/>
        </w:rPr>
      </w:pPr>
    </w:p>
    <w:p w14:paraId="2CE58478" w14:textId="77777777" w:rsidR="00586945" w:rsidRDefault="00586945" w:rsidP="00A71F7B">
      <w:pPr>
        <w:spacing w:after="0" w:line="240" w:lineRule="auto"/>
        <w:jc w:val="both"/>
        <w:rPr>
          <w:rFonts w:ascii="Arial" w:eastAsia="Times New Roman" w:hAnsi="Arial" w:cs="Arial"/>
          <w:b/>
          <w:bCs/>
          <w:sz w:val="24"/>
          <w:szCs w:val="24"/>
          <w:lang w:eastAsia="en-GB"/>
        </w:rPr>
      </w:pPr>
    </w:p>
    <w:p w14:paraId="346FBD56" w14:textId="77777777" w:rsidR="00586945" w:rsidRDefault="00586945" w:rsidP="00A71F7B">
      <w:pPr>
        <w:spacing w:after="0" w:line="240" w:lineRule="auto"/>
        <w:jc w:val="both"/>
        <w:rPr>
          <w:rFonts w:ascii="Arial" w:eastAsia="Times New Roman" w:hAnsi="Arial" w:cs="Arial"/>
          <w:b/>
          <w:bCs/>
          <w:sz w:val="24"/>
          <w:szCs w:val="24"/>
          <w:lang w:eastAsia="en-GB"/>
        </w:rPr>
      </w:pPr>
    </w:p>
    <w:p w14:paraId="73BEB9A9" w14:textId="77777777" w:rsidR="00586945" w:rsidRDefault="00586945" w:rsidP="00A71F7B">
      <w:pPr>
        <w:spacing w:after="0" w:line="240" w:lineRule="auto"/>
        <w:jc w:val="both"/>
        <w:rPr>
          <w:rFonts w:ascii="Arial" w:eastAsia="Times New Roman" w:hAnsi="Arial" w:cs="Arial"/>
          <w:b/>
          <w:bCs/>
          <w:sz w:val="24"/>
          <w:szCs w:val="24"/>
          <w:lang w:eastAsia="en-GB"/>
        </w:rPr>
      </w:pPr>
    </w:p>
    <w:p w14:paraId="5ACDD455" w14:textId="77777777" w:rsidR="00586945" w:rsidRDefault="00586945" w:rsidP="00A71F7B">
      <w:pPr>
        <w:spacing w:after="0" w:line="240" w:lineRule="auto"/>
        <w:jc w:val="both"/>
        <w:rPr>
          <w:rFonts w:ascii="Arial" w:eastAsia="Times New Roman" w:hAnsi="Arial" w:cs="Arial"/>
          <w:b/>
          <w:bCs/>
          <w:sz w:val="24"/>
          <w:szCs w:val="24"/>
          <w:lang w:eastAsia="en-GB"/>
        </w:rPr>
      </w:pPr>
    </w:p>
    <w:p w14:paraId="3007B1CA" w14:textId="77777777" w:rsidR="00586945" w:rsidRDefault="00586945" w:rsidP="00A71F7B">
      <w:pPr>
        <w:spacing w:after="0" w:line="240" w:lineRule="auto"/>
        <w:jc w:val="both"/>
        <w:rPr>
          <w:rFonts w:ascii="Arial" w:eastAsia="Times New Roman" w:hAnsi="Arial" w:cs="Arial"/>
          <w:b/>
          <w:bCs/>
          <w:sz w:val="24"/>
          <w:szCs w:val="24"/>
          <w:lang w:eastAsia="en-GB"/>
        </w:rPr>
      </w:pPr>
    </w:p>
    <w:p w14:paraId="5013FAC7" w14:textId="77777777" w:rsidR="00586945" w:rsidRDefault="00586945" w:rsidP="00A71F7B">
      <w:pPr>
        <w:spacing w:after="0" w:line="240" w:lineRule="auto"/>
        <w:jc w:val="both"/>
        <w:rPr>
          <w:rFonts w:ascii="Arial" w:eastAsia="Times New Roman" w:hAnsi="Arial" w:cs="Arial"/>
          <w:b/>
          <w:bCs/>
          <w:sz w:val="24"/>
          <w:szCs w:val="24"/>
          <w:lang w:eastAsia="en-GB"/>
        </w:rPr>
      </w:pPr>
    </w:p>
    <w:p w14:paraId="77978AC6" w14:textId="77777777" w:rsidR="00586945" w:rsidRDefault="00586945" w:rsidP="00A71F7B">
      <w:pPr>
        <w:spacing w:after="0" w:line="240" w:lineRule="auto"/>
        <w:jc w:val="both"/>
        <w:rPr>
          <w:rFonts w:ascii="Arial" w:eastAsia="Times New Roman" w:hAnsi="Arial" w:cs="Arial"/>
          <w:b/>
          <w:bCs/>
          <w:sz w:val="24"/>
          <w:szCs w:val="24"/>
          <w:lang w:eastAsia="en-GB"/>
        </w:rPr>
      </w:pPr>
    </w:p>
    <w:p w14:paraId="0C427CBD" w14:textId="77777777" w:rsidR="00586945" w:rsidRDefault="00586945" w:rsidP="00A71F7B">
      <w:pPr>
        <w:spacing w:after="0" w:line="240" w:lineRule="auto"/>
        <w:jc w:val="both"/>
        <w:rPr>
          <w:rFonts w:ascii="Arial" w:eastAsia="Times New Roman" w:hAnsi="Arial" w:cs="Arial"/>
          <w:b/>
          <w:bCs/>
          <w:sz w:val="24"/>
          <w:szCs w:val="24"/>
          <w:lang w:eastAsia="en-GB"/>
        </w:rPr>
      </w:pPr>
    </w:p>
    <w:p w14:paraId="0B237A8D" w14:textId="0476EE03" w:rsidR="00A71F7B" w:rsidRPr="00CE68F9" w:rsidRDefault="00586945" w:rsidP="002378DD">
      <w:pPr>
        <w:pStyle w:val="Heading1"/>
      </w:pPr>
      <w:bookmarkStart w:id="14" w:name="_Toc82606835"/>
      <w:r>
        <w:lastRenderedPageBreak/>
        <w:t xml:space="preserve">Annex </w:t>
      </w:r>
      <w:r w:rsidR="009E1F96">
        <w:t>A</w:t>
      </w:r>
      <w:r>
        <w:t xml:space="preserve"> - </w:t>
      </w:r>
      <w:r w:rsidR="001775D2">
        <w:t>Funding</w:t>
      </w:r>
      <w:r w:rsidR="00A71F7B" w:rsidRPr="00CE68F9">
        <w:t xml:space="preserve"> Parameters</w:t>
      </w:r>
      <w:bookmarkEnd w:id="14"/>
    </w:p>
    <w:p w14:paraId="6B21196F" w14:textId="77777777" w:rsidR="00A71F7B" w:rsidRPr="00CE68F9" w:rsidRDefault="00A71F7B" w:rsidP="00A71F7B">
      <w:pPr>
        <w:spacing w:after="0" w:line="240" w:lineRule="auto"/>
        <w:ind w:left="708"/>
        <w:jc w:val="both"/>
        <w:rPr>
          <w:rFonts w:ascii="Arial" w:eastAsia="Batang" w:hAnsi="Arial" w:cs="Arial"/>
          <w:b/>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8505"/>
      </w:tblGrid>
      <w:tr w:rsidR="001F5B2F" w:rsidRPr="00CE68F9" w14:paraId="0E660B07"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1406B154"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Funding Priorities </w:t>
            </w:r>
          </w:p>
        </w:tc>
        <w:tc>
          <w:tcPr>
            <w:tcW w:w="8505" w:type="dxa"/>
            <w:tcBorders>
              <w:top w:val="single" w:sz="4" w:space="0" w:color="000000"/>
              <w:left w:val="single" w:sz="4" w:space="0" w:color="000000"/>
              <w:bottom w:val="single" w:sz="4" w:space="0" w:color="000000"/>
              <w:right w:val="single" w:sz="4" w:space="0" w:color="000000"/>
            </w:tcBorders>
          </w:tcPr>
          <w:p w14:paraId="70D22FA0" w14:textId="77777777" w:rsidR="001F5B2F" w:rsidRDefault="007E4CF7" w:rsidP="00563897">
            <w:pPr>
              <w:pStyle w:val="Default"/>
              <w:jc w:val="both"/>
              <w:rPr>
                <w:rFonts w:eastAsia="Times New Roman"/>
                <w:color w:val="0B0C0C"/>
                <w:shd w:val="clear" w:color="auto" w:fill="FFFFFF"/>
                <w:lang w:eastAsia="en-GB"/>
              </w:rPr>
            </w:pPr>
            <w:r w:rsidRPr="00D55425">
              <w:rPr>
                <w:rFonts w:eastAsia="Times New Roman"/>
                <w:color w:val="0B0C0C"/>
                <w:shd w:val="clear" w:color="auto" w:fill="FFFFFF"/>
                <w:lang w:eastAsia="en-GB"/>
              </w:rPr>
              <w:t xml:space="preserve">We are interested in proposals for innovative projects that equip people with the skills they need to capitalise on </w:t>
            </w:r>
            <w:r>
              <w:rPr>
                <w:rFonts w:eastAsia="Times New Roman"/>
                <w:color w:val="0B0C0C"/>
                <w:shd w:val="clear" w:color="auto" w:fill="FFFFFF"/>
                <w:lang w:eastAsia="en-GB"/>
              </w:rPr>
              <w:t xml:space="preserve">inward investment </w:t>
            </w:r>
            <w:r w:rsidRPr="00D55425">
              <w:rPr>
                <w:rFonts w:eastAsia="Times New Roman"/>
                <w:color w:val="0B0C0C"/>
                <w:shd w:val="clear" w:color="auto" w:fill="FFFFFF"/>
                <w:lang w:eastAsia="en-GB"/>
              </w:rPr>
              <w:t xml:space="preserve">opportunities in our area and </w:t>
            </w:r>
            <w:r>
              <w:rPr>
                <w:rFonts w:eastAsia="Times New Roman"/>
                <w:color w:val="0B0C0C"/>
                <w:shd w:val="clear" w:color="auto" w:fill="FFFFFF"/>
                <w:lang w:eastAsia="en-GB"/>
              </w:rPr>
              <w:t xml:space="preserve">to support the skills needs </w:t>
            </w:r>
            <w:r w:rsidRPr="00D55425">
              <w:rPr>
                <w:rFonts w:eastAsia="Times New Roman"/>
                <w:color w:val="0B0C0C"/>
                <w:shd w:val="clear" w:color="auto" w:fill="FFFFFF"/>
                <w:lang w:eastAsia="en-GB"/>
              </w:rPr>
              <w:t>of a</w:t>
            </w:r>
            <w:r>
              <w:rPr>
                <w:rFonts w:eastAsia="Times New Roman"/>
                <w:color w:val="0B0C0C"/>
                <w:shd w:val="clear" w:color="auto" w:fill="FFFFFF"/>
                <w:lang w:eastAsia="en-GB"/>
              </w:rPr>
              <w:t>n</w:t>
            </w:r>
            <w:r w:rsidRPr="00D55425">
              <w:rPr>
                <w:rFonts w:eastAsia="Times New Roman"/>
                <w:color w:val="0B0C0C"/>
                <w:shd w:val="clear" w:color="auto" w:fill="FFFFFF"/>
                <w:lang w:eastAsia="en-GB"/>
              </w:rPr>
              <w:t xml:space="preserve"> increasingly green economy. </w:t>
            </w:r>
          </w:p>
          <w:p w14:paraId="286A3AFF" w14:textId="24AAC7B9" w:rsidR="00704198" w:rsidRPr="00CE68F9" w:rsidRDefault="00704198" w:rsidP="00563897">
            <w:pPr>
              <w:pStyle w:val="Default"/>
              <w:jc w:val="both"/>
            </w:pPr>
            <w:r>
              <w:rPr>
                <w:rFonts w:eastAsia="Times New Roman"/>
                <w:color w:val="0B0C0C"/>
                <w:shd w:val="clear" w:color="auto" w:fill="FFFFFF"/>
                <w:lang w:eastAsia="en-GB"/>
              </w:rPr>
              <w:t>(See Section 7 of this call document)</w:t>
            </w:r>
          </w:p>
        </w:tc>
      </w:tr>
      <w:tr w:rsidR="001F5B2F" w:rsidRPr="00CE68F9" w14:paraId="0DCA3A7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BC1BC78"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Focus</w:t>
            </w:r>
          </w:p>
        </w:tc>
        <w:tc>
          <w:tcPr>
            <w:tcW w:w="8505" w:type="dxa"/>
            <w:tcBorders>
              <w:top w:val="single" w:sz="4" w:space="0" w:color="000000"/>
              <w:left w:val="single" w:sz="4" w:space="0" w:color="000000"/>
              <w:bottom w:val="single" w:sz="4" w:space="0" w:color="000000"/>
              <w:right w:val="single" w:sz="4" w:space="0" w:color="000000"/>
            </w:tcBorders>
          </w:tcPr>
          <w:p w14:paraId="1BB003F4" w14:textId="77777777" w:rsidR="007E4CF7" w:rsidRPr="00CE68F9" w:rsidRDefault="007E4CF7" w:rsidP="007E4CF7">
            <w:pPr>
              <w:pStyle w:val="Default"/>
              <w:jc w:val="both"/>
            </w:pPr>
            <w:r>
              <w:t xml:space="preserve">This funding will support </w:t>
            </w:r>
            <w:r w:rsidRPr="006A6AD2">
              <w:t>skills</w:t>
            </w:r>
            <w:r>
              <w:t>/training</w:t>
            </w:r>
            <w:r w:rsidRPr="006A6AD2">
              <w:t xml:space="preserve"> activity that is explicitly </w:t>
            </w:r>
            <w:r w:rsidRPr="006A6AD2">
              <w:rPr>
                <w:b/>
                <w:bCs/>
              </w:rPr>
              <w:t>employer-led</w:t>
            </w:r>
            <w:r w:rsidRPr="006A6AD2">
              <w:t xml:space="preserve"> and co-invested in by businesses.</w:t>
            </w:r>
            <w:r>
              <w:t xml:space="preserve">   We are seeking innovation in provision; this could include non-accredited training and support and/or accredited programmes </w:t>
            </w:r>
            <w:r w:rsidRPr="00CE68F9">
              <w:t xml:space="preserve">to address the high-level and technical skills needs of </w:t>
            </w:r>
            <w:r>
              <w:t xml:space="preserve">the key </w:t>
            </w:r>
            <w:r w:rsidRPr="00CE68F9">
              <w:t xml:space="preserve">sectors. </w:t>
            </w:r>
          </w:p>
          <w:p w14:paraId="34D295D1" w14:textId="306149AB" w:rsidR="001F5B2F" w:rsidRPr="007E4CF7" w:rsidRDefault="001F5B2F" w:rsidP="007E4CF7">
            <w:pPr>
              <w:spacing w:after="0" w:line="240" w:lineRule="auto"/>
              <w:jc w:val="both"/>
              <w:rPr>
                <w:rFonts w:ascii="Arial" w:hAnsi="Arial" w:cs="Arial"/>
                <w:sz w:val="24"/>
                <w:szCs w:val="24"/>
              </w:rPr>
            </w:pPr>
          </w:p>
        </w:tc>
      </w:tr>
      <w:tr w:rsidR="007E4CF7" w:rsidRPr="00CE68F9" w14:paraId="759D82FB"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006EAF5A" w14:textId="74C14047" w:rsidR="007E4CF7" w:rsidRPr="00CE68F9" w:rsidRDefault="007E4CF7" w:rsidP="007E4CF7">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Geographical Scope </w:t>
            </w:r>
          </w:p>
        </w:tc>
        <w:tc>
          <w:tcPr>
            <w:tcW w:w="8505" w:type="dxa"/>
            <w:tcBorders>
              <w:top w:val="single" w:sz="4" w:space="0" w:color="000000"/>
              <w:left w:val="single" w:sz="4" w:space="0" w:color="000000"/>
              <w:bottom w:val="single" w:sz="4" w:space="0" w:color="000000"/>
              <w:right w:val="single" w:sz="4" w:space="0" w:color="000000"/>
            </w:tcBorders>
          </w:tcPr>
          <w:p w14:paraId="3149C1D3" w14:textId="376C3DFF" w:rsidR="007E4CF7" w:rsidRDefault="007E4CF7" w:rsidP="007E4CF7">
            <w:pPr>
              <w:pStyle w:val="Default"/>
              <w:jc w:val="both"/>
            </w:pPr>
            <w:r w:rsidRPr="00CE68F9">
              <w:rPr>
                <w:rFonts w:eastAsia="Arial"/>
              </w:rPr>
              <w:t xml:space="preserve">All interventions should be focused on activity within the North of Tyne </w:t>
            </w:r>
            <w:r>
              <w:rPr>
                <w:rFonts w:eastAsia="Arial"/>
              </w:rPr>
              <w:t xml:space="preserve">Combined Authority </w:t>
            </w:r>
            <w:r w:rsidRPr="00CE68F9">
              <w:rPr>
                <w:rFonts w:eastAsia="Arial"/>
              </w:rPr>
              <w:t>area</w:t>
            </w:r>
            <w:r>
              <w:rPr>
                <w:rFonts w:eastAsia="Arial"/>
              </w:rPr>
              <w:t>.</w:t>
            </w:r>
          </w:p>
        </w:tc>
      </w:tr>
      <w:tr w:rsidR="007E4CF7" w:rsidRPr="00CE68F9" w14:paraId="5E5A4AC3"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2326C6F" w14:textId="16B18CF1" w:rsidR="007E4CF7" w:rsidRPr="00CE68F9" w:rsidRDefault="007E4CF7" w:rsidP="009E1F96">
            <w:pPr>
              <w:pBdr>
                <w:top w:val="nil"/>
                <w:left w:val="nil"/>
                <w:bottom w:val="nil"/>
                <w:right w:val="nil"/>
                <w:between w:val="nil"/>
              </w:pBdr>
              <w:rPr>
                <w:rFonts w:ascii="Arial" w:eastAsia="Arial" w:hAnsi="Arial" w:cs="Arial"/>
                <w:b/>
                <w:color w:val="000000"/>
                <w:sz w:val="24"/>
                <w:szCs w:val="24"/>
              </w:rPr>
            </w:pPr>
            <w:bookmarkStart w:id="15" w:name="_30j0zll" w:colFirst="0" w:colLast="0"/>
            <w:bookmarkEnd w:id="15"/>
            <w:r w:rsidRPr="00CE68F9">
              <w:rPr>
                <w:rFonts w:ascii="Arial" w:eastAsia="Arial" w:hAnsi="Arial" w:cs="Arial"/>
                <w:b/>
                <w:color w:val="000000"/>
                <w:sz w:val="24"/>
                <w:szCs w:val="24"/>
              </w:rPr>
              <w:t>Dates</w:t>
            </w:r>
            <w:r w:rsidR="002A117C">
              <w:rPr>
                <w:rFonts w:ascii="Arial" w:eastAsia="Arial" w:hAnsi="Arial" w:cs="Arial"/>
                <w:b/>
                <w:color w:val="000000"/>
                <w:sz w:val="24"/>
                <w:szCs w:val="24"/>
              </w:rPr>
              <w:t xml:space="preserve"> &amp; Deadlines</w:t>
            </w:r>
          </w:p>
        </w:tc>
        <w:tc>
          <w:tcPr>
            <w:tcW w:w="8505" w:type="dxa"/>
            <w:tcBorders>
              <w:top w:val="single" w:sz="4" w:space="0" w:color="000000"/>
              <w:left w:val="single" w:sz="4" w:space="0" w:color="000000"/>
              <w:bottom w:val="single" w:sz="4" w:space="0" w:color="000000"/>
              <w:right w:val="single" w:sz="4" w:space="0" w:color="000000"/>
            </w:tcBorders>
          </w:tcPr>
          <w:p w14:paraId="4F8DEF11" w14:textId="77777777" w:rsidR="001775D2" w:rsidRDefault="001775D2" w:rsidP="001775D2">
            <w:pPr>
              <w:pStyle w:val="Default"/>
            </w:pPr>
          </w:p>
          <w:p w14:paraId="03769972" w14:textId="46BCC0F9" w:rsidR="007E4CF7" w:rsidRPr="009E1F96" w:rsidRDefault="007E4CF7" w:rsidP="001775D2">
            <w:pPr>
              <w:pStyle w:val="Default"/>
              <w:rPr>
                <w:color w:val="auto"/>
              </w:rPr>
            </w:pPr>
            <w:r w:rsidRPr="009E1F96">
              <w:rPr>
                <w:color w:val="auto"/>
              </w:rPr>
              <w:t xml:space="preserve">The first stage Expression of Interest </w:t>
            </w:r>
            <w:r w:rsidR="001775D2" w:rsidRPr="009E1F96">
              <w:rPr>
                <w:color w:val="auto"/>
              </w:rPr>
              <w:t xml:space="preserve">(EOI) </w:t>
            </w:r>
            <w:r w:rsidRPr="009E1F96">
              <w:rPr>
                <w:color w:val="auto"/>
              </w:rPr>
              <w:t>will open week commencing</w:t>
            </w:r>
            <w:r w:rsidR="001775D2" w:rsidRPr="009E1F96">
              <w:rPr>
                <w:color w:val="auto"/>
              </w:rPr>
              <w:t xml:space="preserve"> (</w:t>
            </w:r>
            <w:r w:rsidR="009E1F96" w:rsidRPr="009E1F96">
              <w:rPr>
                <w:color w:val="auto"/>
              </w:rPr>
              <w:t>13/09/</w:t>
            </w:r>
            <w:r w:rsidR="003B121C">
              <w:rPr>
                <w:color w:val="auto"/>
              </w:rPr>
              <w:t>21</w:t>
            </w:r>
            <w:r w:rsidR="001775D2" w:rsidRPr="009E1F96">
              <w:rPr>
                <w:color w:val="auto"/>
              </w:rPr>
              <w:t>).  EOI’s will be accepted up to the closing date of (</w:t>
            </w:r>
            <w:r w:rsidR="009E1F96" w:rsidRPr="009E1F96">
              <w:rPr>
                <w:color w:val="auto"/>
              </w:rPr>
              <w:t>05/11/21).</w:t>
            </w:r>
          </w:p>
          <w:p w14:paraId="7803C753" w14:textId="77777777" w:rsidR="001775D2" w:rsidRPr="009E1F96" w:rsidRDefault="001775D2" w:rsidP="001775D2">
            <w:pPr>
              <w:pStyle w:val="Default"/>
              <w:rPr>
                <w:color w:val="auto"/>
              </w:rPr>
            </w:pPr>
          </w:p>
          <w:p w14:paraId="440C13DF" w14:textId="76FFB3B3" w:rsidR="001775D2" w:rsidRPr="009E1F96" w:rsidRDefault="001775D2" w:rsidP="001775D2">
            <w:pPr>
              <w:pStyle w:val="Default"/>
              <w:rPr>
                <w:color w:val="auto"/>
              </w:rPr>
            </w:pPr>
            <w:r w:rsidRPr="009E1F96">
              <w:rPr>
                <w:color w:val="auto"/>
              </w:rPr>
              <w:t>EOI’s received after closing date will not be considered.</w:t>
            </w:r>
          </w:p>
          <w:p w14:paraId="4CCC8D6C" w14:textId="404849D6" w:rsidR="007E4CF7" w:rsidRPr="00CE68F9" w:rsidRDefault="007E4CF7" w:rsidP="000C1DFF">
            <w:pPr>
              <w:pStyle w:val="Default"/>
              <w:jc w:val="both"/>
            </w:pPr>
          </w:p>
        </w:tc>
      </w:tr>
      <w:tr w:rsidR="007E4CF7" w:rsidRPr="00CE68F9" w14:paraId="0955D10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48F31592" w14:textId="77777777" w:rsidR="007E4CF7" w:rsidRPr="00CE68F9" w:rsidRDefault="007E4CF7" w:rsidP="007E4CF7">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b/>
                <w:color w:val="000000"/>
                <w:sz w:val="24"/>
                <w:szCs w:val="24"/>
              </w:rPr>
              <w:t xml:space="preserve">Indicative Fund Allocation: </w:t>
            </w:r>
          </w:p>
        </w:tc>
        <w:tc>
          <w:tcPr>
            <w:tcW w:w="8505" w:type="dxa"/>
            <w:tcBorders>
              <w:top w:val="single" w:sz="4" w:space="0" w:color="000000"/>
              <w:left w:val="single" w:sz="4" w:space="0" w:color="000000"/>
              <w:bottom w:val="single" w:sz="4" w:space="0" w:color="000000"/>
              <w:right w:val="single" w:sz="4" w:space="0" w:color="000000"/>
            </w:tcBorders>
          </w:tcPr>
          <w:p w14:paraId="09CCB57F" w14:textId="7FE83743"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has agreed a</w:t>
            </w:r>
            <w:r w:rsidR="000C1DFF">
              <w:rPr>
                <w:rFonts w:ascii="Arial" w:eastAsia="Arial" w:hAnsi="Arial" w:cs="Arial"/>
                <w:color w:val="000000"/>
                <w:sz w:val="24"/>
                <w:szCs w:val="24"/>
              </w:rPr>
              <w:t>n indicative</w:t>
            </w:r>
            <w:r w:rsidRPr="00CE68F9">
              <w:rPr>
                <w:rFonts w:ascii="Arial" w:eastAsia="Arial" w:hAnsi="Arial" w:cs="Arial"/>
                <w:color w:val="000000"/>
                <w:sz w:val="24"/>
                <w:szCs w:val="24"/>
              </w:rPr>
              <w:t xml:space="preserve"> budget of £</w:t>
            </w:r>
            <w:r>
              <w:rPr>
                <w:rFonts w:ascii="Arial" w:eastAsia="Arial" w:hAnsi="Arial" w:cs="Arial"/>
                <w:color w:val="000000"/>
                <w:sz w:val="24"/>
                <w:szCs w:val="24"/>
              </w:rPr>
              <w:t>2</w:t>
            </w:r>
            <w:r w:rsidRPr="00CE68F9">
              <w:rPr>
                <w:rFonts w:ascii="Arial" w:eastAsia="Arial" w:hAnsi="Arial" w:cs="Arial"/>
                <w:color w:val="000000"/>
                <w:sz w:val="24"/>
                <w:szCs w:val="24"/>
              </w:rPr>
              <w:t xml:space="preserve">m from its Investment Fund </w:t>
            </w:r>
            <w:r>
              <w:rPr>
                <w:rFonts w:ascii="Arial" w:eastAsia="Arial" w:hAnsi="Arial" w:cs="Arial"/>
                <w:color w:val="000000"/>
                <w:sz w:val="24"/>
                <w:szCs w:val="24"/>
              </w:rPr>
              <w:t xml:space="preserve">to support Green Growth Skills </w:t>
            </w:r>
          </w:p>
          <w:p w14:paraId="09B165BF" w14:textId="36FD68B6"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intends to select multiple projects</w:t>
            </w:r>
            <w:r>
              <w:rPr>
                <w:rFonts w:ascii="Arial" w:eastAsia="Arial" w:hAnsi="Arial" w:cs="Arial"/>
                <w:color w:val="000000"/>
                <w:sz w:val="24"/>
                <w:szCs w:val="24"/>
              </w:rPr>
              <w:t xml:space="preserve"> though may not allocate all of the available funding though this call</w:t>
            </w:r>
            <w:r w:rsidRPr="00CE68F9">
              <w:rPr>
                <w:rFonts w:ascii="Arial" w:eastAsia="Arial" w:hAnsi="Arial" w:cs="Arial"/>
                <w:color w:val="000000"/>
                <w:sz w:val="24"/>
                <w:szCs w:val="24"/>
              </w:rPr>
              <w:t xml:space="preserve">. The total funding available is inclusive of any fund administration costs which should be costed into the overall programme budget at a flat rate of 15%. </w:t>
            </w:r>
          </w:p>
          <w:p w14:paraId="7598FE04" w14:textId="77777777"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 xml:space="preserve">NTCA reserves the right to decrease or increase the indicative budget allocation or support more or fewer proposals, subject to the volume and quality of proposals received. NTCA does not provide any guarantees of funding and all proposals developed are at the applicant’s own risk. </w:t>
            </w:r>
          </w:p>
        </w:tc>
      </w:tr>
      <w:tr w:rsidR="007E4CF7" w:rsidRPr="00CE68F9" w14:paraId="1730E598"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6843BD9" w14:textId="664F4575" w:rsidR="001775D2" w:rsidRPr="00CE68F9" w:rsidRDefault="007E4CF7" w:rsidP="007E4CF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Minimum Application Values and project durations</w:t>
            </w:r>
          </w:p>
        </w:tc>
        <w:tc>
          <w:tcPr>
            <w:tcW w:w="8505" w:type="dxa"/>
            <w:tcBorders>
              <w:top w:val="single" w:sz="4" w:space="0" w:color="000000"/>
              <w:left w:val="single" w:sz="4" w:space="0" w:color="000000"/>
              <w:bottom w:val="single" w:sz="4" w:space="0" w:color="000000"/>
              <w:right w:val="single" w:sz="4" w:space="0" w:color="000000"/>
            </w:tcBorders>
          </w:tcPr>
          <w:p w14:paraId="329F485F" w14:textId="77777777" w:rsidR="00704198"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The </w:t>
            </w:r>
            <w:r w:rsidRPr="000901AC">
              <w:rPr>
                <w:rFonts w:ascii="Arial" w:eastAsia="Arial" w:hAnsi="Arial" w:cs="Arial"/>
                <w:color w:val="000000"/>
                <w:sz w:val="24"/>
                <w:szCs w:val="24"/>
              </w:rPr>
              <w:t xml:space="preserve">minimum </w:t>
            </w:r>
            <w:r w:rsidRPr="001775D2">
              <w:rPr>
                <w:rFonts w:ascii="Arial" w:eastAsia="Arial" w:hAnsi="Arial" w:cs="Arial"/>
                <w:color w:val="000000"/>
                <w:sz w:val="24"/>
                <w:szCs w:val="24"/>
              </w:rPr>
              <w:t xml:space="preserve">project value for this call is </w:t>
            </w:r>
            <w:r w:rsidR="000C1DFF">
              <w:rPr>
                <w:rFonts w:ascii="Arial" w:eastAsia="Arial" w:hAnsi="Arial" w:cs="Arial"/>
                <w:color w:val="000000"/>
                <w:sz w:val="24"/>
                <w:szCs w:val="24"/>
              </w:rPr>
              <w:t>£</w:t>
            </w:r>
            <w:r w:rsidR="009E1F96">
              <w:rPr>
                <w:rFonts w:ascii="Arial" w:eastAsia="Arial" w:hAnsi="Arial" w:cs="Arial"/>
                <w:color w:val="000000"/>
                <w:sz w:val="24"/>
                <w:szCs w:val="24"/>
              </w:rPr>
              <w:t>4</w:t>
            </w:r>
            <w:r w:rsidR="000C1DFF">
              <w:rPr>
                <w:rFonts w:ascii="Arial" w:eastAsia="Arial" w:hAnsi="Arial" w:cs="Arial"/>
                <w:color w:val="000000"/>
                <w:sz w:val="24"/>
                <w:szCs w:val="24"/>
              </w:rPr>
              <w:t>00,000</w:t>
            </w:r>
            <w:r w:rsidR="00704198">
              <w:rPr>
                <w:rFonts w:ascii="Arial" w:eastAsia="Arial" w:hAnsi="Arial" w:cs="Arial"/>
                <w:color w:val="000000"/>
                <w:sz w:val="24"/>
                <w:szCs w:val="24"/>
              </w:rPr>
              <w:t xml:space="preserve">.  </w:t>
            </w:r>
          </w:p>
          <w:p w14:paraId="39F8C1D5" w14:textId="23A82D1F" w:rsidR="007E4CF7" w:rsidRPr="00CE68F9"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All activity and spend must </w:t>
            </w:r>
            <w:r w:rsidR="00561870">
              <w:rPr>
                <w:rFonts w:ascii="Arial" w:eastAsia="Arial" w:hAnsi="Arial" w:cs="Arial"/>
                <w:color w:val="000000"/>
                <w:sz w:val="24"/>
                <w:szCs w:val="24"/>
              </w:rPr>
              <w:t xml:space="preserve">up to 3 years in length from the date of commencement. </w:t>
            </w:r>
            <w:r w:rsidRPr="007E4CF7">
              <w:rPr>
                <w:rFonts w:ascii="Arial" w:eastAsia="Arial" w:hAnsi="Arial" w:cs="Arial"/>
                <w:color w:val="C00000"/>
                <w:sz w:val="24"/>
                <w:szCs w:val="24"/>
              </w:rPr>
              <w:t xml:space="preserve"> </w:t>
            </w:r>
          </w:p>
        </w:tc>
      </w:tr>
      <w:tr w:rsidR="001775D2" w:rsidRPr="00CE68F9" w14:paraId="7F3B3E69"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4D61578" w14:textId="1BBB2AA7" w:rsidR="001775D2" w:rsidRDefault="001775D2" w:rsidP="001775D2">
            <w:pPr>
              <w:pBdr>
                <w:top w:val="nil"/>
                <w:left w:val="nil"/>
                <w:bottom w:val="nil"/>
                <w:right w:val="nil"/>
                <w:between w:val="nil"/>
              </w:pBdr>
              <w:rPr>
                <w:rFonts w:ascii="Arial" w:eastAsia="Arial" w:hAnsi="Arial" w:cs="Arial"/>
                <w:b/>
                <w:color w:val="000000"/>
                <w:sz w:val="24"/>
                <w:szCs w:val="24"/>
              </w:rPr>
            </w:pPr>
            <w:r w:rsidRPr="00CE68F9">
              <w:rPr>
                <w:rFonts w:ascii="Arial" w:eastAsia="Arial" w:hAnsi="Arial" w:cs="Arial"/>
                <w:b/>
                <w:color w:val="000000"/>
                <w:sz w:val="24"/>
                <w:szCs w:val="24"/>
              </w:rPr>
              <w:t xml:space="preserve">Eligible match funding </w:t>
            </w:r>
          </w:p>
        </w:tc>
        <w:tc>
          <w:tcPr>
            <w:tcW w:w="8505" w:type="dxa"/>
            <w:tcBorders>
              <w:top w:val="single" w:sz="4" w:space="0" w:color="000000"/>
              <w:left w:val="single" w:sz="4" w:space="0" w:color="000000"/>
              <w:bottom w:val="single" w:sz="4" w:space="0" w:color="000000"/>
              <w:right w:val="single" w:sz="4" w:space="0" w:color="000000"/>
            </w:tcBorders>
          </w:tcPr>
          <w:p w14:paraId="540281D2" w14:textId="76600462" w:rsidR="001775D2" w:rsidRP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 xml:space="preserve">Proposals will be expected to demonstrate how they will maximise value for money and leverage against NTCA investment. This includes demonstrating that the funding requested is the minimum required; and that opportunities for match funding have been maximised including though public and private sources. </w:t>
            </w:r>
          </w:p>
        </w:tc>
      </w:tr>
      <w:tr w:rsidR="001775D2" w:rsidRPr="00CE68F9" w14:paraId="4FECC257" w14:textId="77777777" w:rsidTr="00CA6C6D">
        <w:trPr>
          <w:trHeight w:val="924"/>
        </w:trPr>
        <w:tc>
          <w:tcPr>
            <w:tcW w:w="1843" w:type="dxa"/>
            <w:tcBorders>
              <w:top w:val="single" w:sz="4" w:space="0" w:color="000000"/>
              <w:left w:val="single" w:sz="4" w:space="0" w:color="000000"/>
              <w:bottom w:val="single" w:sz="4" w:space="0" w:color="000000"/>
              <w:right w:val="single" w:sz="4" w:space="0" w:color="000000"/>
            </w:tcBorders>
          </w:tcPr>
          <w:p w14:paraId="3C417AEC" w14:textId="1FB0B37E"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Added Value</w:t>
            </w:r>
          </w:p>
        </w:tc>
        <w:tc>
          <w:tcPr>
            <w:tcW w:w="8505" w:type="dxa"/>
            <w:tcBorders>
              <w:top w:val="single" w:sz="4" w:space="0" w:color="000000"/>
              <w:left w:val="single" w:sz="4" w:space="0" w:color="000000"/>
              <w:bottom w:val="single" w:sz="4" w:space="0" w:color="000000"/>
              <w:right w:val="single" w:sz="4" w:space="0" w:color="000000"/>
            </w:tcBorders>
          </w:tcPr>
          <w:p w14:paraId="07A94563"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Applicants are expected to submit proposals which demonstrate impact and additionality. NTCA funding is not intended to replace existing funding.</w:t>
            </w:r>
          </w:p>
          <w:p w14:paraId="3715871A" w14:textId="09A7DBD6" w:rsidR="009E1F96" w:rsidRPr="00CE68F9" w:rsidRDefault="009E1F96" w:rsidP="001775D2">
            <w:pPr>
              <w:pBdr>
                <w:top w:val="nil"/>
                <w:left w:val="nil"/>
                <w:bottom w:val="nil"/>
                <w:right w:val="nil"/>
                <w:between w:val="nil"/>
              </w:pBdr>
              <w:jc w:val="both"/>
              <w:rPr>
                <w:rFonts w:ascii="Arial" w:eastAsia="Arial" w:hAnsi="Arial" w:cs="Arial"/>
                <w:color w:val="000000"/>
                <w:sz w:val="24"/>
                <w:szCs w:val="24"/>
                <w:highlight w:val="yellow"/>
              </w:rPr>
            </w:pPr>
          </w:p>
        </w:tc>
      </w:tr>
      <w:tr w:rsidR="001775D2" w:rsidRPr="00CE68F9" w14:paraId="1CB8C7EE" w14:textId="77777777" w:rsidTr="00CA6C6D">
        <w:trPr>
          <w:trHeight w:val="388"/>
        </w:trPr>
        <w:tc>
          <w:tcPr>
            <w:tcW w:w="1843" w:type="dxa"/>
            <w:tcBorders>
              <w:top w:val="single" w:sz="4" w:space="0" w:color="000000"/>
              <w:left w:val="single" w:sz="4" w:space="0" w:color="000000"/>
              <w:bottom w:val="single" w:sz="4" w:space="0" w:color="000000"/>
              <w:right w:val="single" w:sz="4" w:space="0" w:color="000000"/>
            </w:tcBorders>
          </w:tcPr>
          <w:p w14:paraId="3BCBB28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lastRenderedPageBreak/>
              <w:t xml:space="preserve">Application selection </w:t>
            </w:r>
          </w:p>
        </w:tc>
        <w:tc>
          <w:tcPr>
            <w:tcW w:w="8505" w:type="dxa"/>
            <w:tcBorders>
              <w:top w:val="single" w:sz="4" w:space="0" w:color="000000"/>
              <w:left w:val="single" w:sz="4" w:space="0" w:color="000000"/>
              <w:bottom w:val="single" w:sz="4" w:space="0" w:color="000000"/>
              <w:right w:val="single" w:sz="4" w:space="0" w:color="000000"/>
            </w:tcBorders>
          </w:tcPr>
          <w:p w14:paraId="48EC4BF4"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w:t>
            </w:r>
            <w:r>
              <w:rPr>
                <w:rFonts w:ascii="Arial" w:eastAsia="Arial" w:hAnsi="Arial" w:cs="Arial"/>
                <w:color w:val="000000"/>
                <w:sz w:val="24"/>
                <w:szCs w:val="24"/>
              </w:rPr>
              <w:t xml:space="preserve">pplications for </w:t>
            </w:r>
            <w:r w:rsidRPr="00CE68F9">
              <w:rPr>
                <w:rFonts w:ascii="Arial" w:eastAsia="Arial" w:hAnsi="Arial" w:cs="Arial"/>
                <w:color w:val="000000"/>
                <w:sz w:val="24"/>
                <w:szCs w:val="24"/>
              </w:rPr>
              <w:t xml:space="preserve">will be scored in line with the NTCA assessment criteria </w:t>
            </w:r>
            <w:r>
              <w:rPr>
                <w:rFonts w:ascii="Arial" w:eastAsia="Arial" w:hAnsi="Arial" w:cs="Arial"/>
                <w:color w:val="000000"/>
                <w:sz w:val="24"/>
                <w:szCs w:val="24"/>
              </w:rPr>
              <w:t xml:space="preserve">set out </w:t>
            </w:r>
            <w:r w:rsidRPr="00F131A2">
              <w:rPr>
                <w:rFonts w:ascii="Arial" w:eastAsia="Arial" w:hAnsi="Arial" w:cs="Arial"/>
                <w:color w:val="000000"/>
                <w:sz w:val="24"/>
                <w:szCs w:val="24"/>
              </w:rPr>
              <w:t>in section 5 and A</w:t>
            </w:r>
            <w:r>
              <w:rPr>
                <w:rFonts w:ascii="Arial" w:eastAsia="Arial" w:hAnsi="Arial" w:cs="Arial"/>
                <w:color w:val="000000"/>
                <w:sz w:val="24"/>
                <w:szCs w:val="24"/>
              </w:rPr>
              <w:t>nnex C</w:t>
            </w:r>
            <w:r w:rsidRPr="00F131A2">
              <w:rPr>
                <w:rFonts w:ascii="Arial" w:eastAsia="Arial" w:hAnsi="Arial" w:cs="Arial"/>
                <w:color w:val="000000"/>
                <w:sz w:val="24"/>
                <w:szCs w:val="24"/>
              </w:rPr>
              <w:t>.</w:t>
            </w:r>
          </w:p>
          <w:p w14:paraId="108D6DC5" w14:textId="425EC65A"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p>
        </w:tc>
      </w:tr>
      <w:tr w:rsidR="001775D2" w:rsidRPr="00CE68F9" w14:paraId="26E6C6E0"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3FCE639B"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Procurement </w:t>
            </w:r>
          </w:p>
        </w:tc>
        <w:tc>
          <w:tcPr>
            <w:tcW w:w="8505" w:type="dxa"/>
            <w:tcBorders>
              <w:top w:val="single" w:sz="4" w:space="0" w:color="000000"/>
              <w:left w:val="single" w:sz="4" w:space="0" w:color="000000"/>
              <w:bottom w:val="single" w:sz="4" w:space="0" w:color="000000"/>
              <w:right w:val="single" w:sz="4" w:space="0" w:color="000000"/>
            </w:tcBorders>
          </w:tcPr>
          <w:p w14:paraId="6BD00899" w14:textId="176F4452"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All procurement must be undertaken in line with UK regulations</w:t>
            </w:r>
            <w:r>
              <w:rPr>
                <w:rFonts w:ascii="Arial" w:eastAsia="Arial" w:hAnsi="Arial" w:cs="Arial"/>
                <w:color w:val="000000"/>
                <w:sz w:val="24"/>
                <w:szCs w:val="24"/>
              </w:rPr>
              <w:t xml:space="preserve"> or where European Funding is included European and UK Regulations</w:t>
            </w:r>
            <w:r w:rsidRPr="00CE68F9">
              <w:rPr>
                <w:rFonts w:ascii="Arial" w:eastAsia="Arial" w:hAnsi="Arial" w:cs="Arial"/>
                <w:color w:val="000000"/>
                <w:sz w:val="24"/>
                <w:szCs w:val="24"/>
              </w:rPr>
              <w:t xml:space="preserve">. </w:t>
            </w:r>
          </w:p>
        </w:tc>
      </w:tr>
      <w:tr w:rsidR="001775D2" w:rsidRPr="00CE68F9" w14:paraId="000D1854"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7E684B6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Eligible Applicants</w:t>
            </w:r>
          </w:p>
        </w:tc>
        <w:tc>
          <w:tcPr>
            <w:tcW w:w="8505" w:type="dxa"/>
            <w:tcBorders>
              <w:top w:val="single" w:sz="4" w:space="0" w:color="000000"/>
              <w:left w:val="single" w:sz="4" w:space="0" w:color="000000"/>
              <w:bottom w:val="single" w:sz="4" w:space="0" w:color="000000"/>
              <w:right w:val="single" w:sz="4" w:space="0" w:color="000000"/>
            </w:tcBorders>
          </w:tcPr>
          <w:p w14:paraId="02227C74" w14:textId="59406E1D" w:rsidR="001775D2" w:rsidRPr="00CE68F9" w:rsidRDefault="001775D2" w:rsidP="001775D2">
            <w:pPr>
              <w:jc w:val="both"/>
              <w:rPr>
                <w:rFonts w:ascii="Arial" w:eastAsia="Arial" w:hAnsi="Arial" w:cs="Arial"/>
                <w:sz w:val="24"/>
                <w:szCs w:val="24"/>
              </w:rPr>
            </w:pPr>
            <w:r w:rsidRPr="00CE68F9">
              <w:rPr>
                <w:rFonts w:ascii="Arial" w:eastAsia="Arial" w:hAnsi="Arial" w:cs="Arial"/>
                <w:sz w:val="24"/>
                <w:szCs w:val="24"/>
              </w:rPr>
              <w:t xml:space="preserve">Applicants must be legally constituted at the point of signing a Funding Agreement and be able to enter into a legally binding Funding Agreement. The Applicant will be the organisation that, if the application is successful, enters a contract with the NTCA and therefore carries the liability for ensuring that the terms of the Funding Agreement are met by them and to all delivery partners. </w:t>
            </w:r>
          </w:p>
        </w:tc>
      </w:tr>
      <w:tr w:rsidR="001775D2" w:rsidRPr="00CE68F9" w14:paraId="4A74D9CF"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116B0C1D"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hAnsi="Arial" w:cs="Arial"/>
                <w:b/>
                <w:bCs/>
                <w:sz w:val="24"/>
                <w:szCs w:val="24"/>
              </w:rPr>
              <w:t>Desired Impact</w:t>
            </w:r>
          </w:p>
        </w:tc>
        <w:tc>
          <w:tcPr>
            <w:tcW w:w="8505" w:type="dxa"/>
            <w:tcBorders>
              <w:top w:val="single" w:sz="4" w:space="0" w:color="000000"/>
              <w:left w:val="single" w:sz="4" w:space="0" w:color="000000"/>
              <w:bottom w:val="single" w:sz="4" w:space="0" w:color="000000"/>
              <w:right w:val="single" w:sz="4" w:space="0" w:color="000000"/>
            </w:tcBorders>
          </w:tcPr>
          <w:p w14:paraId="46912CEA" w14:textId="72D714CF" w:rsidR="001775D2" w:rsidRPr="0017551E" w:rsidRDefault="001775D2" w:rsidP="000901AC">
            <w:pPr>
              <w:rPr>
                <w:rFonts w:ascii="Arial" w:eastAsia="Arial" w:hAnsi="Arial" w:cs="Arial"/>
                <w:bCs/>
                <w:sz w:val="24"/>
                <w:szCs w:val="24"/>
              </w:rPr>
            </w:pPr>
            <w:r w:rsidRPr="00CE68F9">
              <w:rPr>
                <w:rFonts w:ascii="Arial" w:eastAsia="Arial" w:hAnsi="Arial" w:cs="Arial"/>
                <w:bCs/>
                <w:sz w:val="24"/>
                <w:szCs w:val="24"/>
              </w:rPr>
              <w:t xml:space="preserve">The primary intent of the investment will be to directly fund </w:t>
            </w:r>
            <w:r>
              <w:rPr>
                <w:rFonts w:ascii="Arial" w:eastAsia="Arial" w:hAnsi="Arial" w:cs="Arial"/>
                <w:bCs/>
                <w:sz w:val="24"/>
                <w:szCs w:val="24"/>
              </w:rPr>
              <w:t xml:space="preserve">skills &amp; training </w:t>
            </w:r>
            <w:r w:rsidRPr="00CE68F9">
              <w:rPr>
                <w:rFonts w:ascii="Arial" w:eastAsia="Arial" w:hAnsi="Arial" w:cs="Arial"/>
                <w:bCs/>
                <w:sz w:val="24"/>
                <w:szCs w:val="24"/>
              </w:rPr>
              <w:t>for residents of North of Tyne – therefore significant out</w:t>
            </w:r>
            <w:r w:rsidR="009E1F96">
              <w:rPr>
                <w:rFonts w:ascii="Arial" w:eastAsia="Arial" w:hAnsi="Arial" w:cs="Arial"/>
                <w:bCs/>
                <w:sz w:val="24"/>
                <w:szCs w:val="24"/>
              </w:rPr>
              <w:t>comes</w:t>
            </w:r>
            <w:r w:rsidRPr="00CE68F9">
              <w:rPr>
                <w:rFonts w:ascii="Arial" w:eastAsia="Arial" w:hAnsi="Arial" w:cs="Arial"/>
                <w:bCs/>
                <w:sz w:val="24"/>
                <w:szCs w:val="24"/>
              </w:rPr>
              <w:t xml:space="preserve"> in relation to </w:t>
            </w:r>
            <w:r w:rsidR="000C1DFF">
              <w:rPr>
                <w:rFonts w:ascii="Arial" w:eastAsia="Arial" w:hAnsi="Arial" w:cs="Arial"/>
                <w:bCs/>
                <w:sz w:val="24"/>
                <w:szCs w:val="24"/>
              </w:rPr>
              <w:t>skills</w:t>
            </w:r>
            <w:r w:rsidRPr="00CE68F9">
              <w:rPr>
                <w:rFonts w:ascii="Arial" w:eastAsia="Arial" w:hAnsi="Arial" w:cs="Arial"/>
                <w:bCs/>
                <w:sz w:val="24"/>
                <w:szCs w:val="24"/>
              </w:rPr>
              <w:t xml:space="preserve"> and employment gained (or safeguarded or progression secured) are expected. </w:t>
            </w:r>
          </w:p>
        </w:tc>
      </w:tr>
    </w:tbl>
    <w:p w14:paraId="771A39EA" w14:textId="442CBFB1" w:rsidR="001E2BF2" w:rsidRPr="00CE68F9" w:rsidRDefault="001E2BF2" w:rsidP="00A71F7B">
      <w:pPr>
        <w:spacing w:after="0" w:line="240" w:lineRule="auto"/>
        <w:contextualSpacing/>
        <w:jc w:val="both"/>
        <w:rPr>
          <w:rFonts w:ascii="Arial" w:eastAsia="Batang" w:hAnsi="Arial" w:cs="Arial"/>
          <w:sz w:val="24"/>
          <w:szCs w:val="24"/>
        </w:rPr>
      </w:pPr>
    </w:p>
    <w:p w14:paraId="03C2C28B" w14:textId="4046347F" w:rsidR="009E1F96" w:rsidRDefault="009E1F96">
      <w:pPr>
        <w:rPr>
          <w:rFonts w:ascii="Arial" w:eastAsia="Batang" w:hAnsi="Arial" w:cs="Arial"/>
          <w:sz w:val="24"/>
          <w:szCs w:val="24"/>
        </w:rPr>
      </w:pPr>
      <w:r>
        <w:rPr>
          <w:rFonts w:ascii="Arial" w:eastAsia="Batang" w:hAnsi="Arial" w:cs="Arial"/>
          <w:sz w:val="24"/>
          <w:szCs w:val="24"/>
        </w:rPr>
        <w:br w:type="page"/>
      </w:r>
    </w:p>
    <w:p w14:paraId="6058CA2C" w14:textId="77777777" w:rsidR="001E2BF2" w:rsidRPr="00CE68F9" w:rsidRDefault="001E2BF2" w:rsidP="00A71F7B">
      <w:pPr>
        <w:spacing w:after="0" w:line="240" w:lineRule="auto"/>
        <w:contextualSpacing/>
        <w:jc w:val="both"/>
        <w:rPr>
          <w:rFonts w:ascii="Arial" w:eastAsia="Batang" w:hAnsi="Arial" w:cs="Arial"/>
          <w:sz w:val="24"/>
          <w:szCs w:val="24"/>
        </w:rPr>
      </w:pPr>
    </w:p>
    <w:p w14:paraId="3BB5758B" w14:textId="34C5864F" w:rsidR="009E1F96" w:rsidRPr="00586945" w:rsidRDefault="009E1F96" w:rsidP="009E1F96">
      <w:pPr>
        <w:spacing w:after="0" w:line="240" w:lineRule="auto"/>
        <w:jc w:val="both"/>
        <w:rPr>
          <w:rFonts w:ascii="Arial" w:eastAsia="Times New Roman" w:hAnsi="Arial" w:cs="Arial"/>
          <w:b/>
          <w:bCs/>
          <w:sz w:val="24"/>
          <w:szCs w:val="24"/>
          <w:lang w:eastAsia="en-GB"/>
        </w:rPr>
      </w:pPr>
      <w:bookmarkStart w:id="16" w:name="_Toc82606836"/>
      <w:r w:rsidRPr="002378DD">
        <w:rPr>
          <w:rStyle w:val="Heading1Char"/>
          <w:rFonts w:eastAsiaTheme="minorHAnsi"/>
        </w:rPr>
        <w:t xml:space="preserve">Annex </w:t>
      </w:r>
      <w:r>
        <w:rPr>
          <w:rStyle w:val="Heading1Char"/>
          <w:rFonts w:eastAsiaTheme="minorHAnsi"/>
        </w:rPr>
        <w:t>B</w:t>
      </w:r>
      <w:r w:rsidRPr="002378DD">
        <w:rPr>
          <w:rStyle w:val="Heading1Char"/>
          <w:rFonts w:eastAsiaTheme="minorHAnsi"/>
        </w:rPr>
        <w:t xml:space="preserve"> - Key sectors for this funding opportunity</w:t>
      </w:r>
      <w:bookmarkEnd w:id="16"/>
      <w:r>
        <w:rPr>
          <w:rFonts w:ascii="Arial" w:hAnsi="Arial" w:cs="Arial"/>
          <w:b/>
          <w:bCs/>
          <w:sz w:val="24"/>
          <w:szCs w:val="24"/>
        </w:rPr>
        <w:t xml:space="preserve"> </w:t>
      </w:r>
      <w:r w:rsidRPr="00E53785">
        <w:rPr>
          <w:rFonts w:ascii="Arial" w:hAnsi="Arial" w:cs="Arial"/>
          <w:b/>
          <w:bCs/>
          <w:sz w:val="24"/>
          <w:szCs w:val="24"/>
        </w:rPr>
        <w:t xml:space="preserve">include (but are not limited to):   </w:t>
      </w:r>
    </w:p>
    <w:p w14:paraId="3B6B1DA7" w14:textId="77777777" w:rsidR="009E1F96" w:rsidRDefault="009E1F96" w:rsidP="009E1F96">
      <w:pPr>
        <w:spacing w:after="0" w:line="240" w:lineRule="auto"/>
        <w:jc w:val="both"/>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10194"/>
      </w:tblGrid>
      <w:tr w:rsidR="009E1F96" w14:paraId="0BE32F9D" w14:textId="77777777" w:rsidTr="00AB5AD4">
        <w:tc>
          <w:tcPr>
            <w:tcW w:w="10194" w:type="dxa"/>
          </w:tcPr>
          <w:p w14:paraId="175D6670" w14:textId="77777777" w:rsidR="009E1F96" w:rsidRDefault="009E1F96" w:rsidP="00AB5AD4">
            <w:pPr>
              <w:pStyle w:val="Default"/>
            </w:pPr>
            <w:r w:rsidRPr="00E53785">
              <w:rPr>
                <w:b/>
                <w:bCs/>
              </w:rPr>
              <w:t>Energy</w:t>
            </w:r>
            <w:r>
              <w:t xml:space="preserve"> - including renewables (such as wind, solar and hydropower), grid infrastructure, energy storage and smart systems technology. </w:t>
            </w:r>
          </w:p>
          <w:p w14:paraId="752F9733" w14:textId="77777777" w:rsidR="009E1F96" w:rsidRDefault="009E1F96" w:rsidP="00AB5AD4">
            <w:pPr>
              <w:pStyle w:val="Default"/>
              <w:rPr>
                <w:b/>
                <w:bCs/>
              </w:rPr>
            </w:pPr>
          </w:p>
          <w:p w14:paraId="3DC8686D" w14:textId="77777777" w:rsidR="009E1F96" w:rsidRDefault="009E1F96" w:rsidP="00AB5AD4">
            <w:pPr>
              <w:pStyle w:val="Default"/>
            </w:pPr>
            <w:r>
              <w:t xml:space="preserve">NTCA identifies energy as a sectoral strength for the North of Tyne area, with significant energy technology and low-carbon expertise centred around the Tyne North Bank and Blyth sites.  </w:t>
            </w:r>
            <w:r w:rsidRPr="00751F73">
              <w:t>The North of Tyne area is strategically located to benefit from offshore wind turbine installation at Dogger Bank</w:t>
            </w:r>
            <w:r>
              <w:t xml:space="preserve"> and the </w:t>
            </w:r>
            <w:r w:rsidRPr="00751F73">
              <w:t xml:space="preserve">region benefits from a rich mix of local enterprises and global organisations across many stages of the supply chain. </w:t>
            </w:r>
          </w:p>
          <w:p w14:paraId="4C5B02D3" w14:textId="77777777" w:rsidR="009E1F96" w:rsidRDefault="009E1F96" w:rsidP="00AB5AD4">
            <w:pPr>
              <w:pStyle w:val="Default"/>
              <w:rPr>
                <w:b/>
                <w:bCs/>
              </w:rPr>
            </w:pPr>
          </w:p>
          <w:p w14:paraId="5A8841B3" w14:textId="77777777" w:rsidR="009E1F96" w:rsidRDefault="009E1F96" w:rsidP="00AB5AD4">
            <w:pPr>
              <w:pStyle w:val="Default"/>
            </w:pPr>
            <w:r>
              <w:t xml:space="preserve">The continued development of the sector will require a broad range of skills, including asset management, project management, </w:t>
            </w:r>
            <w:proofErr w:type="gramStart"/>
            <w:r>
              <w:t>engineering</w:t>
            </w:r>
            <w:proofErr w:type="gramEnd"/>
            <w:r>
              <w:t xml:space="preserve"> and technical skills.  Many of these skill gaps could be covered by workers currently in the oil and gas sector, given the transferability of their skills to offshore wind.</w:t>
            </w:r>
          </w:p>
          <w:p w14:paraId="384D6331" w14:textId="77777777" w:rsidR="009E1F96" w:rsidRDefault="009E1F96" w:rsidP="00AB5AD4">
            <w:pPr>
              <w:pStyle w:val="Default"/>
              <w:rPr>
                <w:b/>
                <w:bCs/>
              </w:rPr>
            </w:pPr>
          </w:p>
        </w:tc>
      </w:tr>
      <w:tr w:rsidR="009E1F96" w14:paraId="3961AACD" w14:textId="77777777" w:rsidTr="00AB5AD4">
        <w:tc>
          <w:tcPr>
            <w:tcW w:w="10194" w:type="dxa"/>
          </w:tcPr>
          <w:p w14:paraId="25A64139" w14:textId="77777777" w:rsidR="009E1F96" w:rsidRDefault="009E1F96" w:rsidP="00AB5AD4">
            <w:pPr>
              <w:rPr>
                <w:rFonts w:ascii="Arial" w:hAnsi="Arial" w:cs="Arial"/>
                <w:color w:val="000000"/>
                <w:sz w:val="24"/>
                <w:szCs w:val="24"/>
              </w:rPr>
            </w:pPr>
            <w:r w:rsidRPr="001F1B25">
              <w:rPr>
                <w:rFonts w:ascii="Arial" w:hAnsi="Arial" w:cs="Arial"/>
                <w:b/>
                <w:bCs/>
                <w:sz w:val="24"/>
                <w:szCs w:val="24"/>
              </w:rPr>
              <w:t>Homes and buildings</w:t>
            </w:r>
            <w:r w:rsidRPr="001F1B25">
              <w:rPr>
                <w:rFonts w:ascii="Arial" w:hAnsi="Arial" w:cs="Arial"/>
                <w:sz w:val="24"/>
                <w:szCs w:val="24"/>
              </w:rPr>
              <w:t xml:space="preserve"> – including retrofit, building new energy-efficient homes, heat pumps, smart devices and controls, heat networks and hydrogen boilers</w:t>
            </w:r>
            <w:r>
              <w:rPr>
                <w:rFonts w:ascii="Arial" w:hAnsi="Arial" w:cs="Arial"/>
                <w:sz w:val="24"/>
                <w:szCs w:val="24"/>
              </w:rPr>
              <w:t>.</w:t>
            </w:r>
            <w:r w:rsidRPr="001F1B25">
              <w:rPr>
                <w:rFonts w:ascii="Arial" w:hAnsi="Arial" w:cs="Arial"/>
                <w:color w:val="000000"/>
                <w:sz w:val="24"/>
                <w:szCs w:val="24"/>
              </w:rPr>
              <w:t xml:space="preserve"> </w:t>
            </w:r>
          </w:p>
          <w:p w14:paraId="76210178" w14:textId="77777777" w:rsidR="009E1F96" w:rsidRDefault="009E1F96" w:rsidP="00AB5AD4">
            <w:pPr>
              <w:pStyle w:val="Default"/>
              <w:rPr>
                <w:b/>
                <w:bCs/>
              </w:rPr>
            </w:pPr>
          </w:p>
          <w:p w14:paraId="6B4249A9" w14:textId="77777777" w:rsidR="009E1F96" w:rsidRPr="00964351" w:rsidRDefault="009E1F96" w:rsidP="00AB5AD4">
            <w:pPr>
              <w:rPr>
                <w:rFonts w:ascii="Arial" w:hAnsi="Arial" w:cs="Arial"/>
                <w:sz w:val="24"/>
                <w:szCs w:val="24"/>
              </w:rPr>
            </w:pPr>
            <w:r w:rsidRPr="00964351">
              <w:rPr>
                <w:rFonts w:ascii="Arial" w:hAnsi="Arial" w:cs="Arial"/>
                <w:sz w:val="24"/>
                <w:szCs w:val="24"/>
              </w:rPr>
              <w:t xml:space="preserve">In the North of Tyne area, over 40% of domestic properties do not meet the standard of energy efficiency recommended for all homes by 2030, less than 1% of homes have installed low carbon heating systems and fewer than 4% of homes have installed solar PV.   Improving the energy efficiency of buildings is vital to meeting climate change obligations, eradicating fuel poverty, and lowering energy bills. </w:t>
            </w:r>
          </w:p>
          <w:p w14:paraId="6910B5FA" w14:textId="77777777" w:rsidR="009E1F96" w:rsidRDefault="009E1F96" w:rsidP="00AB5AD4">
            <w:pPr>
              <w:pStyle w:val="Default"/>
              <w:rPr>
                <w:b/>
                <w:bCs/>
              </w:rPr>
            </w:pPr>
          </w:p>
          <w:p w14:paraId="41223314" w14:textId="77777777" w:rsidR="009E1F96" w:rsidRPr="006805ED" w:rsidRDefault="009E1F96" w:rsidP="00AB5AD4">
            <w:pPr>
              <w:spacing w:after="160" w:line="259" w:lineRule="auto"/>
              <w:rPr>
                <w:rFonts w:ascii="Arial" w:hAnsi="Arial" w:cs="Arial"/>
                <w:sz w:val="24"/>
                <w:szCs w:val="24"/>
              </w:rPr>
            </w:pPr>
            <w:r w:rsidRPr="006805ED">
              <w:rPr>
                <w:rFonts w:ascii="Arial" w:hAnsi="Arial" w:cs="Arial"/>
                <w:sz w:val="24"/>
                <w:szCs w:val="24"/>
              </w:rPr>
              <w:t>UK-wide the buildings retrofit sector is expected to grow in the short to medium term. To meet net zero, most buildings in the UK must be retrofitted in the next three decades</w:t>
            </w:r>
            <w:r>
              <w:rPr>
                <w:rFonts w:ascii="Arial" w:hAnsi="Arial" w:cs="Arial"/>
                <w:sz w:val="24"/>
                <w:szCs w:val="24"/>
              </w:rPr>
              <w:t xml:space="preserve">.  </w:t>
            </w:r>
            <w:r w:rsidRPr="006805ED">
              <w:rPr>
                <w:rFonts w:ascii="Arial" w:hAnsi="Arial" w:cs="Arial"/>
                <w:sz w:val="24"/>
                <w:szCs w:val="24"/>
              </w:rPr>
              <w:t xml:space="preserve">Currently, there is a critical shortage of retrofit designers and co-ordinators, coupled with education and training being mostly focussed on new build using traditional onsite techniques, and insufficient emphasis on low carbon systems. </w:t>
            </w:r>
          </w:p>
          <w:p w14:paraId="580E5863" w14:textId="77777777" w:rsidR="009E1F96" w:rsidRPr="00CF261B" w:rsidRDefault="009E1F96" w:rsidP="00AB5AD4">
            <w:pPr>
              <w:spacing w:after="160" w:line="259" w:lineRule="auto"/>
              <w:rPr>
                <w:rFonts w:ascii="Arial" w:hAnsi="Arial" w:cs="Arial"/>
                <w:sz w:val="24"/>
                <w:szCs w:val="24"/>
              </w:rPr>
            </w:pPr>
            <w:r w:rsidRPr="006805ED">
              <w:rPr>
                <w:rFonts w:ascii="Arial" w:hAnsi="Arial" w:cs="Arial"/>
                <w:sz w:val="24"/>
                <w:szCs w:val="24"/>
              </w:rPr>
              <w:t>A similar transformation is expected in heating and cooling. At present, approximately 85% of heating in the UK is from natural gas, with about 26 million domestic boilers currently in place.  To respond to a growing consumer demand for greener solutions, the majority of the current heating system installers will need to upskill to be able to install heat pumps.</w:t>
            </w:r>
          </w:p>
        </w:tc>
      </w:tr>
      <w:tr w:rsidR="009E1F96" w14:paraId="5B1BAFCD" w14:textId="77777777" w:rsidTr="00AB5AD4">
        <w:tc>
          <w:tcPr>
            <w:tcW w:w="10194" w:type="dxa"/>
          </w:tcPr>
          <w:p w14:paraId="72E25655" w14:textId="77777777" w:rsidR="009E1F96" w:rsidRPr="00CF261B" w:rsidRDefault="009E1F96" w:rsidP="00AB5AD4">
            <w:pPr>
              <w:spacing w:after="160" w:line="259" w:lineRule="auto"/>
              <w:rPr>
                <w:rFonts w:ascii="Arial" w:hAnsi="Arial" w:cs="Arial"/>
                <w:sz w:val="24"/>
                <w:szCs w:val="24"/>
              </w:rPr>
            </w:pPr>
            <w:r w:rsidRPr="00CF261B">
              <w:rPr>
                <w:rFonts w:ascii="Arial" w:hAnsi="Arial" w:cs="Arial"/>
                <w:b/>
                <w:bCs/>
                <w:sz w:val="24"/>
                <w:szCs w:val="24"/>
              </w:rPr>
              <w:t>Transport</w:t>
            </w:r>
            <w:r w:rsidRPr="00CF261B">
              <w:rPr>
                <w:rFonts w:ascii="Arial" w:hAnsi="Arial" w:cs="Arial"/>
                <w:sz w:val="24"/>
                <w:szCs w:val="24"/>
              </w:rPr>
              <w:t xml:space="preserve"> – including low or zero emission vehicles, rail, public transport and walking or cycling</w:t>
            </w:r>
            <w:r>
              <w:rPr>
                <w:rFonts w:ascii="Arial" w:hAnsi="Arial" w:cs="Arial"/>
                <w:sz w:val="24"/>
                <w:szCs w:val="24"/>
              </w:rPr>
              <w:t>.</w:t>
            </w:r>
            <w:r w:rsidRPr="00CF261B">
              <w:rPr>
                <w:rFonts w:ascii="Arial" w:hAnsi="Arial" w:cs="Arial"/>
                <w:sz w:val="24"/>
                <w:szCs w:val="24"/>
              </w:rPr>
              <w:t xml:space="preserve"> </w:t>
            </w:r>
          </w:p>
          <w:p w14:paraId="7016EF3D" w14:textId="77777777" w:rsidR="009E1F96" w:rsidRPr="00CF261B" w:rsidRDefault="009E1F96" w:rsidP="00AB5AD4">
            <w:pPr>
              <w:pStyle w:val="Default"/>
            </w:pPr>
            <w:r w:rsidRPr="00CF261B">
              <w:t>Reducing carbon emissions in the transport network provides significant opportunities for jobs growth – with opportunities for associated business expansion and innovation development.  This could include supporting the growth of electric vehicles (EV) manufacturing, including components and batteries. There are already significant EV capabilities in the North of Tyne and a strong supply chain linked to wider North East capabilities.</w:t>
            </w:r>
          </w:p>
          <w:p w14:paraId="3AE4FACF" w14:textId="77777777" w:rsidR="009E1F96" w:rsidRDefault="009E1F96" w:rsidP="00AB5AD4">
            <w:pPr>
              <w:pStyle w:val="Default"/>
              <w:rPr>
                <w:b/>
                <w:bCs/>
              </w:rPr>
            </w:pPr>
          </w:p>
          <w:p w14:paraId="7D76B694" w14:textId="77777777" w:rsidR="009E1F96" w:rsidRDefault="009E1F96" w:rsidP="00AB5AD4">
            <w:pPr>
              <w:pStyle w:val="Default"/>
            </w:pPr>
            <w:r>
              <w:t xml:space="preserve">The government has announced the end of the sale of new petrol and diesel cars and vans in the UK by 2030, and all new cars and vans must be zero emissions from 2035. To achieve this and enable the transition to electric vehicles (EVs), there are gaps in the automotive sector workforce that will need to be overcome at a relatively fast pace, with a focus on retraining and upskilling of the current workers, and a push in new recruitment. </w:t>
            </w:r>
          </w:p>
          <w:p w14:paraId="4E4754BC" w14:textId="77777777" w:rsidR="009E1F96" w:rsidRDefault="009E1F96" w:rsidP="00AB5AD4">
            <w:pPr>
              <w:pStyle w:val="Default"/>
              <w:rPr>
                <w:b/>
                <w:bCs/>
              </w:rPr>
            </w:pPr>
          </w:p>
          <w:p w14:paraId="218A8BA3" w14:textId="77777777" w:rsidR="009E1F96" w:rsidRDefault="009E1F96" w:rsidP="00AB5AD4">
            <w:pPr>
              <w:pStyle w:val="Default"/>
              <w:rPr>
                <w:b/>
                <w:bCs/>
              </w:rPr>
            </w:pPr>
          </w:p>
        </w:tc>
      </w:tr>
      <w:tr w:rsidR="009E1F96" w14:paraId="4867D8A0" w14:textId="77777777" w:rsidTr="00AB5AD4">
        <w:tc>
          <w:tcPr>
            <w:tcW w:w="10194" w:type="dxa"/>
          </w:tcPr>
          <w:p w14:paraId="50341F2B" w14:textId="77777777" w:rsidR="009E1F96" w:rsidRPr="00CF261B" w:rsidRDefault="009E1F96" w:rsidP="00AB5AD4">
            <w:pPr>
              <w:spacing w:after="160" w:line="259" w:lineRule="auto"/>
              <w:rPr>
                <w:rFonts w:ascii="Arial" w:hAnsi="Arial" w:cs="Arial"/>
                <w:b/>
                <w:bCs/>
                <w:color w:val="000000"/>
                <w:sz w:val="24"/>
                <w:szCs w:val="24"/>
              </w:rPr>
            </w:pPr>
            <w:r w:rsidRPr="00CF261B">
              <w:rPr>
                <w:rFonts w:ascii="Arial" w:hAnsi="Arial" w:cs="Arial"/>
                <w:b/>
                <w:bCs/>
                <w:sz w:val="24"/>
                <w:szCs w:val="24"/>
              </w:rPr>
              <w:lastRenderedPageBreak/>
              <w:t>Enabling decarbonisation</w:t>
            </w:r>
            <w:r w:rsidRPr="00CF261B">
              <w:rPr>
                <w:rFonts w:ascii="Arial" w:hAnsi="Arial" w:cs="Arial"/>
                <w:sz w:val="24"/>
                <w:szCs w:val="24"/>
              </w:rPr>
              <w:t xml:space="preserve"> – including science and innovation for climate change, green finance, circular economy, and energy networks</w:t>
            </w:r>
            <w:r>
              <w:rPr>
                <w:rFonts w:ascii="Arial" w:hAnsi="Arial" w:cs="Arial"/>
                <w:sz w:val="24"/>
                <w:szCs w:val="24"/>
              </w:rPr>
              <w:t>.</w:t>
            </w:r>
            <w:r w:rsidRPr="00CF261B">
              <w:rPr>
                <w:rFonts w:ascii="Arial" w:hAnsi="Arial" w:cs="Arial"/>
                <w:b/>
                <w:bCs/>
                <w:color w:val="000000"/>
                <w:sz w:val="24"/>
                <w:szCs w:val="24"/>
              </w:rPr>
              <w:t xml:space="preserve"> </w:t>
            </w:r>
          </w:p>
          <w:p w14:paraId="7A9C8A56" w14:textId="77777777" w:rsidR="009E1F96" w:rsidRPr="00CF261B" w:rsidRDefault="009E1F96" w:rsidP="00AB5AD4">
            <w:pPr>
              <w:pStyle w:val="Default"/>
            </w:pPr>
            <w:r w:rsidRPr="00CF261B">
              <w:t>Investing in decarbonisation improves the bottom line and protects companies from rising energy costs, including carbon taxes.  As we look to transition to net zero, more workers, particularly in energy-intensive industries, may be vulnerable to the transition.  Where workplaces can be decarbonised, retooled, and transitioned, the negative impacts on working people and local communities can be reduced, existing skills can be maintained and enhanced, and local economies can adapt most rapidly to the net zero transition</w:t>
            </w:r>
          </w:p>
          <w:p w14:paraId="6273FDA6" w14:textId="77777777" w:rsidR="009E1F96" w:rsidRDefault="009E1F96" w:rsidP="00AB5AD4">
            <w:pPr>
              <w:pStyle w:val="Default"/>
              <w:rPr>
                <w:b/>
                <w:bCs/>
              </w:rPr>
            </w:pPr>
          </w:p>
          <w:p w14:paraId="16D6C59D" w14:textId="77777777" w:rsidR="009E1F96" w:rsidRDefault="009E1F96" w:rsidP="00AB5AD4">
            <w:pPr>
              <w:pStyle w:val="Default"/>
              <w:rPr>
                <w:b/>
                <w:bCs/>
              </w:rPr>
            </w:pPr>
          </w:p>
        </w:tc>
      </w:tr>
      <w:tr w:rsidR="009E1F96" w14:paraId="32D94E0F" w14:textId="77777777" w:rsidTr="00AB5AD4">
        <w:tc>
          <w:tcPr>
            <w:tcW w:w="10194" w:type="dxa"/>
          </w:tcPr>
          <w:p w14:paraId="52EE3BA1" w14:textId="77777777" w:rsidR="009E1F96" w:rsidRPr="00A54615" w:rsidRDefault="009E1F96" w:rsidP="00AB5AD4">
            <w:pPr>
              <w:spacing w:after="160" w:line="259" w:lineRule="auto"/>
              <w:rPr>
                <w:rFonts w:ascii="Arial" w:hAnsi="Arial" w:cs="Arial"/>
                <w:b/>
                <w:bCs/>
                <w:color w:val="000000"/>
                <w:sz w:val="24"/>
                <w:szCs w:val="24"/>
              </w:rPr>
            </w:pPr>
            <w:r w:rsidRPr="00A54615">
              <w:rPr>
                <w:rFonts w:ascii="Arial" w:hAnsi="Arial" w:cs="Arial"/>
                <w:b/>
                <w:bCs/>
                <w:sz w:val="24"/>
                <w:szCs w:val="24"/>
              </w:rPr>
              <w:t>Natural resources</w:t>
            </w:r>
            <w:r w:rsidRPr="00A54615">
              <w:rPr>
                <w:rFonts w:ascii="Arial" w:hAnsi="Arial" w:cs="Arial"/>
                <w:sz w:val="24"/>
                <w:szCs w:val="24"/>
              </w:rPr>
              <w:t xml:space="preserve"> – including nature restoration, tree planting and decarbonising agriculture, waste management and recycling</w:t>
            </w:r>
            <w:r>
              <w:rPr>
                <w:rFonts w:ascii="Arial" w:hAnsi="Arial" w:cs="Arial"/>
                <w:sz w:val="24"/>
                <w:szCs w:val="24"/>
              </w:rPr>
              <w:t>.</w:t>
            </w:r>
            <w:r w:rsidRPr="00A54615">
              <w:rPr>
                <w:rFonts w:ascii="Arial" w:hAnsi="Arial" w:cs="Arial"/>
                <w:b/>
                <w:bCs/>
                <w:color w:val="000000"/>
                <w:sz w:val="24"/>
                <w:szCs w:val="24"/>
              </w:rPr>
              <w:t xml:space="preserve"> </w:t>
            </w:r>
          </w:p>
          <w:p w14:paraId="18727099" w14:textId="77777777" w:rsidR="009E1F96" w:rsidRPr="00A54615" w:rsidRDefault="009E1F96" w:rsidP="00AB5AD4">
            <w:pPr>
              <w:pStyle w:val="Default"/>
            </w:pPr>
            <w:r w:rsidRPr="00A54615">
              <w:t xml:space="preserve">Afforestation, </w:t>
            </w:r>
            <w:proofErr w:type="gramStart"/>
            <w:r w:rsidRPr="00A54615">
              <w:t>reforestation</w:t>
            </w:r>
            <w:proofErr w:type="gramEnd"/>
            <w:r w:rsidRPr="00A54615">
              <w:t xml:space="preserve"> and other land-management practices such as peatland restoration, absorb carbon from the atmosphere and are therefore critical in the scenario to reaching net zero by 2050. The forestry sector is also a regional asset that can deliver not only substantial carbon reductions but also sustainable economic development. </w:t>
            </w:r>
          </w:p>
          <w:p w14:paraId="795660A4" w14:textId="77777777" w:rsidR="009E1F96" w:rsidRDefault="009E1F96" w:rsidP="00AB5AD4">
            <w:pPr>
              <w:pStyle w:val="Default"/>
              <w:rPr>
                <w:b/>
                <w:bCs/>
              </w:rPr>
            </w:pPr>
          </w:p>
          <w:p w14:paraId="01C6633A" w14:textId="77777777" w:rsidR="009E1F96" w:rsidRDefault="009E1F96" w:rsidP="00AB5AD4">
            <w:pPr>
              <w:pStyle w:val="Default"/>
              <w:rPr>
                <w:b/>
                <w:bCs/>
              </w:rPr>
            </w:pPr>
          </w:p>
        </w:tc>
      </w:tr>
    </w:tbl>
    <w:p w14:paraId="4F82D3BE" w14:textId="5F1F50D6" w:rsidR="00A71F7B" w:rsidRPr="00743AAC" w:rsidRDefault="00A71F7B" w:rsidP="00A71F7B">
      <w:pPr>
        <w:tabs>
          <w:tab w:val="left" w:pos="2703"/>
        </w:tabs>
        <w:rPr>
          <w:rFonts w:ascii="Arial" w:eastAsia="Times New Roman" w:hAnsi="Arial" w:cs="Arial"/>
          <w:lang w:eastAsia="en-GB"/>
        </w:rPr>
        <w:sectPr w:rsidR="00A71F7B" w:rsidRPr="00743AAC" w:rsidSect="002378DD">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170" w:gutter="0"/>
          <w:cols w:space="708"/>
          <w:docGrid w:linePitch="360"/>
        </w:sectPr>
      </w:pPr>
    </w:p>
    <w:p w14:paraId="690209AC" w14:textId="10F9E6E9" w:rsidR="00A71F7B" w:rsidRPr="002378DD" w:rsidRDefault="00A71F7B" w:rsidP="002378DD">
      <w:pPr>
        <w:pStyle w:val="Heading1"/>
        <w:rPr>
          <w:rFonts w:eastAsia="Batang"/>
        </w:rPr>
      </w:pPr>
      <w:bookmarkStart w:id="17" w:name="_Toc82606837"/>
      <w:r w:rsidRPr="002378DD">
        <w:rPr>
          <w:rFonts w:eastAsia="Batang"/>
        </w:rPr>
        <w:lastRenderedPageBreak/>
        <w:t>A</w:t>
      </w:r>
      <w:r w:rsidR="00CA6C6D" w:rsidRPr="002378DD">
        <w:rPr>
          <w:rFonts w:eastAsia="Batang"/>
        </w:rPr>
        <w:t>nnex C</w:t>
      </w:r>
      <w:r w:rsidRPr="002378DD">
        <w:rPr>
          <w:rFonts w:eastAsia="Batang"/>
        </w:rPr>
        <w:t xml:space="preserve"> – Detailed Scoring Criteria</w:t>
      </w:r>
      <w:bookmarkEnd w:id="17"/>
      <w:r w:rsidRPr="002378DD">
        <w:rPr>
          <w:rFonts w:eastAsia="Batang"/>
        </w:rPr>
        <w:t xml:space="preserve"> </w:t>
      </w:r>
      <w:r w:rsidR="00CB77CC">
        <w:rPr>
          <w:rFonts w:eastAsia="Batang"/>
        </w:rPr>
        <w:t>- Updated</w:t>
      </w:r>
    </w:p>
    <w:p w14:paraId="0E39E9AC" w14:textId="77777777" w:rsidR="00A71F7B" w:rsidRPr="00803C71" w:rsidRDefault="00A71F7B" w:rsidP="00A71F7B">
      <w:pPr>
        <w:spacing w:after="0" w:line="240" w:lineRule="auto"/>
        <w:rPr>
          <w:rFonts w:ascii="Arial" w:eastAsia="Batang" w:hAnsi="Arial" w:cs="Arial"/>
          <w:b/>
          <w:bCs/>
        </w:rPr>
      </w:pPr>
    </w:p>
    <w:tbl>
      <w:tblPr>
        <w:tblStyle w:val="TableGrid1"/>
        <w:tblW w:w="15026" w:type="dxa"/>
        <w:jc w:val="center"/>
        <w:tblLayout w:type="fixed"/>
        <w:tblLook w:val="04A0" w:firstRow="1" w:lastRow="0" w:firstColumn="1" w:lastColumn="0" w:noHBand="0" w:noVBand="1"/>
      </w:tblPr>
      <w:tblGrid>
        <w:gridCol w:w="3544"/>
        <w:gridCol w:w="2410"/>
        <w:gridCol w:w="1276"/>
        <w:gridCol w:w="1984"/>
        <w:gridCol w:w="1134"/>
        <w:gridCol w:w="1843"/>
        <w:gridCol w:w="1984"/>
        <w:gridCol w:w="851"/>
      </w:tblGrid>
      <w:tr w:rsidR="00A71F7B" w:rsidRPr="00803C71" w14:paraId="7378DFB3" w14:textId="77777777" w:rsidTr="00CA6C6D">
        <w:trPr>
          <w:trHeight w:val="161"/>
          <w:jc w:val="center"/>
        </w:trPr>
        <w:tc>
          <w:tcPr>
            <w:tcW w:w="15026" w:type="dxa"/>
            <w:gridSpan w:val="8"/>
            <w:shd w:val="clear" w:color="auto" w:fill="D9D9D9" w:themeFill="background1" w:themeFillShade="D9"/>
          </w:tcPr>
          <w:p w14:paraId="5EC62B52" w14:textId="77777777" w:rsidR="00A71F7B" w:rsidRPr="00803C71" w:rsidRDefault="00A71F7B" w:rsidP="001148B4">
            <w:pPr>
              <w:jc w:val="both"/>
              <w:rPr>
                <w:rFonts w:ascii="Arial" w:eastAsia="Batang" w:hAnsi="Arial" w:cs="Arial"/>
                <w:b/>
              </w:rPr>
            </w:pPr>
            <w:bookmarkStart w:id="18" w:name="_Hlk83390529"/>
            <w:r w:rsidRPr="00803C71">
              <w:rPr>
                <w:rFonts w:ascii="Arial" w:eastAsia="Batang" w:hAnsi="Arial" w:cs="Arial"/>
                <w:b/>
              </w:rPr>
              <w:t>Assessment of Project</w:t>
            </w:r>
          </w:p>
        </w:tc>
      </w:tr>
      <w:tr w:rsidR="00A71F7B" w:rsidRPr="00803C71" w14:paraId="661E50C5" w14:textId="77777777" w:rsidTr="00CA6C6D">
        <w:trPr>
          <w:trHeight w:val="169"/>
          <w:jc w:val="center"/>
        </w:trPr>
        <w:tc>
          <w:tcPr>
            <w:tcW w:w="3544" w:type="dxa"/>
            <w:vMerge w:val="restart"/>
            <w:shd w:val="clear" w:color="auto" w:fill="D9D9D9" w:themeFill="background1" w:themeFillShade="D9"/>
          </w:tcPr>
          <w:p w14:paraId="75D248AA" w14:textId="460532F0" w:rsidR="00B01B1A" w:rsidRDefault="005A0F29" w:rsidP="005A0F29">
            <w:pPr>
              <w:contextualSpacing/>
              <w:rPr>
                <w:rFonts w:ascii="Arial" w:eastAsia="Batang" w:hAnsi="Arial" w:cs="Arial"/>
                <w:b/>
              </w:rPr>
            </w:pPr>
            <w:r w:rsidRPr="005A0F29">
              <w:rPr>
                <w:rFonts w:ascii="Arial" w:eastAsia="Batang" w:hAnsi="Arial" w:cs="Arial"/>
                <w:b/>
              </w:rPr>
              <w:t>S</w:t>
            </w:r>
            <w:r w:rsidR="00A71F7B" w:rsidRPr="005A0F29">
              <w:rPr>
                <w:rFonts w:ascii="Arial" w:eastAsia="Batang" w:hAnsi="Arial" w:cs="Arial"/>
                <w:b/>
              </w:rPr>
              <w:t xml:space="preserve">trategic fit </w:t>
            </w:r>
          </w:p>
          <w:p w14:paraId="507FFAE0" w14:textId="77777777" w:rsidR="00B01B1A" w:rsidRDefault="00B01B1A" w:rsidP="005A0F29">
            <w:pPr>
              <w:contextualSpacing/>
              <w:rPr>
                <w:rFonts w:ascii="Arial" w:eastAsia="Batang" w:hAnsi="Arial" w:cs="Arial"/>
                <w:b/>
              </w:rPr>
            </w:pPr>
          </w:p>
          <w:p w14:paraId="1F3AAB7A" w14:textId="1750FC97"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Fit with NTCA Corporate Plan, Inclusive Economy </w:t>
            </w:r>
            <w:proofErr w:type="gramStart"/>
            <w:r w:rsidRPr="00B01B1A">
              <w:rPr>
                <w:rFonts w:ascii="Arial" w:eastAsia="Times New Roman" w:hAnsi="Arial" w:cs="Arial"/>
              </w:rPr>
              <w:t>Statement</w:t>
            </w:r>
            <w:proofErr w:type="gramEnd"/>
            <w:r w:rsidRPr="00B01B1A">
              <w:rPr>
                <w:rFonts w:ascii="Arial" w:eastAsia="Times New Roman" w:hAnsi="Arial" w:cs="Arial"/>
              </w:rPr>
              <w:t xml:space="preserve"> and call focus area. </w:t>
            </w:r>
          </w:p>
          <w:p w14:paraId="28D13BC4" w14:textId="77777777" w:rsidR="00B01B1A" w:rsidRPr="00B01B1A" w:rsidRDefault="00B01B1A" w:rsidP="00B01B1A">
            <w:pPr>
              <w:contextualSpacing/>
              <w:rPr>
                <w:rFonts w:ascii="Arial" w:eastAsia="Times New Roman" w:hAnsi="Arial" w:cs="Arial"/>
              </w:rPr>
            </w:pPr>
            <w:r w:rsidRPr="00B01B1A">
              <w:rPr>
                <w:rFonts w:ascii="Arial" w:eastAsia="Times New Roman" w:hAnsi="Arial" w:cs="Arial"/>
              </w:rPr>
              <w:t>The proposal is effective and will lead to innovation in the Green Economy; and</w:t>
            </w:r>
          </w:p>
          <w:p w14:paraId="7DEE9CE0" w14:textId="55EE61AC"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developed in adherence with the overarching principles for the call and where appropriate evidence is provided in relation to stakeholder support, value added, etc. </w:t>
            </w:r>
          </w:p>
          <w:p w14:paraId="7F2AB9FA" w14:textId="66107EE1" w:rsidR="00A71F7B" w:rsidRPr="00803C71" w:rsidRDefault="00A71F7B" w:rsidP="00B01B1A">
            <w:pPr>
              <w:contextualSpacing/>
              <w:rPr>
                <w:rFonts w:ascii="Arial" w:eastAsia="Batang" w:hAnsi="Arial" w:cs="Arial"/>
                <w:b/>
              </w:rPr>
            </w:pPr>
          </w:p>
        </w:tc>
        <w:tc>
          <w:tcPr>
            <w:tcW w:w="2410" w:type="dxa"/>
            <w:shd w:val="clear" w:color="auto" w:fill="00B050"/>
          </w:tcPr>
          <w:p w14:paraId="24A4D7FE" w14:textId="617311ED" w:rsidR="00D85F2D" w:rsidRDefault="00A71F7B" w:rsidP="009167AE">
            <w:pPr>
              <w:jc w:val="center"/>
              <w:rPr>
                <w:rFonts w:ascii="Arial" w:eastAsia="Batang" w:hAnsi="Arial" w:cs="Arial"/>
                <w:b/>
                <w:bCs/>
              </w:rPr>
            </w:pPr>
            <w:r w:rsidRPr="00803C71">
              <w:rPr>
                <w:rFonts w:ascii="Arial" w:eastAsia="Batang" w:hAnsi="Arial" w:cs="Arial"/>
                <w:b/>
                <w:bCs/>
              </w:rPr>
              <w:t>[PASS]</w:t>
            </w:r>
            <w:r w:rsidR="007A410C">
              <w:rPr>
                <w:rFonts w:ascii="Arial" w:eastAsia="Batang" w:hAnsi="Arial" w:cs="Arial"/>
                <w:b/>
                <w:bCs/>
              </w:rPr>
              <w:t>:</w:t>
            </w:r>
          </w:p>
          <w:p w14:paraId="252DB803" w14:textId="418EF6F4" w:rsidR="00A71F7B" w:rsidRPr="00803C71" w:rsidRDefault="007A410C" w:rsidP="009167AE">
            <w:pPr>
              <w:jc w:val="center"/>
              <w:rPr>
                <w:rFonts w:ascii="Arial" w:eastAsia="Batang" w:hAnsi="Arial" w:cs="Arial"/>
              </w:rPr>
            </w:pPr>
            <w:r>
              <w:rPr>
                <w:rFonts w:ascii="Arial" w:eastAsia="Batang" w:hAnsi="Arial" w:cs="Arial"/>
                <w:b/>
                <w:bCs/>
              </w:rPr>
              <w:t>15-13</w:t>
            </w:r>
          </w:p>
        </w:tc>
        <w:tc>
          <w:tcPr>
            <w:tcW w:w="1276" w:type="dxa"/>
            <w:tcBorders>
              <w:bottom w:val="nil"/>
            </w:tcBorders>
            <w:shd w:val="clear" w:color="auto" w:fill="00B050"/>
          </w:tcPr>
          <w:p w14:paraId="65F91F3B" w14:textId="656CF101" w:rsidR="00A71F7B" w:rsidRPr="00803C71" w:rsidRDefault="00A71F7B" w:rsidP="009167AE">
            <w:pPr>
              <w:jc w:val="center"/>
              <w:rPr>
                <w:rFonts w:ascii="Arial" w:eastAsia="Batang" w:hAnsi="Arial" w:cs="Arial"/>
              </w:rPr>
            </w:pPr>
            <w:r w:rsidRPr="00803C71">
              <w:rPr>
                <w:rFonts w:ascii="Arial" w:eastAsia="Batang" w:hAnsi="Arial" w:cs="Arial"/>
                <w:b/>
                <w:bCs/>
              </w:rPr>
              <w:t>[PASS]</w:t>
            </w:r>
            <w:r w:rsidR="007A410C">
              <w:rPr>
                <w:rFonts w:ascii="Arial" w:eastAsia="Batang" w:hAnsi="Arial" w:cs="Arial"/>
                <w:b/>
                <w:bCs/>
              </w:rPr>
              <w:t>: 12-10</w:t>
            </w:r>
          </w:p>
        </w:tc>
        <w:tc>
          <w:tcPr>
            <w:tcW w:w="1984" w:type="dxa"/>
            <w:shd w:val="clear" w:color="auto" w:fill="FF0000"/>
          </w:tcPr>
          <w:p w14:paraId="12EA4CBF" w14:textId="7E36DAF7"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213019F7" w14:textId="13B49CA6" w:rsidR="00A71F7B" w:rsidRPr="00803C71" w:rsidRDefault="00D85F2D" w:rsidP="009167AE">
            <w:pPr>
              <w:jc w:val="center"/>
              <w:rPr>
                <w:rFonts w:ascii="Arial" w:eastAsia="Batang" w:hAnsi="Arial" w:cs="Arial"/>
              </w:rPr>
            </w:pPr>
            <w:r>
              <w:rPr>
                <w:rFonts w:ascii="Arial" w:eastAsia="Batang" w:hAnsi="Arial" w:cs="Arial"/>
                <w:b/>
                <w:bCs/>
              </w:rPr>
              <w:t>9-7</w:t>
            </w:r>
          </w:p>
        </w:tc>
        <w:tc>
          <w:tcPr>
            <w:tcW w:w="1134" w:type="dxa"/>
            <w:shd w:val="clear" w:color="auto" w:fill="FF0000"/>
          </w:tcPr>
          <w:p w14:paraId="08FAAC67" w14:textId="24839E29"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4D60D20D" w14:textId="4A004F9A" w:rsidR="00A71F7B" w:rsidRPr="00803C71" w:rsidRDefault="00D85F2D" w:rsidP="009167AE">
            <w:pPr>
              <w:jc w:val="center"/>
              <w:rPr>
                <w:rFonts w:ascii="Arial" w:eastAsia="Batang" w:hAnsi="Arial" w:cs="Arial"/>
              </w:rPr>
            </w:pPr>
            <w:r>
              <w:rPr>
                <w:rFonts w:ascii="Arial" w:eastAsia="Batang" w:hAnsi="Arial" w:cs="Arial"/>
                <w:b/>
                <w:bCs/>
              </w:rPr>
              <w:t>6-4</w:t>
            </w:r>
          </w:p>
        </w:tc>
        <w:tc>
          <w:tcPr>
            <w:tcW w:w="1843" w:type="dxa"/>
            <w:shd w:val="clear" w:color="auto" w:fill="FF0000"/>
          </w:tcPr>
          <w:p w14:paraId="761B17F9" w14:textId="68574CAE" w:rsidR="00A71F7B"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166714D7" w14:textId="589C3E81" w:rsidR="00D85F2D" w:rsidRPr="00803C71" w:rsidRDefault="009167AE" w:rsidP="009167AE">
            <w:pPr>
              <w:jc w:val="center"/>
              <w:rPr>
                <w:rFonts w:ascii="Arial" w:eastAsia="Batang" w:hAnsi="Arial" w:cs="Arial"/>
              </w:rPr>
            </w:pPr>
            <w:r>
              <w:rPr>
                <w:rFonts w:ascii="Arial" w:eastAsia="Batang" w:hAnsi="Arial" w:cs="Arial"/>
                <w:b/>
                <w:bCs/>
              </w:rPr>
              <w:t>3-1</w:t>
            </w:r>
          </w:p>
        </w:tc>
        <w:tc>
          <w:tcPr>
            <w:tcW w:w="1984" w:type="dxa"/>
            <w:shd w:val="clear" w:color="auto" w:fill="FF0000"/>
          </w:tcPr>
          <w:p w14:paraId="6D6DF305" w14:textId="78259B7B" w:rsidR="009167AE" w:rsidRDefault="00A71F7B" w:rsidP="009167AE">
            <w:pPr>
              <w:jc w:val="center"/>
              <w:rPr>
                <w:rFonts w:ascii="Arial" w:eastAsia="Batang" w:hAnsi="Arial" w:cs="Arial"/>
                <w:b/>
                <w:bCs/>
              </w:rPr>
            </w:pPr>
            <w:r w:rsidRPr="00803C71">
              <w:rPr>
                <w:rFonts w:ascii="Arial" w:eastAsia="Batang" w:hAnsi="Arial" w:cs="Arial"/>
                <w:b/>
                <w:bCs/>
              </w:rPr>
              <w:t>[FAIL]</w:t>
            </w:r>
            <w:r w:rsidR="009167AE">
              <w:rPr>
                <w:rFonts w:ascii="Arial" w:eastAsia="Batang" w:hAnsi="Arial" w:cs="Arial"/>
                <w:b/>
                <w:bCs/>
              </w:rPr>
              <w:t>:</w:t>
            </w:r>
          </w:p>
          <w:p w14:paraId="0B9746F6" w14:textId="2E10FEAA" w:rsidR="009167AE" w:rsidRPr="009167AE" w:rsidRDefault="009167AE" w:rsidP="009167AE">
            <w:pPr>
              <w:jc w:val="center"/>
              <w:rPr>
                <w:rFonts w:ascii="Arial" w:eastAsia="Batang" w:hAnsi="Arial" w:cs="Arial"/>
                <w:b/>
                <w:bCs/>
              </w:rPr>
            </w:pPr>
            <w:r>
              <w:rPr>
                <w:rFonts w:ascii="Arial" w:eastAsia="Batang" w:hAnsi="Arial" w:cs="Arial"/>
                <w:b/>
                <w:bCs/>
              </w:rPr>
              <w:t>0</w:t>
            </w:r>
          </w:p>
        </w:tc>
        <w:tc>
          <w:tcPr>
            <w:tcW w:w="851" w:type="dxa"/>
            <w:vMerge w:val="restart"/>
          </w:tcPr>
          <w:p w14:paraId="458A1073" w14:textId="77777777" w:rsidR="00A71F7B" w:rsidRPr="00803C71" w:rsidRDefault="00A71F7B" w:rsidP="001148B4">
            <w:pPr>
              <w:rPr>
                <w:rFonts w:ascii="Arial" w:eastAsia="Batang" w:hAnsi="Arial" w:cs="Arial"/>
              </w:rPr>
            </w:pPr>
          </w:p>
          <w:p w14:paraId="5CA5F7BF" w14:textId="2505870C" w:rsidR="00A71F7B" w:rsidRPr="00803C71" w:rsidRDefault="00A71F7B" w:rsidP="001148B4">
            <w:pPr>
              <w:rPr>
                <w:rFonts w:ascii="Arial" w:eastAsia="Batang" w:hAnsi="Arial" w:cs="Arial"/>
              </w:rPr>
            </w:pPr>
            <w:r w:rsidRPr="00803C71">
              <w:rPr>
                <w:rFonts w:ascii="Arial" w:eastAsia="Batang" w:hAnsi="Arial" w:cs="Arial"/>
              </w:rPr>
              <w:t xml:space="preserve">Pass </w:t>
            </w:r>
            <w:r w:rsidR="000711B2">
              <w:rPr>
                <w:rFonts w:ascii="Arial" w:eastAsia="Batang" w:hAnsi="Arial" w:cs="Arial"/>
              </w:rPr>
              <w:t xml:space="preserve">(10-15) </w:t>
            </w:r>
            <w:r w:rsidRPr="00803C71">
              <w:rPr>
                <w:rFonts w:ascii="Arial" w:eastAsia="Batang" w:hAnsi="Arial" w:cs="Arial"/>
              </w:rPr>
              <w:t xml:space="preserve">or Fail </w:t>
            </w:r>
            <w:r w:rsidR="000711B2">
              <w:rPr>
                <w:rFonts w:ascii="Arial" w:eastAsia="Batang" w:hAnsi="Arial" w:cs="Arial"/>
              </w:rPr>
              <w:t>(</w:t>
            </w:r>
            <w:r w:rsidR="00D553CB">
              <w:rPr>
                <w:rFonts w:ascii="Arial" w:eastAsia="Batang" w:hAnsi="Arial" w:cs="Arial"/>
              </w:rPr>
              <w:t>0-9)</w:t>
            </w:r>
          </w:p>
        </w:tc>
      </w:tr>
      <w:tr w:rsidR="00A71F7B" w:rsidRPr="00803C71" w14:paraId="3A753BF7" w14:textId="77777777" w:rsidTr="00CA6C6D">
        <w:trPr>
          <w:trHeight w:val="703"/>
          <w:jc w:val="center"/>
        </w:trPr>
        <w:tc>
          <w:tcPr>
            <w:tcW w:w="3544" w:type="dxa"/>
            <w:vMerge/>
            <w:shd w:val="clear" w:color="auto" w:fill="D9D9D9" w:themeFill="background1" w:themeFillShade="D9"/>
          </w:tcPr>
          <w:p w14:paraId="340D9578" w14:textId="77777777" w:rsidR="00A71F7B" w:rsidRPr="00803C71" w:rsidRDefault="00A71F7B" w:rsidP="001148B4">
            <w:pPr>
              <w:rPr>
                <w:rFonts w:ascii="Arial" w:eastAsia="Batang" w:hAnsi="Arial" w:cs="Arial"/>
                <w:b/>
              </w:rPr>
            </w:pPr>
          </w:p>
        </w:tc>
        <w:tc>
          <w:tcPr>
            <w:tcW w:w="2410" w:type="dxa"/>
          </w:tcPr>
          <w:p w14:paraId="082BF8C2" w14:textId="77777777" w:rsidR="00A71F7B" w:rsidRPr="00803C71" w:rsidRDefault="00A71F7B" w:rsidP="001148B4">
            <w:pPr>
              <w:rPr>
                <w:rFonts w:ascii="Arial" w:eastAsia="Batang" w:hAnsi="Arial" w:cs="Arial"/>
              </w:rPr>
            </w:pPr>
            <w:r w:rsidRPr="00803C71">
              <w:rPr>
                <w:rFonts w:ascii="Arial" w:eastAsia="Batang" w:hAnsi="Arial" w:cs="Arial"/>
              </w:rPr>
              <w:t>Very strong fit and strong evidence of need and rationale for intervention</w:t>
            </w:r>
          </w:p>
          <w:p w14:paraId="19F2EDFD" w14:textId="77777777" w:rsidR="00A71F7B" w:rsidRPr="00803C71" w:rsidRDefault="00A71F7B" w:rsidP="001148B4">
            <w:pPr>
              <w:rPr>
                <w:rFonts w:ascii="Arial" w:eastAsia="Batang" w:hAnsi="Arial" w:cs="Arial"/>
                <w:b/>
                <w:bCs/>
              </w:rPr>
            </w:pPr>
          </w:p>
        </w:tc>
        <w:tc>
          <w:tcPr>
            <w:tcW w:w="1276" w:type="dxa"/>
          </w:tcPr>
          <w:p w14:paraId="17A0CFA4" w14:textId="77777777" w:rsidR="00A71F7B" w:rsidRPr="00803C71" w:rsidRDefault="00A71F7B" w:rsidP="001148B4">
            <w:pPr>
              <w:rPr>
                <w:rFonts w:ascii="Arial" w:eastAsia="Batang" w:hAnsi="Arial" w:cs="Arial"/>
                <w:b/>
                <w:bCs/>
              </w:rPr>
            </w:pPr>
          </w:p>
        </w:tc>
        <w:tc>
          <w:tcPr>
            <w:tcW w:w="1984" w:type="dxa"/>
          </w:tcPr>
          <w:p w14:paraId="0F4A7A0F" w14:textId="77777777" w:rsidR="00A71F7B" w:rsidRPr="00803C71" w:rsidRDefault="00A71F7B" w:rsidP="001148B4">
            <w:pPr>
              <w:rPr>
                <w:rFonts w:ascii="Arial" w:eastAsia="Batang" w:hAnsi="Arial" w:cs="Arial"/>
              </w:rPr>
            </w:pPr>
            <w:r w:rsidRPr="00803C71">
              <w:rPr>
                <w:rFonts w:ascii="Arial" w:eastAsia="Batang" w:hAnsi="Arial" w:cs="Arial"/>
              </w:rPr>
              <w:t>Moderate fit with limited evidence of need or rationale for intervention</w:t>
            </w:r>
          </w:p>
        </w:tc>
        <w:tc>
          <w:tcPr>
            <w:tcW w:w="1134" w:type="dxa"/>
          </w:tcPr>
          <w:p w14:paraId="37393CC2" w14:textId="77777777" w:rsidR="00A71F7B" w:rsidRPr="00803C71" w:rsidRDefault="00A71F7B" w:rsidP="001148B4">
            <w:pPr>
              <w:rPr>
                <w:rFonts w:ascii="Arial" w:eastAsia="Batang" w:hAnsi="Arial" w:cs="Arial"/>
                <w:b/>
                <w:bCs/>
              </w:rPr>
            </w:pPr>
          </w:p>
        </w:tc>
        <w:tc>
          <w:tcPr>
            <w:tcW w:w="1843" w:type="dxa"/>
          </w:tcPr>
          <w:p w14:paraId="29DCB7DE" w14:textId="77777777" w:rsidR="00A71F7B" w:rsidRPr="00803C71" w:rsidRDefault="00A71F7B" w:rsidP="001148B4">
            <w:pPr>
              <w:rPr>
                <w:rFonts w:ascii="Arial" w:eastAsia="Batang" w:hAnsi="Arial" w:cs="Arial"/>
              </w:rPr>
            </w:pPr>
            <w:r w:rsidRPr="00803C71">
              <w:rPr>
                <w:rFonts w:ascii="Arial" w:eastAsia="Batang" w:hAnsi="Arial" w:cs="Arial"/>
              </w:rPr>
              <w:t>Low fit with poor evidence of need and rationale for the intervention.</w:t>
            </w:r>
          </w:p>
        </w:tc>
        <w:tc>
          <w:tcPr>
            <w:tcW w:w="1984" w:type="dxa"/>
          </w:tcPr>
          <w:p w14:paraId="13868DE0" w14:textId="77777777" w:rsidR="00A71F7B" w:rsidRPr="00803C71" w:rsidRDefault="00A71F7B" w:rsidP="001148B4">
            <w:pPr>
              <w:rPr>
                <w:rFonts w:ascii="Arial" w:eastAsia="Batang" w:hAnsi="Arial" w:cs="Arial"/>
              </w:rPr>
            </w:pPr>
            <w:r w:rsidRPr="00803C71">
              <w:rPr>
                <w:rFonts w:ascii="Arial" w:eastAsia="Batang" w:hAnsi="Arial" w:cs="Arial"/>
              </w:rPr>
              <w:t xml:space="preserve">No fit with no evidence of need or rationale. </w:t>
            </w:r>
          </w:p>
        </w:tc>
        <w:tc>
          <w:tcPr>
            <w:tcW w:w="851" w:type="dxa"/>
            <w:vMerge/>
          </w:tcPr>
          <w:p w14:paraId="2BFD9621" w14:textId="77777777" w:rsidR="00A71F7B" w:rsidRPr="00803C71" w:rsidRDefault="00A71F7B" w:rsidP="001148B4">
            <w:pPr>
              <w:rPr>
                <w:rFonts w:ascii="Arial" w:eastAsia="Batang" w:hAnsi="Arial" w:cs="Arial"/>
              </w:rPr>
            </w:pPr>
          </w:p>
        </w:tc>
      </w:tr>
      <w:tr w:rsidR="00D553CB" w:rsidRPr="00803C71" w14:paraId="399D3C65" w14:textId="77777777" w:rsidTr="00CA6C6D">
        <w:trPr>
          <w:trHeight w:val="169"/>
          <w:jc w:val="center"/>
        </w:trPr>
        <w:tc>
          <w:tcPr>
            <w:tcW w:w="3544" w:type="dxa"/>
            <w:vMerge w:val="restart"/>
            <w:shd w:val="clear" w:color="auto" w:fill="D9D9D9" w:themeFill="background1" w:themeFillShade="D9"/>
          </w:tcPr>
          <w:p w14:paraId="0039C530" w14:textId="77777777" w:rsidR="00B01B1A" w:rsidRDefault="00B151E5" w:rsidP="005A0F29">
            <w:pPr>
              <w:pStyle w:val="paragraph"/>
              <w:spacing w:before="0" w:beforeAutospacing="0" w:after="0" w:afterAutospacing="0"/>
              <w:textAlignment w:val="baseline"/>
              <w:rPr>
                <w:rFonts w:ascii="Arial" w:eastAsia="Batang" w:hAnsi="Arial" w:cs="Arial"/>
                <w:b/>
                <w:sz w:val="22"/>
                <w:szCs w:val="22"/>
              </w:rPr>
            </w:pPr>
            <w:r w:rsidRPr="005A0F29">
              <w:rPr>
                <w:rFonts w:ascii="Arial" w:eastAsia="Batang" w:hAnsi="Arial" w:cs="Arial"/>
                <w:b/>
                <w:sz w:val="22"/>
                <w:szCs w:val="22"/>
              </w:rPr>
              <w:t>Delivery of desired o</w:t>
            </w:r>
            <w:r w:rsidR="00D553CB" w:rsidRPr="005A0F29">
              <w:rPr>
                <w:rFonts w:ascii="Arial" w:eastAsia="Batang" w:hAnsi="Arial" w:cs="Arial"/>
                <w:b/>
                <w:sz w:val="22"/>
                <w:szCs w:val="22"/>
              </w:rPr>
              <w:t xml:space="preserve">utcomes </w:t>
            </w:r>
          </w:p>
          <w:p w14:paraId="31DAFD08" w14:textId="77777777" w:rsidR="00B01B1A" w:rsidRDefault="00B01B1A" w:rsidP="005A0F29">
            <w:pPr>
              <w:pStyle w:val="paragraph"/>
              <w:spacing w:before="0" w:beforeAutospacing="0" w:after="0" w:afterAutospacing="0"/>
              <w:textAlignment w:val="baseline"/>
              <w:rPr>
                <w:rFonts w:ascii="Arial" w:eastAsia="Batang" w:hAnsi="Arial" w:cs="Arial"/>
                <w:b/>
                <w:sz w:val="22"/>
                <w:szCs w:val="22"/>
              </w:rPr>
            </w:pPr>
          </w:p>
          <w:p w14:paraId="63746A5D" w14:textId="434E673A" w:rsidR="005A0F29" w:rsidRPr="00B01B1A" w:rsidRDefault="00B01B1A" w:rsidP="005A0F29">
            <w:pPr>
              <w:pStyle w:val="paragraph"/>
              <w:spacing w:before="0" w:beforeAutospacing="0" w:after="0" w:afterAutospacing="0"/>
              <w:textAlignment w:val="baseline"/>
              <w:rPr>
                <w:rFonts w:ascii="Arial" w:hAnsi="Arial" w:cs="Arial"/>
                <w:bCs/>
                <w:sz w:val="22"/>
                <w:szCs w:val="22"/>
              </w:rPr>
            </w:pPr>
            <w:r w:rsidRPr="00B01B1A">
              <w:rPr>
                <w:rFonts w:ascii="Arial" w:eastAsia="Batang" w:hAnsi="Arial" w:cs="Arial"/>
                <w:bCs/>
                <w:sz w:val="22"/>
                <w:szCs w:val="22"/>
              </w:rPr>
              <w:t>D</w:t>
            </w:r>
            <w:r w:rsidR="005A0F29" w:rsidRPr="00B01B1A">
              <w:rPr>
                <w:rFonts w:ascii="Arial" w:hAnsi="Arial" w:cs="Arial"/>
                <w:bCs/>
                <w:color w:val="000000"/>
                <w:sz w:val="22"/>
                <w:szCs w:val="22"/>
              </w:rPr>
              <w:t xml:space="preserve">emonstration of clear knowledge of the </w:t>
            </w:r>
            <w:r w:rsidR="005A0F29" w:rsidRPr="00B01B1A">
              <w:rPr>
                <w:rFonts w:ascii="Arial" w:hAnsi="Arial" w:cs="Arial"/>
                <w:bCs/>
                <w:sz w:val="22"/>
                <w:szCs w:val="22"/>
              </w:rPr>
              <w:t xml:space="preserve">Low Carbon and Renewable Energy Economy in the NTCA area; and </w:t>
            </w:r>
          </w:p>
          <w:p w14:paraId="04215E83" w14:textId="77777777" w:rsidR="005A0F29" w:rsidRPr="00B01B1A" w:rsidRDefault="005A0F29" w:rsidP="005A0F29">
            <w:pPr>
              <w:autoSpaceDE w:val="0"/>
              <w:autoSpaceDN w:val="0"/>
              <w:adjustRightInd w:val="0"/>
              <w:rPr>
                <w:rFonts w:ascii="Arial" w:hAnsi="Arial" w:cs="Arial"/>
                <w:bCs/>
                <w:color w:val="000000"/>
              </w:rPr>
            </w:pPr>
            <w:r w:rsidRPr="00B01B1A">
              <w:rPr>
                <w:rFonts w:ascii="Arial" w:hAnsi="Arial" w:cs="Arial"/>
                <w:bCs/>
                <w:color w:val="000000"/>
              </w:rPr>
              <w:t xml:space="preserve">Clear alignment of proposals with the overarching principles and funding priorities set out in the call definition document. </w:t>
            </w:r>
          </w:p>
          <w:p w14:paraId="166CD89A" w14:textId="77777777" w:rsidR="00D553CB" w:rsidRDefault="00D553CB" w:rsidP="00D553CB">
            <w:pPr>
              <w:rPr>
                <w:rFonts w:ascii="Arial" w:eastAsia="Batang" w:hAnsi="Arial" w:cs="Arial"/>
                <w:b/>
              </w:rPr>
            </w:pPr>
          </w:p>
          <w:p w14:paraId="3E8A539D" w14:textId="3929DF6B" w:rsidR="00B01B1A" w:rsidRPr="00803C71" w:rsidRDefault="00B01B1A" w:rsidP="00D553CB">
            <w:pPr>
              <w:rPr>
                <w:rFonts w:ascii="Arial" w:eastAsia="Batang" w:hAnsi="Arial" w:cs="Arial"/>
                <w:b/>
              </w:rPr>
            </w:pPr>
          </w:p>
        </w:tc>
        <w:tc>
          <w:tcPr>
            <w:tcW w:w="2410" w:type="dxa"/>
            <w:shd w:val="clear" w:color="auto" w:fill="00B050"/>
          </w:tcPr>
          <w:p w14:paraId="3B5379F6" w14:textId="09473CEE"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5BB6828E" w14:textId="76DDF02A" w:rsidR="00D553CB" w:rsidRPr="00803C71" w:rsidRDefault="00D553CB" w:rsidP="00D553CB">
            <w:pPr>
              <w:jc w:val="center"/>
              <w:rPr>
                <w:rFonts w:ascii="Arial" w:eastAsia="Batang" w:hAnsi="Arial" w:cs="Arial"/>
              </w:rPr>
            </w:pPr>
            <w:r>
              <w:rPr>
                <w:rFonts w:ascii="Arial" w:eastAsia="Batang" w:hAnsi="Arial" w:cs="Arial"/>
                <w:b/>
                <w:bCs/>
              </w:rPr>
              <w:t>15-13</w:t>
            </w:r>
          </w:p>
        </w:tc>
        <w:tc>
          <w:tcPr>
            <w:tcW w:w="1276" w:type="dxa"/>
            <w:shd w:val="clear" w:color="auto" w:fill="00B050"/>
          </w:tcPr>
          <w:p w14:paraId="2DD4FABE" w14:textId="77777777"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03BB573C" w14:textId="478AB29A" w:rsidR="00D553CB" w:rsidRPr="00803C71" w:rsidRDefault="00D553CB" w:rsidP="00D553CB">
            <w:pPr>
              <w:jc w:val="center"/>
              <w:rPr>
                <w:rFonts w:ascii="Arial" w:eastAsia="Batang" w:hAnsi="Arial" w:cs="Arial"/>
              </w:rPr>
            </w:pPr>
            <w:r>
              <w:rPr>
                <w:rFonts w:ascii="Arial" w:eastAsia="Batang" w:hAnsi="Arial" w:cs="Arial"/>
                <w:b/>
                <w:bCs/>
              </w:rPr>
              <w:t>12-10</w:t>
            </w:r>
          </w:p>
        </w:tc>
        <w:tc>
          <w:tcPr>
            <w:tcW w:w="1984" w:type="dxa"/>
            <w:shd w:val="clear" w:color="auto" w:fill="00B050"/>
          </w:tcPr>
          <w:p w14:paraId="6E362E94" w14:textId="50F26985"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450E3D83" w14:textId="789E5BD7" w:rsidR="00D553CB" w:rsidRPr="00803C71" w:rsidRDefault="00D553CB" w:rsidP="00D553CB">
            <w:pPr>
              <w:jc w:val="center"/>
              <w:rPr>
                <w:rFonts w:ascii="Arial" w:eastAsia="Batang" w:hAnsi="Arial" w:cs="Arial"/>
              </w:rPr>
            </w:pPr>
            <w:r>
              <w:rPr>
                <w:rFonts w:ascii="Arial" w:eastAsia="Batang" w:hAnsi="Arial" w:cs="Arial"/>
                <w:b/>
                <w:bCs/>
              </w:rPr>
              <w:t>9-7</w:t>
            </w:r>
          </w:p>
        </w:tc>
        <w:tc>
          <w:tcPr>
            <w:tcW w:w="1134" w:type="dxa"/>
            <w:shd w:val="clear" w:color="auto" w:fill="FF0000"/>
          </w:tcPr>
          <w:p w14:paraId="1DD2CDB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4E5AA494" w14:textId="072294F0" w:rsidR="00D553CB" w:rsidRPr="00803C71" w:rsidRDefault="00D553CB" w:rsidP="00D553CB">
            <w:pPr>
              <w:jc w:val="center"/>
              <w:rPr>
                <w:rFonts w:ascii="Arial" w:eastAsia="Batang" w:hAnsi="Arial" w:cs="Arial"/>
              </w:rPr>
            </w:pPr>
            <w:r>
              <w:rPr>
                <w:rFonts w:ascii="Arial" w:eastAsia="Batang" w:hAnsi="Arial" w:cs="Arial"/>
                <w:b/>
                <w:bCs/>
              </w:rPr>
              <w:t>6-4</w:t>
            </w:r>
          </w:p>
        </w:tc>
        <w:tc>
          <w:tcPr>
            <w:tcW w:w="1843" w:type="dxa"/>
            <w:shd w:val="clear" w:color="auto" w:fill="FF0000"/>
          </w:tcPr>
          <w:p w14:paraId="0E108F6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0668A161" w14:textId="10C68299" w:rsidR="00D553CB" w:rsidRPr="00803C71" w:rsidRDefault="00D553CB" w:rsidP="00D553CB">
            <w:pPr>
              <w:jc w:val="center"/>
              <w:rPr>
                <w:rFonts w:ascii="Arial" w:eastAsia="Batang" w:hAnsi="Arial" w:cs="Arial"/>
              </w:rPr>
            </w:pPr>
            <w:r>
              <w:rPr>
                <w:rFonts w:ascii="Arial" w:eastAsia="Batang" w:hAnsi="Arial" w:cs="Arial"/>
                <w:b/>
                <w:bCs/>
              </w:rPr>
              <w:t>3-1</w:t>
            </w:r>
          </w:p>
        </w:tc>
        <w:tc>
          <w:tcPr>
            <w:tcW w:w="1984" w:type="dxa"/>
            <w:shd w:val="clear" w:color="auto" w:fill="FF0000"/>
          </w:tcPr>
          <w:p w14:paraId="08F217A8"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7703B105" w14:textId="4A8247F2" w:rsidR="00D553CB" w:rsidRPr="00803C71" w:rsidRDefault="00D553CB" w:rsidP="00D553CB">
            <w:pPr>
              <w:jc w:val="center"/>
              <w:rPr>
                <w:rFonts w:ascii="Arial" w:eastAsia="Batang" w:hAnsi="Arial" w:cs="Arial"/>
              </w:rPr>
            </w:pPr>
            <w:r>
              <w:rPr>
                <w:rFonts w:ascii="Arial" w:eastAsia="Batang" w:hAnsi="Arial" w:cs="Arial"/>
                <w:b/>
                <w:bCs/>
              </w:rPr>
              <w:t>0</w:t>
            </w:r>
          </w:p>
        </w:tc>
        <w:tc>
          <w:tcPr>
            <w:tcW w:w="851" w:type="dxa"/>
            <w:vMerge w:val="restart"/>
          </w:tcPr>
          <w:p w14:paraId="4FA26414" w14:textId="77777777" w:rsidR="00D553CB" w:rsidRPr="00803C71" w:rsidRDefault="00D553CB" w:rsidP="00D553CB">
            <w:pPr>
              <w:rPr>
                <w:rFonts w:ascii="Arial" w:eastAsia="Batang" w:hAnsi="Arial" w:cs="Arial"/>
              </w:rPr>
            </w:pPr>
          </w:p>
          <w:p w14:paraId="327E7D64" w14:textId="5B0EEBEA" w:rsidR="00D553CB" w:rsidRPr="00803C71" w:rsidRDefault="00D553CB" w:rsidP="00D553CB">
            <w:pPr>
              <w:rPr>
                <w:rFonts w:ascii="Arial" w:eastAsia="Batang" w:hAnsi="Arial" w:cs="Arial"/>
              </w:rPr>
            </w:pPr>
            <w:r w:rsidRPr="00803C71">
              <w:rPr>
                <w:rFonts w:ascii="Arial" w:eastAsia="Batang" w:hAnsi="Arial" w:cs="Arial"/>
              </w:rPr>
              <w:t xml:space="preserve">Pass </w:t>
            </w:r>
            <w:r>
              <w:rPr>
                <w:rFonts w:ascii="Arial" w:eastAsia="Batang" w:hAnsi="Arial" w:cs="Arial"/>
              </w:rPr>
              <w:t>(</w:t>
            </w:r>
            <w:r w:rsidR="001C183A">
              <w:rPr>
                <w:rFonts w:ascii="Arial" w:eastAsia="Batang" w:hAnsi="Arial" w:cs="Arial"/>
              </w:rPr>
              <w:t>15-7</w:t>
            </w:r>
            <w:r>
              <w:rPr>
                <w:rFonts w:ascii="Arial" w:eastAsia="Batang" w:hAnsi="Arial" w:cs="Arial"/>
              </w:rPr>
              <w:t xml:space="preserve">) </w:t>
            </w:r>
            <w:r w:rsidRPr="00803C71">
              <w:rPr>
                <w:rFonts w:ascii="Arial" w:eastAsia="Batang" w:hAnsi="Arial" w:cs="Arial"/>
              </w:rPr>
              <w:t xml:space="preserve">or Fail </w:t>
            </w:r>
            <w:r>
              <w:rPr>
                <w:rFonts w:ascii="Arial" w:eastAsia="Batang" w:hAnsi="Arial" w:cs="Arial"/>
              </w:rPr>
              <w:t>(0-</w:t>
            </w:r>
            <w:r w:rsidR="001C183A">
              <w:rPr>
                <w:rFonts w:ascii="Arial" w:eastAsia="Batang" w:hAnsi="Arial" w:cs="Arial"/>
              </w:rPr>
              <w:t>6</w:t>
            </w:r>
            <w:r>
              <w:rPr>
                <w:rFonts w:ascii="Arial" w:eastAsia="Batang" w:hAnsi="Arial" w:cs="Arial"/>
              </w:rPr>
              <w:t>)</w:t>
            </w:r>
          </w:p>
        </w:tc>
      </w:tr>
      <w:tr w:rsidR="00D553CB" w:rsidRPr="00803C71" w14:paraId="2C087749" w14:textId="77777777" w:rsidTr="00CA6C6D">
        <w:trPr>
          <w:trHeight w:val="239"/>
          <w:jc w:val="center"/>
        </w:trPr>
        <w:tc>
          <w:tcPr>
            <w:tcW w:w="3544" w:type="dxa"/>
            <w:vMerge/>
            <w:shd w:val="clear" w:color="auto" w:fill="D9D9D9" w:themeFill="background1" w:themeFillShade="D9"/>
          </w:tcPr>
          <w:p w14:paraId="6022CB14" w14:textId="77777777" w:rsidR="00D553CB" w:rsidRPr="00803C71" w:rsidRDefault="00D553CB" w:rsidP="00D553CB">
            <w:pPr>
              <w:rPr>
                <w:rFonts w:ascii="Arial" w:eastAsia="Batang" w:hAnsi="Arial" w:cs="Arial"/>
                <w:b/>
              </w:rPr>
            </w:pPr>
          </w:p>
        </w:tc>
        <w:tc>
          <w:tcPr>
            <w:tcW w:w="2410" w:type="dxa"/>
          </w:tcPr>
          <w:p w14:paraId="31D596AF" w14:textId="3D58D6A1" w:rsidR="00D553CB" w:rsidRPr="00803C71" w:rsidRDefault="00D553CB" w:rsidP="00D553CB">
            <w:pPr>
              <w:rPr>
                <w:rFonts w:ascii="Arial" w:eastAsia="Batang" w:hAnsi="Arial" w:cs="Arial"/>
              </w:rPr>
            </w:pPr>
            <w:r>
              <w:rPr>
                <w:rFonts w:ascii="Arial" w:eastAsia="Batang" w:hAnsi="Arial" w:cs="Arial"/>
              </w:rPr>
              <w:t xml:space="preserve">Very </w:t>
            </w:r>
            <w:r w:rsidR="00B151E5">
              <w:rPr>
                <w:rFonts w:ascii="Arial" w:eastAsia="Batang" w:hAnsi="Arial" w:cs="Arial"/>
              </w:rPr>
              <w:t>l</w:t>
            </w:r>
            <w:r>
              <w:rPr>
                <w:rFonts w:ascii="Arial" w:eastAsia="Batang" w:hAnsi="Arial" w:cs="Arial"/>
              </w:rPr>
              <w:t>ikely to deliver exceptional and relevant</w:t>
            </w:r>
            <w:r w:rsidRPr="00803C71">
              <w:rPr>
                <w:rFonts w:ascii="Arial" w:eastAsia="Batang" w:hAnsi="Arial" w:cs="Arial"/>
              </w:rPr>
              <w:t xml:space="preserve"> outcomes </w:t>
            </w:r>
          </w:p>
        </w:tc>
        <w:tc>
          <w:tcPr>
            <w:tcW w:w="1276" w:type="dxa"/>
          </w:tcPr>
          <w:p w14:paraId="6A0277EF" w14:textId="77777777" w:rsidR="00D553CB" w:rsidRPr="00803C71" w:rsidRDefault="00D553CB" w:rsidP="00D553CB">
            <w:pPr>
              <w:rPr>
                <w:rFonts w:ascii="Arial" w:eastAsia="Batang" w:hAnsi="Arial" w:cs="Arial"/>
              </w:rPr>
            </w:pPr>
          </w:p>
        </w:tc>
        <w:tc>
          <w:tcPr>
            <w:tcW w:w="1984" w:type="dxa"/>
          </w:tcPr>
          <w:p w14:paraId="7BC00D26" w14:textId="57F3F76B" w:rsidR="00D553CB" w:rsidRPr="00803C71" w:rsidRDefault="00D553CB" w:rsidP="00D553CB">
            <w:pPr>
              <w:rPr>
                <w:rFonts w:ascii="Arial" w:eastAsia="Batang" w:hAnsi="Arial" w:cs="Arial"/>
              </w:rPr>
            </w:pPr>
            <w:r w:rsidRPr="00803C71">
              <w:rPr>
                <w:rFonts w:ascii="Arial" w:eastAsia="Batang" w:hAnsi="Arial" w:cs="Arial"/>
              </w:rPr>
              <w:t xml:space="preserve">Likely to </w:t>
            </w:r>
            <w:r>
              <w:rPr>
                <w:rFonts w:ascii="Arial" w:eastAsia="Batang" w:hAnsi="Arial" w:cs="Arial"/>
              </w:rPr>
              <w:t>deliver a reasonable</w:t>
            </w:r>
            <w:r w:rsidRPr="00803C71">
              <w:rPr>
                <w:rFonts w:ascii="Arial" w:eastAsia="Batang" w:hAnsi="Arial" w:cs="Arial"/>
              </w:rPr>
              <w:t xml:space="preserve"> </w:t>
            </w:r>
            <w:r>
              <w:rPr>
                <w:rFonts w:ascii="Arial" w:eastAsia="Batang" w:hAnsi="Arial" w:cs="Arial"/>
              </w:rPr>
              <w:t xml:space="preserve">level of relevant </w:t>
            </w:r>
            <w:r w:rsidRPr="00803C71">
              <w:rPr>
                <w:rFonts w:ascii="Arial" w:eastAsia="Batang" w:hAnsi="Arial" w:cs="Arial"/>
              </w:rPr>
              <w:t>outcomes</w:t>
            </w:r>
          </w:p>
        </w:tc>
        <w:tc>
          <w:tcPr>
            <w:tcW w:w="1134" w:type="dxa"/>
          </w:tcPr>
          <w:p w14:paraId="11C55847" w14:textId="77777777" w:rsidR="00D553CB" w:rsidRPr="00803C71" w:rsidRDefault="00D553CB" w:rsidP="00D553CB">
            <w:pPr>
              <w:rPr>
                <w:rFonts w:ascii="Arial" w:eastAsia="Batang" w:hAnsi="Arial" w:cs="Arial"/>
              </w:rPr>
            </w:pPr>
          </w:p>
        </w:tc>
        <w:tc>
          <w:tcPr>
            <w:tcW w:w="1843" w:type="dxa"/>
          </w:tcPr>
          <w:p w14:paraId="5AD85DCE" w14:textId="6134492E" w:rsidR="00D553CB" w:rsidRPr="00803C71" w:rsidRDefault="00D553CB" w:rsidP="00D553CB">
            <w:pPr>
              <w:rPr>
                <w:rFonts w:ascii="Arial" w:eastAsia="Batang" w:hAnsi="Arial" w:cs="Arial"/>
              </w:rPr>
            </w:pPr>
            <w:r w:rsidRPr="00803C71">
              <w:rPr>
                <w:rFonts w:ascii="Arial" w:eastAsia="Batang" w:hAnsi="Arial" w:cs="Arial"/>
              </w:rPr>
              <w:t xml:space="preserve">Likely to provide limited outcomes </w:t>
            </w:r>
          </w:p>
        </w:tc>
        <w:tc>
          <w:tcPr>
            <w:tcW w:w="1984" w:type="dxa"/>
          </w:tcPr>
          <w:p w14:paraId="399382A6" w14:textId="3708CF35" w:rsidR="00D553CB" w:rsidRPr="00803C71" w:rsidRDefault="00D553CB" w:rsidP="00D553CB">
            <w:pPr>
              <w:rPr>
                <w:rFonts w:ascii="Arial" w:eastAsia="Batang" w:hAnsi="Arial" w:cs="Arial"/>
              </w:rPr>
            </w:pPr>
            <w:r w:rsidRPr="00803C71">
              <w:rPr>
                <w:rFonts w:ascii="Arial" w:eastAsia="Batang" w:hAnsi="Arial" w:cs="Arial"/>
              </w:rPr>
              <w:t>Unlikely to meet any of defined outcomes</w:t>
            </w:r>
          </w:p>
        </w:tc>
        <w:tc>
          <w:tcPr>
            <w:tcW w:w="851" w:type="dxa"/>
            <w:vMerge/>
          </w:tcPr>
          <w:p w14:paraId="6B07F9D6" w14:textId="77777777" w:rsidR="00D553CB" w:rsidRPr="00803C71" w:rsidRDefault="00D553CB" w:rsidP="00D553CB">
            <w:pPr>
              <w:rPr>
                <w:rFonts w:ascii="Arial" w:eastAsia="Batang" w:hAnsi="Arial" w:cs="Arial"/>
              </w:rPr>
            </w:pPr>
          </w:p>
        </w:tc>
      </w:tr>
      <w:tr w:rsidR="00D553CB" w:rsidRPr="00803C71" w14:paraId="3C171EDA" w14:textId="77777777" w:rsidTr="00CA6C6D">
        <w:trPr>
          <w:trHeight w:val="239"/>
          <w:jc w:val="center"/>
        </w:trPr>
        <w:tc>
          <w:tcPr>
            <w:tcW w:w="3544" w:type="dxa"/>
            <w:vMerge w:val="restart"/>
            <w:shd w:val="clear" w:color="auto" w:fill="D9D9D9" w:themeFill="background1" w:themeFillShade="D9"/>
          </w:tcPr>
          <w:p w14:paraId="268CF77B" w14:textId="77777777" w:rsidR="00D553CB" w:rsidRPr="00803C71" w:rsidRDefault="00D553CB" w:rsidP="00D553CB">
            <w:pPr>
              <w:rPr>
                <w:rFonts w:ascii="Arial" w:eastAsia="Batang" w:hAnsi="Arial" w:cs="Arial"/>
                <w:b/>
              </w:rPr>
            </w:pPr>
            <w:r>
              <w:rPr>
                <w:rFonts w:ascii="Arial" w:eastAsia="Batang" w:hAnsi="Arial" w:cs="Arial"/>
                <w:b/>
              </w:rPr>
              <w:lastRenderedPageBreak/>
              <w:t xml:space="preserve">Value for Money </w:t>
            </w:r>
          </w:p>
          <w:p w14:paraId="6A638885" w14:textId="1C13FEF2"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7794F2E" w14:textId="1B5AB112"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DF4AA9" w14:textId="3AF86098"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38402304" w14:textId="0BE6E3CE"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F8C2054" w14:textId="1DFF0226"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92D050"/>
          </w:tcPr>
          <w:p w14:paraId="0DC1021F" w14:textId="7DA485BC"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07B1D4D" w14:textId="6DD4DF6A"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4E1FFC19" w14:textId="65F733EE"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67FC8011" w14:textId="77777777" w:rsidTr="00CA6C6D">
        <w:trPr>
          <w:trHeight w:val="239"/>
          <w:jc w:val="center"/>
        </w:trPr>
        <w:tc>
          <w:tcPr>
            <w:tcW w:w="3544" w:type="dxa"/>
            <w:vMerge/>
            <w:shd w:val="clear" w:color="auto" w:fill="D9D9D9" w:themeFill="background1" w:themeFillShade="D9"/>
          </w:tcPr>
          <w:p w14:paraId="105AAB5A" w14:textId="7E6B3D7C" w:rsidR="00D553CB" w:rsidRDefault="00D553CB" w:rsidP="00D553CB">
            <w:pPr>
              <w:rPr>
                <w:rFonts w:ascii="Arial" w:eastAsia="Batang" w:hAnsi="Arial" w:cs="Arial"/>
                <w:b/>
              </w:rPr>
            </w:pPr>
          </w:p>
        </w:tc>
        <w:tc>
          <w:tcPr>
            <w:tcW w:w="2410" w:type="dxa"/>
          </w:tcPr>
          <w:p w14:paraId="016C55C5" w14:textId="40F32725" w:rsidR="00D553CB" w:rsidRPr="00803C71" w:rsidRDefault="00D553CB" w:rsidP="00D553CB">
            <w:pPr>
              <w:rPr>
                <w:rFonts w:ascii="Arial" w:eastAsia="Batang" w:hAnsi="Arial" w:cs="Arial"/>
              </w:rPr>
            </w:pPr>
            <w:r>
              <w:rPr>
                <w:rFonts w:ascii="Arial" w:eastAsia="Batang" w:hAnsi="Arial" w:cs="Arial"/>
              </w:rPr>
              <w:t>Exceptional value for money</w:t>
            </w:r>
            <w:r w:rsidR="00A36651">
              <w:rPr>
                <w:rFonts w:ascii="Arial" w:eastAsia="Batang" w:hAnsi="Arial" w:cs="Arial"/>
              </w:rPr>
              <w:t xml:space="preserve"> </w:t>
            </w:r>
          </w:p>
        </w:tc>
        <w:tc>
          <w:tcPr>
            <w:tcW w:w="1276" w:type="dxa"/>
          </w:tcPr>
          <w:p w14:paraId="34231147" w14:textId="713089CC" w:rsidR="00D553CB" w:rsidRPr="00803C71" w:rsidRDefault="00D553CB" w:rsidP="00D553CB">
            <w:pPr>
              <w:rPr>
                <w:rFonts w:ascii="Arial" w:eastAsia="Batang" w:hAnsi="Arial" w:cs="Arial"/>
              </w:rPr>
            </w:pPr>
            <w:r w:rsidRPr="00803C71">
              <w:rPr>
                <w:rFonts w:ascii="Arial" w:eastAsia="Batang" w:hAnsi="Arial" w:cs="Arial"/>
              </w:rPr>
              <w:t>potentially very good value for money</w:t>
            </w:r>
          </w:p>
        </w:tc>
        <w:tc>
          <w:tcPr>
            <w:tcW w:w="1984" w:type="dxa"/>
          </w:tcPr>
          <w:p w14:paraId="405A98CD" w14:textId="16E4B9C4" w:rsidR="00D553CB" w:rsidRPr="00803C71" w:rsidRDefault="00D553CB" w:rsidP="00D553CB">
            <w:pPr>
              <w:rPr>
                <w:rFonts w:ascii="Arial" w:eastAsia="Batang" w:hAnsi="Arial" w:cs="Arial"/>
              </w:rPr>
            </w:pPr>
            <w:r w:rsidRPr="00803C71">
              <w:rPr>
                <w:rFonts w:ascii="Arial" w:eastAsia="Batang" w:hAnsi="Arial" w:cs="Arial"/>
              </w:rPr>
              <w:t>represent</w:t>
            </w:r>
            <w:r>
              <w:rPr>
                <w:rFonts w:ascii="Arial" w:eastAsia="Batang" w:hAnsi="Arial" w:cs="Arial"/>
              </w:rPr>
              <w:t>s</w:t>
            </w:r>
            <w:r w:rsidRPr="00803C71">
              <w:rPr>
                <w:rFonts w:ascii="Arial" w:eastAsia="Batang" w:hAnsi="Arial" w:cs="Arial"/>
              </w:rPr>
              <w:t xml:space="preserve"> reasonable value for money</w:t>
            </w:r>
          </w:p>
        </w:tc>
        <w:tc>
          <w:tcPr>
            <w:tcW w:w="1134" w:type="dxa"/>
          </w:tcPr>
          <w:p w14:paraId="6EA4C4CD" w14:textId="4D211462"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tcPr>
          <w:p w14:paraId="421EEA34" w14:textId="7FA36F93" w:rsidR="00D553CB" w:rsidRPr="00803C71" w:rsidRDefault="00D553CB" w:rsidP="00D553CB">
            <w:pPr>
              <w:rPr>
                <w:rFonts w:ascii="Arial" w:eastAsia="Batang" w:hAnsi="Arial" w:cs="Arial"/>
              </w:rPr>
            </w:pPr>
            <w:r>
              <w:rPr>
                <w:rFonts w:ascii="Arial" w:eastAsia="Batang" w:hAnsi="Arial" w:cs="Arial"/>
              </w:rPr>
              <w:t>Offers less favourable value for money.</w:t>
            </w:r>
          </w:p>
        </w:tc>
        <w:tc>
          <w:tcPr>
            <w:tcW w:w="1984" w:type="dxa"/>
          </w:tcPr>
          <w:p w14:paraId="370B9EF0" w14:textId="088812B7" w:rsidR="00D553CB" w:rsidRPr="00803C71" w:rsidRDefault="00D553CB" w:rsidP="00D553CB">
            <w:pPr>
              <w:rPr>
                <w:rFonts w:ascii="Arial" w:eastAsia="Batang" w:hAnsi="Arial" w:cs="Arial"/>
              </w:rPr>
            </w:pPr>
            <w:r>
              <w:rPr>
                <w:rFonts w:ascii="Arial" w:eastAsia="Batang" w:hAnsi="Arial" w:cs="Arial"/>
              </w:rPr>
              <w:t xml:space="preserve">Unlikely to offer any value for money. </w:t>
            </w:r>
          </w:p>
        </w:tc>
        <w:tc>
          <w:tcPr>
            <w:tcW w:w="851" w:type="dxa"/>
            <w:vMerge/>
          </w:tcPr>
          <w:p w14:paraId="53DD330E" w14:textId="661BF442" w:rsidR="00D553CB" w:rsidRDefault="00D553CB" w:rsidP="00D553CB">
            <w:pPr>
              <w:rPr>
                <w:rFonts w:ascii="Arial" w:eastAsia="Batang" w:hAnsi="Arial" w:cs="Arial"/>
              </w:rPr>
            </w:pPr>
          </w:p>
        </w:tc>
      </w:tr>
      <w:tr w:rsidR="00D553CB" w:rsidRPr="00803C71" w14:paraId="0E535109" w14:textId="77777777" w:rsidTr="00CA6C6D">
        <w:trPr>
          <w:trHeight w:val="169"/>
          <w:jc w:val="center"/>
        </w:trPr>
        <w:tc>
          <w:tcPr>
            <w:tcW w:w="3544" w:type="dxa"/>
            <w:vMerge w:val="restart"/>
            <w:shd w:val="clear" w:color="auto" w:fill="D9D9D9" w:themeFill="background1" w:themeFillShade="D9"/>
          </w:tcPr>
          <w:p w14:paraId="1474DFCD" w14:textId="77777777" w:rsidR="00D553CB" w:rsidRDefault="00D553CB" w:rsidP="00D553CB">
            <w:pPr>
              <w:rPr>
                <w:rFonts w:ascii="Arial" w:eastAsia="Batang" w:hAnsi="Arial" w:cs="Arial"/>
                <w:bCs/>
              </w:rPr>
            </w:pPr>
            <w:r w:rsidRPr="00803C71">
              <w:rPr>
                <w:rFonts w:ascii="Arial" w:eastAsia="Batang" w:hAnsi="Arial" w:cs="Arial"/>
                <w:b/>
              </w:rPr>
              <w:t xml:space="preserve">Intensity of grant request </w:t>
            </w:r>
            <w:r w:rsidRPr="00803C71">
              <w:rPr>
                <w:rFonts w:ascii="Arial" w:eastAsia="Batang" w:hAnsi="Arial" w:cs="Arial"/>
                <w:bCs/>
              </w:rPr>
              <w:t>(% of total funding requested from NTCA)</w:t>
            </w:r>
          </w:p>
          <w:p w14:paraId="5BD4FEC3" w14:textId="26029313"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153E777A" w14:textId="6BB9BDF4"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187A47BC" w14:textId="0BA5B691"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61EA48E" w14:textId="5AFD9358"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09BAA57" w14:textId="28341D3B"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6EE27B68" w14:textId="541D08EF"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01A540A5" w14:textId="27365042"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BAD9C56" w14:textId="1EABB75D"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180AED38" w14:textId="77777777" w:rsidTr="00CA6C6D">
        <w:trPr>
          <w:trHeight w:val="340"/>
          <w:jc w:val="center"/>
        </w:trPr>
        <w:tc>
          <w:tcPr>
            <w:tcW w:w="3544" w:type="dxa"/>
            <w:vMerge/>
            <w:shd w:val="clear" w:color="auto" w:fill="D9D9D9" w:themeFill="background1" w:themeFillShade="D9"/>
          </w:tcPr>
          <w:p w14:paraId="2D587148" w14:textId="77777777" w:rsidR="00D553CB" w:rsidRPr="00803C71" w:rsidRDefault="00D553CB" w:rsidP="00D553CB">
            <w:pPr>
              <w:rPr>
                <w:rFonts w:ascii="Arial" w:eastAsia="Batang" w:hAnsi="Arial" w:cs="Arial"/>
                <w:b/>
              </w:rPr>
            </w:pPr>
          </w:p>
        </w:tc>
        <w:tc>
          <w:tcPr>
            <w:tcW w:w="2410" w:type="dxa"/>
          </w:tcPr>
          <w:p w14:paraId="34FE94AC" w14:textId="77777777" w:rsidR="00D553CB" w:rsidRPr="00803C71" w:rsidRDefault="00D553CB" w:rsidP="00D553CB">
            <w:pPr>
              <w:rPr>
                <w:rFonts w:ascii="Arial" w:eastAsia="Batang" w:hAnsi="Arial" w:cs="Arial"/>
              </w:rPr>
            </w:pPr>
            <w:r w:rsidRPr="00803C71">
              <w:rPr>
                <w:rFonts w:ascii="Arial" w:eastAsia="Batang" w:hAnsi="Arial" w:cs="Arial"/>
              </w:rPr>
              <w:t>1-20%</w:t>
            </w:r>
          </w:p>
          <w:p w14:paraId="259A6932" w14:textId="77777777" w:rsidR="00D553CB" w:rsidRPr="00803C71" w:rsidRDefault="00D553CB" w:rsidP="00D553CB">
            <w:pPr>
              <w:rPr>
                <w:rFonts w:ascii="Arial" w:eastAsia="Batang" w:hAnsi="Arial" w:cs="Arial"/>
              </w:rPr>
            </w:pPr>
          </w:p>
        </w:tc>
        <w:tc>
          <w:tcPr>
            <w:tcW w:w="1276" w:type="dxa"/>
          </w:tcPr>
          <w:p w14:paraId="2FC26D6B" w14:textId="77777777" w:rsidR="00D553CB" w:rsidRPr="00803C71" w:rsidRDefault="00D553CB" w:rsidP="00D553CB">
            <w:pPr>
              <w:rPr>
                <w:rFonts w:ascii="Arial" w:eastAsia="Batang" w:hAnsi="Arial" w:cs="Arial"/>
              </w:rPr>
            </w:pPr>
            <w:r w:rsidRPr="00803C71">
              <w:rPr>
                <w:rFonts w:ascii="Arial" w:eastAsia="Batang" w:hAnsi="Arial" w:cs="Arial"/>
              </w:rPr>
              <w:t>21-40%</w:t>
            </w:r>
          </w:p>
        </w:tc>
        <w:tc>
          <w:tcPr>
            <w:tcW w:w="1984" w:type="dxa"/>
          </w:tcPr>
          <w:p w14:paraId="50EC7BEF" w14:textId="77777777" w:rsidR="00D553CB" w:rsidRPr="00803C71" w:rsidRDefault="00D553CB" w:rsidP="00D553CB">
            <w:pPr>
              <w:rPr>
                <w:rFonts w:ascii="Arial" w:eastAsia="Batang" w:hAnsi="Arial" w:cs="Arial"/>
              </w:rPr>
            </w:pPr>
            <w:r w:rsidRPr="00803C71">
              <w:rPr>
                <w:rFonts w:ascii="Arial" w:eastAsia="Batang" w:hAnsi="Arial" w:cs="Arial"/>
              </w:rPr>
              <w:t>41- 60%</w:t>
            </w:r>
          </w:p>
        </w:tc>
        <w:tc>
          <w:tcPr>
            <w:tcW w:w="1134" w:type="dxa"/>
          </w:tcPr>
          <w:p w14:paraId="1B5B6667" w14:textId="77777777" w:rsidR="00D553CB" w:rsidRPr="00803C71" w:rsidRDefault="00D553CB" w:rsidP="00D553CB">
            <w:pPr>
              <w:rPr>
                <w:rFonts w:ascii="Arial" w:eastAsia="Batang" w:hAnsi="Arial" w:cs="Arial"/>
              </w:rPr>
            </w:pPr>
            <w:r w:rsidRPr="00803C71">
              <w:rPr>
                <w:rFonts w:ascii="Arial" w:eastAsia="Batang" w:hAnsi="Arial" w:cs="Arial"/>
              </w:rPr>
              <w:t>61-70%</w:t>
            </w:r>
          </w:p>
        </w:tc>
        <w:tc>
          <w:tcPr>
            <w:tcW w:w="1843" w:type="dxa"/>
          </w:tcPr>
          <w:p w14:paraId="1C744A72" w14:textId="77777777" w:rsidR="00D553CB" w:rsidRPr="00803C71" w:rsidRDefault="00D553CB" w:rsidP="00D553CB">
            <w:pPr>
              <w:rPr>
                <w:rFonts w:ascii="Arial" w:eastAsia="Batang" w:hAnsi="Arial" w:cs="Arial"/>
              </w:rPr>
            </w:pPr>
            <w:r w:rsidRPr="00803C71">
              <w:rPr>
                <w:rFonts w:ascii="Arial" w:eastAsia="Batang" w:hAnsi="Arial" w:cs="Arial"/>
              </w:rPr>
              <w:t>71-80%</w:t>
            </w:r>
          </w:p>
        </w:tc>
        <w:tc>
          <w:tcPr>
            <w:tcW w:w="1984" w:type="dxa"/>
            <w:shd w:val="clear" w:color="auto" w:fill="FFFFFF" w:themeFill="background1"/>
          </w:tcPr>
          <w:p w14:paraId="3458C6C4" w14:textId="77777777" w:rsidR="00D553CB" w:rsidRPr="00803C71" w:rsidRDefault="00D553CB" w:rsidP="00D553CB">
            <w:pPr>
              <w:rPr>
                <w:rFonts w:ascii="Arial" w:eastAsia="Batang" w:hAnsi="Arial" w:cs="Arial"/>
              </w:rPr>
            </w:pPr>
            <w:r w:rsidRPr="00803C71">
              <w:rPr>
                <w:rFonts w:ascii="Arial" w:eastAsia="Batang" w:hAnsi="Arial" w:cs="Arial"/>
              </w:rPr>
              <w:t>80-100%</w:t>
            </w:r>
          </w:p>
        </w:tc>
        <w:tc>
          <w:tcPr>
            <w:tcW w:w="851" w:type="dxa"/>
            <w:vMerge/>
          </w:tcPr>
          <w:p w14:paraId="4CCE0E64" w14:textId="77777777" w:rsidR="00D553CB" w:rsidRPr="00803C71" w:rsidRDefault="00D553CB" w:rsidP="00D553CB">
            <w:pPr>
              <w:rPr>
                <w:rFonts w:ascii="Arial" w:eastAsia="Batang" w:hAnsi="Arial" w:cs="Arial"/>
              </w:rPr>
            </w:pPr>
          </w:p>
        </w:tc>
      </w:tr>
      <w:tr w:rsidR="00D553CB" w:rsidRPr="00803C71" w14:paraId="31E01C7C" w14:textId="77777777" w:rsidTr="00CA6C6D">
        <w:trPr>
          <w:trHeight w:val="161"/>
          <w:jc w:val="center"/>
        </w:trPr>
        <w:tc>
          <w:tcPr>
            <w:tcW w:w="3544" w:type="dxa"/>
            <w:vMerge w:val="restart"/>
            <w:shd w:val="clear" w:color="auto" w:fill="D9D9D9" w:themeFill="background1" w:themeFillShade="D9"/>
          </w:tcPr>
          <w:p w14:paraId="763B3D7B" w14:textId="77777777" w:rsidR="00D553CB" w:rsidRPr="00803C71" w:rsidRDefault="00D553CB" w:rsidP="00D553CB">
            <w:pPr>
              <w:rPr>
                <w:rFonts w:ascii="Arial" w:eastAsia="Batang" w:hAnsi="Arial" w:cs="Arial"/>
                <w:b/>
              </w:rPr>
            </w:pPr>
            <w:r w:rsidRPr="00803C71">
              <w:rPr>
                <w:rFonts w:ascii="Arial" w:eastAsia="Batang" w:hAnsi="Arial" w:cs="Arial"/>
                <w:b/>
              </w:rPr>
              <w:t xml:space="preserve">Status of the match funding </w:t>
            </w:r>
          </w:p>
        </w:tc>
        <w:tc>
          <w:tcPr>
            <w:tcW w:w="2410" w:type="dxa"/>
            <w:shd w:val="clear" w:color="auto" w:fill="538135" w:themeFill="accent6" w:themeFillShade="BF"/>
          </w:tcPr>
          <w:p w14:paraId="59B2841B"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3082D35B"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5F311D8"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79003F64"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198CDAD0"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BB31E3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19B678B"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237EC9E3" w14:textId="77777777" w:rsidTr="00CA6C6D">
        <w:trPr>
          <w:trHeight w:val="673"/>
          <w:jc w:val="center"/>
        </w:trPr>
        <w:tc>
          <w:tcPr>
            <w:tcW w:w="3544" w:type="dxa"/>
            <w:vMerge/>
            <w:shd w:val="clear" w:color="auto" w:fill="D9D9D9" w:themeFill="background1" w:themeFillShade="D9"/>
          </w:tcPr>
          <w:p w14:paraId="7DB1847B" w14:textId="77777777" w:rsidR="00D553CB" w:rsidRPr="00803C71" w:rsidRDefault="00D553CB" w:rsidP="00D553CB">
            <w:pPr>
              <w:rPr>
                <w:rFonts w:ascii="Arial" w:eastAsia="Batang" w:hAnsi="Arial" w:cs="Arial"/>
                <w:b/>
              </w:rPr>
            </w:pPr>
          </w:p>
        </w:tc>
        <w:tc>
          <w:tcPr>
            <w:tcW w:w="2410" w:type="dxa"/>
          </w:tcPr>
          <w:p w14:paraId="2DD371FE" w14:textId="77777777" w:rsidR="00D553CB" w:rsidRDefault="00D553CB" w:rsidP="00D553CB">
            <w:pPr>
              <w:rPr>
                <w:rFonts w:ascii="Arial" w:eastAsia="Batang" w:hAnsi="Arial" w:cs="Arial"/>
              </w:rPr>
            </w:pPr>
            <w:r w:rsidRPr="00803C71">
              <w:rPr>
                <w:rFonts w:ascii="Arial" w:eastAsia="Batang" w:hAnsi="Arial" w:cs="Arial"/>
              </w:rPr>
              <w:t xml:space="preserve">Fully confirmed </w:t>
            </w:r>
          </w:p>
          <w:p w14:paraId="1E344ECF" w14:textId="0BD06575" w:rsidR="00CB77CC" w:rsidRPr="00803C71" w:rsidRDefault="00CB77CC" w:rsidP="00D553CB">
            <w:pPr>
              <w:rPr>
                <w:rFonts w:ascii="Arial" w:eastAsia="Batang" w:hAnsi="Arial" w:cs="Arial"/>
              </w:rPr>
            </w:pPr>
            <w:r>
              <w:rPr>
                <w:rFonts w:ascii="Arial" w:eastAsia="Batang" w:hAnsi="Arial" w:cs="Arial"/>
              </w:rPr>
              <w:t>50%</w:t>
            </w:r>
          </w:p>
        </w:tc>
        <w:tc>
          <w:tcPr>
            <w:tcW w:w="1276" w:type="dxa"/>
          </w:tcPr>
          <w:p w14:paraId="57C012DF" w14:textId="752FDA60" w:rsidR="00D553CB" w:rsidRPr="00803C71" w:rsidRDefault="00CB77CC" w:rsidP="00D553CB">
            <w:pPr>
              <w:rPr>
                <w:rFonts w:ascii="Arial" w:eastAsia="Batang" w:hAnsi="Arial" w:cs="Arial"/>
              </w:rPr>
            </w:pPr>
            <w:r>
              <w:rPr>
                <w:rFonts w:ascii="Arial" w:eastAsia="Batang" w:hAnsi="Arial" w:cs="Arial"/>
              </w:rPr>
              <w:t>40%</w:t>
            </w:r>
          </w:p>
        </w:tc>
        <w:tc>
          <w:tcPr>
            <w:tcW w:w="1984" w:type="dxa"/>
          </w:tcPr>
          <w:p w14:paraId="7EA0CD46" w14:textId="0AA1D5A5" w:rsidR="00D553CB" w:rsidRPr="00803C71" w:rsidRDefault="00CB77CC" w:rsidP="00D553CB">
            <w:pPr>
              <w:rPr>
                <w:rFonts w:ascii="Arial" w:eastAsia="Batang" w:hAnsi="Arial" w:cs="Arial"/>
              </w:rPr>
            </w:pPr>
            <w:r>
              <w:rPr>
                <w:rFonts w:ascii="Arial" w:eastAsia="Batang" w:hAnsi="Arial" w:cs="Arial"/>
              </w:rPr>
              <w:t>30%</w:t>
            </w:r>
          </w:p>
        </w:tc>
        <w:tc>
          <w:tcPr>
            <w:tcW w:w="1134" w:type="dxa"/>
          </w:tcPr>
          <w:p w14:paraId="79EFF594" w14:textId="5C2306A8" w:rsidR="00D553CB" w:rsidRPr="00803C71" w:rsidRDefault="00CB77CC" w:rsidP="00D553CB">
            <w:pPr>
              <w:rPr>
                <w:rFonts w:ascii="Arial" w:eastAsia="Batang" w:hAnsi="Arial" w:cs="Arial"/>
              </w:rPr>
            </w:pPr>
            <w:r>
              <w:rPr>
                <w:rFonts w:ascii="Arial" w:eastAsia="Batang" w:hAnsi="Arial" w:cs="Arial"/>
              </w:rPr>
              <w:t>20%</w:t>
            </w:r>
          </w:p>
        </w:tc>
        <w:tc>
          <w:tcPr>
            <w:tcW w:w="1843" w:type="dxa"/>
          </w:tcPr>
          <w:p w14:paraId="2EB827EA" w14:textId="77777777" w:rsidR="00D553CB" w:rsidRDefault="00D553CB" w:rsidP="00D553CB">
            <w:pPr>
              <w:rPr>
                <w:rFonts w:ascii="Arial" w:eastAsia="Batang" w:hAnsi="Arial" w:cs="Arial"/>
              </w:rPr>
            </w:pPr>
            <w:r w:rsidRPr="00803C71">
              <w:rPr>
                <w:rFonts w:ascii="Arial" w:eastAsia="Batang" w:hAnsi="Arial" w:cs="Arial"/>
              </w:rPr>
              <w:t>Little match funding in place</w:t>
            </w:r>
          </w:p>
          <w:p w14:paraId="05AD386A" w14:textId="689C647E" w:rsidR="00CB77CC" w:rsidRPr="00803C71" w:rsidRDefault="00CB77CC" w:rsidP="00D553CB">
            <w:pPr>
              <w:rPr>
                <w:rFonts w:ascii="Arial" w:eastAsia="Batang" w:hAnsi="Arial" w:cs="Arial"/>
              </w:rPr>
            </w:pPr>
            <w:r>
              <w:rPr>
                <w:rFonts w:ascii="Arial" w:eastAsia="Batang" w:hAnsi="Arial" w:cs="Arial"/>
              </w:rPr>
              <w:t>&gt;20%</w:t>
            </w:r>
          </w:p>
        </w:tc>
        <w:tc>
          <w:tcPr>
            <w:tcW w:w="1984" w:type="dxa"/>
          </w:tcPr>
          <w:p w14:paraId="4E661A4D" w14:textId="77777777" w:rsidR="00D553CB" w:rsidRDefault="00D553CB" w:rsidP="00D553CB">
            <w:pPr>
              <w:rPr>
                <w:rFonts w:ascii="Arial" w:eastAsia="Batang" w:hAnsi="Arial" w:cs="Arial"/>
              </w:rPr>
            </w:pPr>
            <w:r w:rsidRPr="00803C71">
              <w:rPr>
                <w:rFonts w:ascii="Arial" w:eastAsia="Batang" w:hAnsi="Arial" w:cs="Arial"/>
              </w:rPr>
              <w:t xml:space="preserve">No source of match funding identified </w:t>
            </w:r>
          </w:p>
          <w:p w14:paraId="6159E18B" w14:textId="6657B921" w:rsidR="00CA6C6D" w:rsidRPr="00803C71" w:rsidRDefault="00CA6C6D" w:rsidP="00D553CB">
            <w:pPr>
              <w:rPr>
                <w:rFonts w:ascii="Arial" w:eastAsia="Batang" w:hAnsi="Arial" w:cs="Arial"/>
              </w:rPr>
            </w:pPr>
          </w:p>
        </w:tc>
        <w:tc>
          <w:tcPr>
            <w:tcW w:w="851" w:type="dxa"/>
            <w:vMerge/>
          </w:tcPr>
          <w:p w14:paraId="502E83B0" w14:textId="77777777" w:rsidR="00D553CB" w:rsidRPr="00803C71" w:rsidRDefault="00D553CB" w:rsidP="00D553CB">
            <w:pPr>
              <w:rPr>
                <w:rFonts w:ascii="Arial" w:eastAsia="Batang" w:hAnsi="Arial" w:cs="Arial"/>
              </w:rPr>
            </w:pPr>
          </w:p>
        </w:tc>
      </w:tr>
      <w:tr w:rsidR="00D553CB" w:rsidRPr="00803C71" w14:paraId="48CFF21B" w14:textId="77777777" w:rsidTr="00CA6C6D">
        <w:trPr>
          <w:trHeight w:val="161"/>
          <w:jc w:val="center"/>
        </w:trPr>
        <w:tc>
          <w:tcPr>
            <w:tcW w:w="3544" w:type="dxa"/>
            <w:vMerge w:val="restart"/>
            <w:shd w:val="clear" w:color="auto" w:fill="D9D9D9" w:themeFill="background1" w:themeFillShade="D9"/>
          </w:tcPr>
          <w:p w14:paraId="6593E3E7" w14:textId="77777777" w:rsidR="00D553CB" w:rsidRDefault="00D553CB" w:rsidP="00D553CB">
            <w:pPr>
              <w:rPr>
                <w:rFonts w:ascii="Arial" w:eastAsia="Batang" w:hAnsi="Arial" w:cs="Arial"/>
                <w:b/>
              </w:rPr>
            </w:pPr>
            <w:r>
              <w:rPr>
                <w:rFonts w:ascii="Arial" w:eastAsia="Batang" w:hAnsi="Arial" w:cs="Arial"/>
                <w:b/>
              </w:rPr>
              <w:t>Subsi</w:t>
            </w:r>
            <w:r w:rsidR="009F5096">
              <w:rPr>
                <w:rFonts w:ascii="Arial" w:eastAsia="Batang" w:hAnsi="Arial" w:cs="Arial"/>
                <w:b/>
              </w:rPr>
              <w:t>d</w:t>
            </w:r>
            <w:r>
              <w:rPr>
                <w:rFonts w:ascii="Arial" w:eastAsia="Batang" w:hAnsi="Arial" w:cs="Arial"/>
                <w:b/>
              </w:rPr>
              <w:t>y</w:t>
            </w:r>
            <w:r w:rsidR="00B7168A">
              <w:rPr>
                <w:rFonts w:ascii="Arial" w:eastAsia="Batang" w:hAnsi="Arial" w:cs="Arial"/>
                <w:b/>
              </w:rPr>
              <w:t xml:space="preserve"> Control Risk</w:t>
            </w:r>
          </w:p>
          <w:p w14:paraId="5974D8B5" w14:textId="77777777" w:rsidR="00B01B1A" w:rsidRDefault="00B01B1A" w:rsidP="00D553CB">
            <w:pPr>
              <w:rPr>
                <w:rFonts w:ascii="Arial" w:eastAsia="Batang" w:hAnsi="Arial" w:cs="Arial"/>
                <w:b/>
              </w:rPr>
            </w:pPr>
          </w:p>
          <w:p w14:paraId="1377FBFE" w14:textId="77777777" w:rsidR="00B01B1A" w:rsidRDefault="00B01B1A" w:rsidP="00D553CB">
            <w:pPr>
              <w:rPr>
                <w:rFonts w:ascii="Arial" w:eastAsia="Batang" w:hAnsi="Arial" w:cs="Arial"/>
                <w:b/>
              </w:rPr>
            </w:pPr>
          </w:p>
          <w:p w14:paraId="29237502" w14:textId="77777777" w:rsidR="00B01B1A" w:rsidRDefault="00B01B1A" w:rsidP="00D553CB">
            <w:pPr>
              <w:rPr>
                <w:rFonts w:ascii="Arial" w:eastAsia="Batang" w:hAnsi="Arial" w:cs="Arial"/>
                <w:b/>
              </w:rPr>
            </w:pPr>
          </w:p>
          <w:p w14:paraId="25EDCC8F" w14:textId="77777777" w:rsidR="00B01B1A" w:rsidRDefault="00B01B1A" w:rsidP="00D553CB">
            <w:pPr>
              <w:rPr>
                <w:rFonts w:ascii="Arial" w:eastAsia="Batang" w:hAnsi="Arial" w:cs="Arial"/>
                <w:b/>
              </w:rPr>
            </w:pPr>
          </w:p>
          <w:p w14:paraId="1635682E" w14:textId="77777777" w:rsidR="00B01B1A" w:rsidRDefault="00B01B1A" w:rsidP="00D553CB">
            <w:pPr>
              <w:rPr>
                <w:rFonts w:ascii="Arial" w:eastAsia="Batang" w:hAnsi="Arial" w:cs="Arial"/>
                <w:b/>
              </w:rPr>
            </w:pPr>
          </w:p>
          <w:p w14:paraId="536CB596" w14:textId="77777777" w:rsidR="00B01B1A" w:rsidRDefault="00B01B1A" w:rsidP="00D553CB">
            <w:pPr>
              <w:rPr>
                <w:rFonts w:ascii="Arial" w:eastAsia="Batang" w:hAnsi="Arial" w:cs="Arial"/>
                <w:b/>
              </w:rPr>
            </w:pPr>
          </w:p>
          <w:p w14:paraId="0364E3EA" w14:textId="77777777" w:rsidR="00B01B1A" w:rsidRDefault="00B01B1A" w:rsidP="00D553CB">
            <w:pPr>
              <w:rPr>
                <w:rFonts w:ascii="Arial" w:eastAsia="Batang" w:hAnsi="Arial" w:cs="Arial"/>
                <w:b/>
              </w:rPr>
            </w:pPr>
          </w:p>
          <w:p w14:paraId="17364083" w14:textId="77777777" w:rsidR="00B01B1A" w:rsidRDefault="00B01B1A" w:rsidP="00D553CB">
            <w:pPr>
              <w:rPr>
                <w:rFonts w:ascii="Arial" w:eastAsia="Batang" w:hAnsi="Arial" w:cs="Arial"/>
                <w:b/>
              </w:rPr>
            </w:pPr>
          </w:p>
          <w:p w14:paraId="4B66A646" w14:textId="77777777" w:rsidR="00B01B1A" w:rsidRDefault="00B01B1A" w:rsidP="00D553CB">
            <w:pPr>
              <w:rPr>
                <w:rFonts w:ascii="Arial" w:eastAsia="Batang" w:hAnsi="Arial" w:cs="Arial"/>
                <w:b/>
              </w:rPr>
            </w:pPr>
          </w:p>
          <w:p w14:paraId="42F4F375" w14:textId="77777777" w:rsidR="00B01B1A" w:rsidRDefault="00B01B1A" w:rsidP="00D553CB">
            <w:pPr>
              <w:rPr>
                <w:rFonts w:ascii="Arial" w:eastAsia="Batang" w:hAnsi="Arial" w:cs="Arial"/>
                <w:b/>
              </w:rPr>
            </w:pPr>
          </w:p>
          <w:p w14:paraId="2F8319F8" w14:textId="77777777" w:rsidR="00B01B1A" w:rsidRDefault="00B01B1A" w:rsidP="00D553CB">
            <w:pPr>
              <w:rPr>
                <w:rFonts w:ascii="Arial" w:eastAsia="Batang" w:hAnsi="Arial" w:cs="Arial"/>
                <w:b/>
              </w:rPr>
            </w:pPr>
          </w:p>
          <w:p w14:paraId="2417FE31" w14:textId="77777777" w:rsidR="00B01B1A" w:rsidRDefault="00B01B1A" w:rsidP="00D553CB">
            <w:pPr>
              <w:rPr>
                <w:rFonts w:ascii="Arial" w:eastAsia="Batang" w:hAnsi="Arial" w:cs="Arial"/>
                <w:b/>
              </w:rPr>
            </w:pPr>
          </w:p>
          <w:p w14:paraId="7E06F84D" w14:textId="77777777" w:rsidR="00B01B1A" w:rsidRDefault="00B01B1A" w:rsidP="00D553CB">
            <w:pPr>
              <w:rPr>
                <w:rFonts w:ascii="Arial" w:eastAsia="Batang" w:hAnsi="Arial" w:cs="Arial"/>
                <w:b/>
              </w:rPr>
            </w:pPr>
          </w:p>
          <w:p w14:paraId="37DC6C2A" w14:textId="77777777" w:rsidR="00B01B1A" w:rsidRDefault="00B01B1A" w:rsidP="00D553CB">
            <w:pPr>
              <w:rPr>
                <w:rFonts w:ascii="Arial" w:eastAsia="Batang" w:hAnsi="Arial" w:cs="Arial"/>
                <w:b/>
              </w:rPr>
            </w:pPr>
          </w:p>
          <w:p w14:paraId="5213BFDD" w14:textId="6C70A0F9"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AB4562D"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5AF4D5"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636F6C37"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449755D8"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7CC50D77"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2EA291CE"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2DC0642E"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3AC541D2" w14:textId="77777777" w:rsidTr="00CA6C6D">
        <w:trPr>
          <w:trHeight w:val="1328"/>
          <w:jc w:val="center"/>
        </w:trPr>
        <w:tc>
          <w:tcPr>
            <w:tcW w:w="3544" w:type="dxa"/>
            <w:vMerge/>
            <w:shd w:val="clear" w:color="auto" w:fill="D9D9D9" w:themeFill="background1" w:themeFillShade="D9"/>
          </w:tcPr>
          <w:p w14:paraId="6C87D4E4" w14:textId="77777777" w:rsidR="00D553CB" w:rsidRPr="00803C71" w:rsidRDefault="00D553CB" w:rsidP="00D553CB">
            <w:pPr>
              <w:rPr>
                <w:rFonts w:ascii="Arial" w:eastAsia="Batang" w:hAnsi="Arial" w:cs="Arial"/>
                <w:b/>
              </w:rPr>
            </w:pPr>
          </w:p>
        </w:tc>
        <w:tc>
          <w:tcPr>
            <w:tcW w:w="2410" w:type="dxa"/>
          </w:tcPr>
          <w:p w14:paraId="31FF1BED" w14:textId="2758716A" w:rsidR="00D553CB" w:rsidRPr="00803C71" w:rsidRDefault="00D553CB" w:rsidP="00D553CB">
            <w:pPr>
              <w:rPr>
                <w:rFonts w:ascii="Arial" w:eastAsia="Batang" w:hAnsi="Arial" w:cs="Arial"/>
              </w:rPr>
            </w:pPr>
            <w:r w:rsidRPr="00803C71">
              <w:rPr>
                <w:rFonts w:ascii="Arial" w:eastAsia="Batang" w:hAnsi="Arial" w:cs="Arial"/>
              </w:rPr>
              <w:t xml:space="preserve">Independent legal opinion supports compliant route or confirm no </w:t>
            </w:r>
            <w:r w:rsidR="00B7168A">
              <w:rPr>
                <w:rFonts w:ascii="Arial" w:eastAsia="Batang" w:hAnsi="Arial" w:cs="Arial"/>
              </w:rPr>
              <w:t>Subsidy</w:t>
            </w:r>
            <w:r w:rsidRPr="00803C71">
              <w:rPr>
                <w:rFonts w:ascii="Arial" w:eastAsia="Batang" w:hAnsi="Arial" w:cs="Arial"/>
              </w:rPr>
              <w:t>.</w:t>
            </w:r>
          </w:p>
        </w:tc>
        <w:tc>
          <w:tcPr>
            <w:tcW w:w="1276" w:type="dxa"/>
          </w:tcPr>
          <w:p w14:paraId="22DF188F" w14:textId="0703BDD0" w:rsidR="00D553CB" w:rsidRPr="00803C71" w:rsidRDefault="00D553CB" w:rsidP="00D553CB">
            <w:pPr>
              <w:rPr>
                <w:rFonts w:ascii="Arial" w:eastAsia="Batang" w:hAnsi="Arial" w:cs="Arial"/>
              </w:rPr>
            </w:pPr>
            <w:r w:rsidRPr="00803C71">
              <w:rPr>
                <w:rFonts w:ascii="Arial" w:eastAsia="Batang" w:hAnsi="Arial" w:cs="Arial"/>
              </w:rPr>
              <w:t xml:space="preserve">Applicant identifies a compliant </w:t>
            </w:r>
            <w:r w:rsidR="00B7168A">
              <w:rPr>
                <w:rFonts w:ascii="Arial" w:eastAsia="Batang" w:hAnsi="Arial" w:cs="Arial"/>
              </w:rPr>
              <w:t>Subsidy</w:t>
            </w:r>
            <w:r w:rsidRPr="00803C71">
              <w:rPr>
                <w:rFonts w:ascii="Arial" w:eastAsia="Batang" w:hAnsi="Arial" w:cs="Arial"/>
              </w:rPr>
              <w:t xml:space="preserve"> route.</w:t>
            </w:r>
          </w:p>
        </w:tc>
        <w:tc>
          <w:tcPr>
            <w:tcW w:w="1984" w:type="dxa"/>
          </w:tcPr>
          <w:p w14:paraId="63BDE809" w14:textId="359580EC"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and clarified</w:t>
            </w:r>
          </w:p>
        </w:tc>
        <w:tc>
          <w:tcPr>
            <w:tcW w:w="1134" w:type="dxa"/>
          </w:tcPr>
          <w:p w14:paraId="077B830E" w14:textId="437FA597"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but currently unable to be clarified</w:t>
            </w:r>
          </w:p>
        </w:tc>
        <w:tc>
          <w:tcPr>
            <w:tcW w:w="1843" w:type="dxa"/>
          </w:tcPr>
          <w:p w14:paraId="285F6523" w14:textId="1300731E" w:rsidR="00D553CB" w:rsidRPr="00803C71" w:rsidRDefault="00D553CB" w:rsidP="00D553CB">
            <w:pPr>
              <w:rPr>
                <w:rFonts w:ascii="Arial" w:eastAsia="Batang" w:hAnsi="Arial" w:cs="Arial"/>
              </w:rPr>
            </w:pPr>
            <w:r w:rsidRPr="00803C71">
              <w:rPr>
                <w:rFonts w:ascii="Arial" w:eastAsia="Batang" w:hAnsi="Arial" w:cs="Arial"/>
              </w:rPr>
              <w:t xml:space="preserve">No appropriate consideration of </w:t>
            </w:r>
            <w:r w:rsidR="00B7168A">
              <w:rPr>
                <w:rFonts w:ascii="Arial" w:eastAsia="Batang" w:hAnsi="Arial" w:cs="Arial"/>
              </w:rPr>
              <w:t>Subsidy Control</w:t>
            </w:r>
            <w:r w:rsidRPr="00803C71">
              <w:rPr>
                <w:rFonts w:ascii="Arial" w:eastAsia="Batang" w:hAnsi="Arial" w:cs="Arial"/>
              </w:rPr>
              <w:t xml:space="preserve"> provided</w:t>
            </w:r>
          </w:p>
        </w:tc>
        <w:tc>
          <w:tcPr>
            <w:tcW w:w="1984" w:type="dxa"/>
          </w:tcPr>
          <w:p w14:paraId="6EB7BA44" w14:textId="134CF089" w:rsidR="00D553CB" w:rsidRPr="00803C71" w:rsidRDefault="00D553CB" w:rsidP="00D553CB">
            <w:pPr>
              <w:rPr>
                <w:rFonts w:ascii="Arial" w:eastAsia="Batang" w:hAnsi="Arial" w:cs="Arial"/>
              </w:rPr>
            </w:pPr>
            <w:r w:rsidRPr="00803C71">
              <w:rPr>
                <w:rFonts w:ascii="Arial" w:eastAsia="Batang" w:hAnsi="Arial" w:cs="Arial"/>
              </w:rPr>
              <w:t xml:space="preserve">Request not compliant with </w:t>
            </w:r>
            <w:r w:rsidR="00B7168A">
              <w:rPr>
                <w:rFonts w:ascii="Arial" w:eastAsia="Batang" w:hAnsi="Arial" w:cs="Arial"/>
              </w:rPr>
              <w:t>UK Subsidy Control</w:t>
            </w:r>
            <w:r w:rsidRPr="00803C71">
              <w:rPr>
                <w:rFonts w:ascii="Arial" w:eastAsia="Batang" w:hAnsi="Arial" w:cs="Arial"/>
              </w:rPr>
              <w:t>.</w:t>
            </w:r>
          </w:p>
        </w:tc>
        <w:tc>
          <w:tcPr>
            <w:tcW w:w="851" w:type="dxa"/>
            <w:vMerge/>
          </w:tcPr>
          <w:p w14:paraId="1971B8A5" w14:textId="77777777" w:rsidR="00D553CB" w:rsidRPr="00803C71" w:rsidRDefault="00D553CB" w:rsidP="00D553CB">
            <w:pPr>
              <w:rPr>
                <w:rFonts w:ascii="Arial" w:eastAsia="Batang" w:hAnsi="Arial" w:cs="Arial"/>
              </w:rPr>
            </w:pPr>
          </w:p>
        </w:tc>
      </w:tr>
      <w:tr w:rsidR="00D553CB" w:rsidRPr="00803C71" w14:paraId="1594B4DE" w14:textId="77777777" w:rsidTr="00CA6C6D">
        <w:trPr>
          <w:trHeight w:val="169"/>
          <w:jc w:val="center"/>
        </w:trPr>
        <w:tc>
          <w:tcPr>
            <w:tcW w:w="3544" w:type="dxa"/>
            <w:vMerge w:val="restart"/>
            <w:shd w:val="clear" w:color="auto" w:fill="D9D9D9" w:themeFill="background1" w:themeFillShade="D9"/>
          </w:tcPr>
          <w:p w14:paraId="184ABC15" w14:textId="77777777" w:rsidR="00D553CB" w:rsidRDefault="00D553CB" w:rsidP="00D553CB">
            <w:pPr>
              <w:rPr>
                <w:rFonts w:ascii="Arial" w:eastAsia="Batang" w:hAnsi="Arial" w:cs="Arial"/>
                <w:b/>
              </w:rPr>
            </w:pPr>
            <w:r w:rsidRPr="00803C71">
              <w:rPr>
                <w:rFonts w:ascii="Arial" w:eastAsia="Batang" w:hAnsi="Arial" w:cs="Arial"/>
                <w:b/>
              </w:rPr>
              <w:lastRenderedPageBreak/>
              <w:t>Deliverability Risk</w:t>
            </w:r>
          </w:p>
          <w:p w14:paraId="4CB91788" w14:textId="77777777" w:rsidR="00B01B1A" w:rsidRDefault="00B01B1A" w:rsidP="00D553CB">
            <w:pPr>
              <w:rPr>
                <w:rFonts w:ascii="Arial" w:eastAsia="Batang" w:hAnsi="Arial" w:cs="Arial"/>
                <w:b/>
              </w:rPr>
            </w:pPr>
          </w:p>
          <w:p w14:paraId="73C8A9B9"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Clear explanation of delivery routes, timeframes, and key milestones. </w:t>
            </w:r>
          </w:p>
          <w:p w14:paraId="74241EEE"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Evidence of partnership strength, commitment (as appropriate) and strategic backing. </w:t>
            </w:r>
          </w:p>
          <w:p w14:paraId="3C7AF1C0" w14:textId="061E1FDD"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3993222" w14:textId="77777777" w:rsidR="00D553CB" w:rsidRPr="00803C71" w:rsidRDefault="00D553CB" w:rsidP="00D553CB">
            <w:pPr>
              <w:rPr>
                <w:rFonts w:ascii="Arial" w:eastAsia="Batang" w:hAnsi="Arial" w:cs="Arial"/>
              </w:rPr>
            </w:pPr>
            <w:r w:rsidRPr="00803C71">
              <w:rPr>
                <w:rFonts w:ascii="Arial" w:eastAsia="Batang" w:hAnsi="Arial" w:cs="Arial"/>
              </w:rPr>
              <w:t>15-13</w:t>
            </w:r>
          </w:p>
        </w:tc>
        <w:tc>
          <w:tcPr>
            <w:tcW w:w="1276" w:type="dxa"/>
            <w:shd w:val="clear" w:color="auto" w:fill="A8D08D" w:themeFill="accent6" w:themeFillTint="99"/>
          </w:tcPr>
          <w:p w14:paraId="372524F5" w14:textId="77777777" w:rsidR="00D553CB" w:rsidRPr="00803C71" w:rsidRDefault="00D553CB" w:rsidP="00D553CB">
            <w:pPr>
              <w:rPr>
                <w:rFonts w:ascii="Arial" w:eastAsia="Batang" w:hAnsi="Arial" w:cs="Arial"/>
              </w:rPr>
            </w:pPr>
            <w:r w:rsidRPr="00803C71">
              <w:rPr>
                <w:rFonts w:ascii="Arial" w:eastAsia="Batang" w:hAnsi="Arial" w:cs="Arial"/>
              </w:rPr>
              <w:t>12-10</w:t>
            </w:r>
          </w:p>
        </w:tc>
        <w:tc>
          <w:tcPr>
            <w:tcW w:w="1984" w:type="dxa"/>
            <w:shd w:val="clear" w:color="auto" w:fill="E2EFD9" w:themeFill="accent6" w:themeFillTint="33"/>
          </w:tcPr>
          <w:p w14:paraId="2707A658" w14:textId="77777777" w:rsidR="00D553CB" w:rsidRPr="00803C71" w:rsidRDefault="00D553CB" w:rsidP="00D553CB">
            <w:pPr>
              <w:rPr>
                <w:rFonts w:ascii="Arial" w:eastAsia="Batang" w:hAnsi="Arial" w:cs="Arial"/>
              </w:rPr>
            </w:pPr>
            <w:r w:rsidRPr="00803C71">
              <w:rPr>
                <w:rFonts w:ascii="Arial" w:eastAsia="Batang" w:hAnsi="Arial" w:cs="Arial"/>
              </w:rPr>
              <w:t>9-7</w:t>
            </w:r>
          </w:p>
        </w:tc>
        <w:tc>
          <w:tcPr>
            <w:tcW w:w="1134" w:type="dxa"/>
            <w:shd w:val="clear" w:color="auto" w:fill="FFE599" w:themeFill="accent4" w:themeFillTint="66"/>
          </w:tcPr>
          <w:p w14:paraId="6B85418D" w14:textId="77777777" w:rsidR="00D553CB" w:rsidRPr="00803C71" w:rsidRDefault="00D553CB" w:rsidP="00D553CB">
            <w:pPr>
              <w:rPr>
                <w:rFonts w:ascii="Arial" w:eastAsia="Batang" w:hAnsi="Arial" w:cs="Arial"/>
              </w:rPr>
            </w:pPr>
            <w:r w:rsidRPr="00803C71">
              <w:rPr>
                <w:rFonts w:ascii="Arial" w:eastAsia="Batang" w:hAnsi="Arial" w:cs="Arial"/>
              </w:rPr>
              <w:t>6-4</w:t>
            </w:r>
          </w:p>
        </w:tc>
        <w:tc>
          <w:tcPr>
            <w:tcW w:w="1843" w:type="dxa"/>
            <w:shd w:val="clear" w:color="auto" w:fill="FFC000"/>
          </w:tcPr>
          <w:p w14:paraId="7230B847" w14:textId="77777777" w:rsidR="00D553CB" w:rsidRPr="00803C71" w:rsidRDefault="00D553CB" w:rsidP="00D553CB">
            <w:pPr>
              <w:rPr>
                <w:rFonts w:ascii="Arial" w:eastAsia="Batang" w:hAnsi="Arial" w:cs="Arial"/>
              </w:rPr>
            </w:pPr>
            <w:r w:rsidRPr="00803C71">
              <w:rPr>
                <w:rFonts w:ascii="Arial" w:eastAsia="Batang" w:hAnsi="Arial" w:cs="Arial"/>
              </w:rPr>
              <w:t>3-1</w:t>
            </w:r>
          </w:p>
        </w:tc>
        <w:tc>
          <w:tcPr>
            <w:tcW w:w="1984" w:type="dxa"/>
            <w:shd w:val="clear" w:color="auto" w:fill="FF0000"/>
          </w:tcPr>
          <w:p w14:paraId="521A77F3"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5C787E5E" w14:textId="77777777" w:rsidR="00D553CB" w:rsidRPr="00803C71" w:rsidRDefault="00D553CB" w:rsidP="00D553CB">
            <w:pPr>
              <w:rPr>
                <w:rFonts w:ascii="Arial" w:eastAsia="Batang" w:hAnsi="Arial" w:cs="Arial"/>
              </w:rPr>
            </w:pPr>
            <w:r w:rsidRPr="00803C71">
              <w:rPr>
                <w:rFonts w:ascii="Arial" w:eastAsia="Batang" w:hAnsi="Arial" w:cs="Arial"/>
              </w:rPr>
              <w:t>15</w:t>
            </w:r>
          </w:p>
        </w:tc>
      </w:tr>
      <w:tr w:rsidR="00D553CB" w:rsidRPr="00803C71" w14:paraId="0C6D29B4" w14:textId="77777777" w:rsidTr="00CA6C6D">
        <w:trPr>
          <w:trHeight w:val="558"/>
          <w:jc w:val="center"/>
        </w:trPr>
        <w:tc>
          <w:tcPr>
            <w:tcW w:w="3544" w:type="dxa"/>
            <w:vMerge/>
            <w:shd w:val="clear" w:color="auto" w:fill="D9D9D9" w:themeFill="background1" w:themeFillShade="D9"/>
          </w:tcPr>
          <w:p w14:paraId="04EB5E87" w14:textId="77777777" w:rsidR="00D553CB" w:rsidRPr="00803C71" w:rsidRDefault="00D553CB" w:rsidP="00D553CB">
            <w:pPr>
              <w:rPr>
                <w:rFonts w:ascii="Arial" w:eastAsia="Batang" w:hAnsi="Arial" w:cs="Arial"/>
                <w:b/>
              </w:rPr>
            </w:pPr>
          </w:p>
        </w:tc>
        <w:tc>
          <w:tcPr>
            <w:tcW w:w="2410" w:type="dxa"/>
          </w:tcPr>
          <w:p w14:paraId="54960528" w14:textId="77777777" w:rsidR="00D553CB" w:rsidRPr="00803C71" w:rsidRDefault="00D553CB" w:rsidP="00D553CB">
            <w:pPr>
              <w:rPr>
                <w:rFonts w:ascii="Arial" w:eastAsia="Batang" w:hAnsi="Arial" w:cs="Arial"/>
              </w:rPr>
            </w:pPr>
            <w:r w:rsidRPr="00803C71">
              <w:rPr>
                <w:rFonts w:ascii="Arial" w:eastAsia="Batang" w:hAnsi="Arial" w:cs="Arial"/>
              </w:rPr>
              <w:t xml:space="preserve">Considered to be have a high chance of success &amp; completion by the timescales indicated - risks well managed. </w:t>
            </w:r>
          </w:p>
          <w:p w14:paraId="1A50BE81" w14:textId="77777777" w:rsidR="00D553CB" w:rsidRPr="00803C71" w:rsidRDefault="00D553CB" w:rsidP="00D553CB">
            <w:pPr>
              <w:rPr>
                <w:rFonts w:ascii="Arial" w:eastAsia="Batang" w:hAnsi="Arial" w:cs="Arial"/>
              </w:rPr>
            </w:pPr>
          </w:p>
          <w:p w14:paraId="26A90EB7" w14:textId="77777777" w:rsidR="00D553CB" w:rsidRPr="00803C71" w:rsidRDefault="00D553CB" w:rsidP="00D553CB">
            <w:pPr>
              <w:rPr>
                <w:rFonts w:ascii="Arial" w:eastAsia="Batang" w:hAnsi="Arial" w:cs="Arial"/>
              </w:rPr>
            </w:pPr>
            <w:r w:rsidRPr="00803C71">
              <w:rPr>
                <w:rFonts w:ascii="Arial" w:eastAsia="Batang" w:hAnsi="Arial" w:cs="Arial"/>
              </w:rPr>
              <w:t>Likely to have a significant and immediate impact.</w:t>
            </w:r>
          </w:p>
        </w:tc>
        <w:tc>
          <w:tcPr>
            <w:tcW w:w="1276" w:type="dxa"/>
          </w:tcPr>
          <w:p w14:paraId="3EA650A2" w14:textId="77777777" w:rsidR="00D553CB" w:rsidRPr="00803C71" w:rsidRDefault="00D553CB" w:rsidP="00D553CB">
            <w:pPr>
              <w:rPr>
                <w:rFonts w:ascii="Arial" w:eastAsia="Batang" w:hAnsi="Arial" w:cs="Arial"/>
              </w:rPr>
            </w:pPr>
          </w:p>
        </w:tc>
        <w:tc>
          <w:tcPr>
            <w:tcW w:w="1984" w:type="dxa"/>
          </w:tcPr>
          <w:p w14:paraId="0D701BA4" w14:textId="77777777" w:rsidR="00D553CB" w:rsidRPr="00803C71" w:rsidRDefault="00D553CB" w:rsidP="00D553CB">
            <w:pPr>
              <w:rPr>
                <w:rFonts w:ascii="Arial" w:eastAsia="Batang" w:hAnsi="Arial" w:cs="Arial"/>
              </w:rPr>
            </w:pPr>
            <w:r w:rsidRPr="00803C71">
              <w:rPr>
                <w:rFonts w:ascii="Arial" w:eastAsia="Batang" w:hAnsi="Arial" w:cs="Arial"/>
              </w:rPr>
              <w:t xml:space="preserve">Moderately likely to succeed and be delivered by the timescales indicated, some risks with strategies to mitigate in place. </w:t>
            </w:r>
          </w:p>
          <w:p w14:paraId="20E10C51" w14:textId="77777777" w:rsidR="00D553CB" w:rsidRPr="00803C71" w:rsidRDefault="00D553CB" w:rsidP="00D553CB">
            <w:pPr>
              <w:rPr>
                <w:rFonts w:ascii="Arial" w:eastAsia="Batang" w:hAnsi="Arial" w:cs="Arial"/>
              </w:rPr>
            </w:pPr>
          </w:p>
        </w:tc>
        <w:tc>
          <w:tcPr>
            <w:tcW w:w="1134" w:type="dxa"/>
          </w:tcPr>
          <w:p w14:paraId="74A23991" w14:textId="77777777" w:rsidR="00D553CB" w:rsidRPr="00803C71" w:rsidRDefault="00D553CB" w:rsidP="00D553CB">
            <w:pPr>
              <w:rPr>
                <w:rFonts w:ascii="Arial" w:eastAsia="Batang" w:hAnsi="Arial" w:cs="Arial"/>
              </w:rPr>
            </w:pPr>
          </w:p>
        </w:tc>
        <w:tc>
          <w:tcPr>
            <w:tcW w:w="1843" w:type="dxa"/>
          </w:tcPr>
          <w:p w14:paraId="0E876E15" w14:textId="77777777" w:rsidR="00D553CB" w:rsidRPr="00803C71" w:rsidRDefault="00D553CB" w:rsidP="00D553CB">
            <w:pPr>
              <w:rPr>
                <w:rFonts w:ascii="Arial" w:eastAsia="Batang" w:hAnsi="Arial" w:cs="Arial"/>
              </w:rPr>
            </w:pPr>
            <w:r w:rsidRPr="00803C71">
              <w:rPr>
                <w:rFonts w:ascii="Arial" w:eastAsia="Batang" w:hAnsi="Arial" w:cs="Arial"/>
              </w:rPr>
              <w:t xml:space="preserve">Management and delivery arrangements considered to be weak. High risk of failure with limited mitigation considered. </w:t>
            </w:r>
          </w:p>
          <w:p w14:paraId="7C96DF96" w14:textId="77777777" w:rsidR="00D553CB" w:rsidRPr="00803C71" w:rsidRDefault="00D553CB" w:rsidP="00D553CB">
            <w:pPr>
              <w:rPr>
                <w:rFonts w:ascii="Arial" w:eastAsia="Batang" w:hAnsi="Arial" w:cs="Arial"/>
              </w:rPr>
            </w:pPr>
          </w:p>
          <w:p w14:paraId="430C7407" w14:textId="77777777" w:rsidR="00D553CB" w:rsidRPr="00803C71" w:rsidRDefault="00D553CB" w:rsidP="00D553CB">
            <w:pPr>
              <w:rPr>
                <w:rFonts w:ascii="Arial" w:eastAsia="Batang" w:hAnsi="Arial" w:cs="Arial"/>
              </w:rPr>
            </w:pPr>
            <w:r w:rsidRPr="00803C71">
              <w:rPr>
                <w:rFonts w:ascii="Arial" w:eastAsia="Batang" w:hAnsi="Arial" w:cs="Arial"/>
              </w:rPr>
              <w:t xml:space="preserve">Impact unlikely to be significant or speed of delivery slow. </w:t>
            </w:r>
          </w:p>
        </w:tc>
        <w:tc>
          <w:tcPr>
            <w:tcW w:w="1984" w:type="dxa"/>
          </w:tcPr>
          <w:p w14:paraId="4FCC182B" w14:textId="04ED7909" w:rsidR="00D553CB" w:rsidRPr="00803C71" w:rsidRDefault="00D553CB" w:rsidP="00D553CB">
            <w:pPr>
              <w:rPr>
                <w:rFonts w:ascii="Arial" w:eastAsia="Batang" w:hAnsi="Arial" w:cs="Arial"/>
              </w:rPr>
            </w:pPr>
            <w:r w:rsidRPr="00803C71">
              <w:rPr>
                <w:rFonts w:ascii="Arial" w:eastAsia="Batang" w:hAnsi="Arial" w:cs="Arial"/>
              </w:rPr>
              <w:t>Considered to have a very low likelihood of successful completion by the timescales indicated / multiple high-level risks with no clear management</w:t>
            </w:r>
          </w:p>
        </w:tc>
        <w:tc>
          <w:tcPr>
            <w:tcW w:w="851" w:type="dxa"/>
            <w:vMerge/>
          </w:tcPr>
          <w:p w14:paraId="63C80B7A" w14:textId="77777777" w:rsidR="00D553CB" w:rsidRPr="00803C71" w:rsidRDefault="00D553CB" w:rsidP="00D553CB">
            <w:pPr>
              <w:rPr>
                <w:rFonts w:ascii="Arial" w:eastAsia="Batang" w:hAnsi="Arial" w:cs="Arial"/>
              </w:rPr>
            </w:pPr>
          </w:p>
        </w:tc>
      </w:tr>
      <w:tr w:rsidR="00D553CB" w:rsidRPr="00803C71" w14:paraId="0015725B" w14:textId="77777777" w:rsidTr="00CA6C6D">
        <w:trPr>
          <w:trHeight w:val="169"/>
          <w:jc w:val="center"/>
        </w:trPr>
        <w:tc>
          <w:tcPr>
            <w:tcW w:w="3544" w:type="dxa"/>
            <w:vMerge w:val="restart"/>
            <w:shd w:val="clear" w:color="auto" w:fill="D9D9D9" w:themeFill="background1" w:themeFillShade="D9"/>
          </w:tcPr>
          <w:p w14:paraId="52E5A4D3" w14:textId="1E2E5CE7" w:rsidR="00D553CB" w:rsidRDefault="00D553CB" w:rsidP="00D553CB">
            <w:pPr>
              <w:rPr>
                <w:rFonts w:ascii="Arial" w:eastAsia="Batang" w:hAnsi="Arial" w:cs="Arial"/>
                <w:b/>
              </w:rPr>
            </w:pPr>
            <w:r w:rsidRPr="00803C71">
              <w:rPr>
                <w:rFonts w:ascii="Arial" w:eastAsia="Batang" w:hAnsi="Arial" w:cs="Arial"/>
                <w:b/>
              </w:rPr>
              <w:t>Inclusive Economy fit</w:t>
            </w:r>
          </w:p>
          <w:p w14:paraId="6514DA0F" w14:textId="77777777" w:rsidR="00B01B1A" w:rsidRDefault="00B01B1A" w:rsidP="00B01B1A">
            <w:pPr>
              <w:tabs>
                <w:tab w:val="left" w:pos="1740"/>
              </w:tabs>
              <w:contextualSpacing/>
              <w:rPr>
                <w:rFonts w:ascii="Arial" w:eastAsia="Times New Roman" w:hAnsi="Arial" w:cs="Arial"/>
                <w:sz w:val="24"/>
                <w:szCs w:val="24"/>
              </w:rPr>
            </w:pPr>
          </w:p>
          <w:p w14:paraId="61786190" w14:textId="072D0491"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The ability of the project to make a proactive and targeted impact on the inclusive economy ambitions of the NTCA and to have a positive impact on residents. </w:t>
            </w:r>
          </w:p>
          <w:p w14:paraId="73AED4FE" w14:textId="152E14A1" w:rsidR="00B01B1A" w:rsidRPr="00B01B1A" w:rsidRDefault="00B01B1A" w:rsidP="00D553CB">
            <w:pPr>
              <w:rPr>
                <w:rFonts w:ascii="Arial" w:eastAsia="Batang" w:hAnsi="Arial" w:cs="Arial"/>
                <w:b/>
              </w:rPr>
            </w:pPr>
          </w:p>
          <w:p w14:paraId="23DA1DCF" w14:textId="01B66652" w:rsidR="00B01B1A" w:rsidRDefault="00B01B1A" w:rsidP="00D553CB">
            <w:pPr>
              <w:rPr>
                <w:rFonts w:ascii="Arial" w:eastAsia="Batang" w:hAnsi="Arial" w:cs="Arial"/>
                <w:b/>
              </w:rPr>
            </w:pPr>
          </w:p>
          <w:p w14:paraId="2302D10D" w14:textId="77777777" w:rsidR="00B01B1A" w:rsidRPr="00803C71" w:rsidRDefault="00B01B1A" w:rsidP="00D553CB">
            <w:pPr>
              <w:rPr>
                <w:rFonts w:ascii="Arial" w:eastAsia="Batang" w:hAnsi="Arial" w:cs="Arial"/>
                <w:b/>
              </w:rPr>
            </w:pPr>
          </w:p>
          <w:p w14:paraId="4EF1029A" w14:textId="77777777"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EFDA085" w14:textId="77777777" w:rsidR="00D553CB" w:rsidRPr="00803C71" w:rsidRDefault="00D553CB" w:rsidP="00D553CB">
            <w:pPr>
              <w:rPr>
                <w:rFonts w:ascii="Arial" w:eastAsia="Batang" w:hAnsi="Arial" w:cs="Arial"/>
              </w:rPr>
            </w:pPr>
            <w:r w:rsidRPr="00803C71">
              <w:rPr>
                <w:rFonts w:ascii="Arial" w:eastAsia="Batang" w:hAnsi="Arial" w:cs="Arial"/>
              </w:rPr>
              <w:t>10-9</w:t>
            </w:r>
          </w:p>
        </w:tc>
        <w:tc>
          <w:tcPr>
            <w:tcW w:w="1276" w:type="dxa"/>
            <w:shd w:val="clear" w:color="auto" w:fill="A8D08D" w:themeFill="accent6" w:themeFillTint="99"/>
          </w:tcPr>
          <w:p w14:paraId="3303C83D" w14:textId="77777777" w:rsidR="00D553CB" w:rsidRPr="00803C71" w:rsidRDefault="00D553CB" w:rsidP="00D553CB">
            <w:pPr>
              <w:rPr>
                <w:rFonts w:ascii="Arial" w:eastAsia="Batang" w:hAnsi="Arial" w:cs="Arial"/>
              </w:rPr>
            </w:pPr>
            <w:r w:rsidRPr="00803C71">
              <w:rPr>
                <w:rFonts w:ascii="Arial" w:eastAsia="Batang" w:hAnsi="Arial" w:cs="Arial"/>
              </w:rPr>
              <w:t>8-7</w:t>
            </w:r>
          </w:p>
        </w:tc>
        <w:tc>
          <w:tcPr>
            <w:tcW w:w="1984" w:type="dxa"/>
            <w:shd w:val="clear" w:color="auto" w:fill="E2EFD9" w:themeFill="accent6" w:themeFillTint="33"/>
          </w:tcPr>
          <w:p w14:paraId="33258F4C" w14:textId="77777777" w:rsidR="00D553CB" w:rsidRPr="00803C71" w:rsidRDefault="00D553CB" w:rsidP="00D553CB">
            <w:pPr>
              <w:rPr>
                <w:rFonts w:ascii="Arial" w:eastAsia="Batang" w:hAnsi="Arial" w:cs="Arial"/>
              </w:rPr>
            </w:pPr>
            <w:r w:rsidRPr="00803C71">
              <w:rPr>
                <w:rFonts w:ascii="Arial" w:eastAsia="Batang" w:hAnsi="Arial" w:cs="Arial"/>
              </w:rPr>
              <w:t>6-5</w:t>
            </w:r>
          </w:p>
        </w:tc>
        <w:tc>
          <w:tcPr>
            <w:tcW w:w="1134" w:type="dxa"/>
            <w:shd w:val="clear" w:color="auto" w:fill="FFE599" w:themeFill="accent4" w:themeFillTint="66"/>
          </w:tcPr>
          <w:p w14:paraId="42F726DC" w14:textId="77777777"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shd w:val="clear" w:color="auto" w:fill="FFC000"/>
          </w:tcPr>
          <w:p w14:paraId="1E9A8E01" w14:textId="77777777" w:rsidR="00D553CB" w:rsidRPr="00803C71" w:rsidRDefault="00D553CB" w:rsidP="00D553CB">
            <w:pPr>
              <w:rPr>
                <w:rFonts w:ascii="Arial" w:eastAsia="Batang" w:hAnsi="Arial" w:cs="Arial"/>
              </w:rPr>
            </w:pPr>
            <w:r w:rsidRPr="00803C71">
              <w:rPr>
                <w:rFonts w:ascii="Arial" w:eastAsia="Batang" w:hAnsi="Arial" w:cs="Arial"/>
              </w:rPr>
              <w:t>2-1</w:t>
            </w:r>
          </w:p>
        </w:tc>
        <w:tc>
          <w:tcPr>
            <w:tcW w:w="1984" w:type="dxa"/>
            <w:shd w:val="clear" w:color="auto" w:fill="FF0000"/>
          </w:tcPr>
          <w:p w14:paraId="2A468C2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6F7BEBE4" w14:textId="77777777" w:rsidR="00D553CB" w:rsidRPr="00803C71" w:rsidRDefault="00D553CB" w:rsidP="00D553CB">
            <w:pPr>
              <w:rPr>
                <w:rFonts w:ascii="Arial" w:eastAsia="Batang" w:hAnsi="Arial" w:cs="Arial"/>
              </w:rPr>
            </w:pPr>
            <w:r w:rsidRPr="00803C71">
              <w:rPr>
                <w:rFonts w:ascii="Arial" w:eastAsia="Batang" w:hAnsi="Arial" w:cs="Arial"/>
              </w:rPr>
              <w:t>10</w:t>
            </w:r>
          </w:p>
        </w:tc>
      </w:tr>
      <w:tr w:rsidR="00D553CB" w:rsidRPr="00803C71" w14:paraId="14BF7623" w14:textId="77777777" w:rsidTr="00CA6C6D">
        <w:trPr>
          <w:trHeight w:val="331"/>
          <w:jc w:val="center"/>
        </w:trPr>
        <w:tc>
          <w:tcPr>
            <w:tcW w:w="3544" w:type="dxa"/>
            <w:vMerge/>
            <w:shd w:val="clear" w:color="auto" w:fill="D9D9D9" w:themeFill="background1" w:themeFillShade="D9"/>
          </w:tcPr>
          <w:p w14:paraId="51D0CF85" w14:textId="77777777" w:rsidR="00D553CB" w:rsidRPr="00803C71" w:rsidRDefault="00D553CB" w:rsidP="00D553CB">
            <w:pPr>
              <w:rPr>
                <w:rFonts w:ascii="Arial" w:eastAsia="Batang" w:hAnsi="Arial" w:cs="Arial"/>
                <w:b/>
              </w:rPr>
            </w:pPr>
          </w:p>
        </w:tc>
        <w:tc>
          <w:tcPr>
            <w:tcW w:w="2410" w:type="dxa"/>
          </w:tcPr>
          <w:p w14:paraId="52B5FF94" w14:textId="2B6B0D94" w:rsidR="00D553CB" w:rsidRPr="00803C71" w:rsidRDefault="00D553CB" w:rsidP="00D553CB">
            <w:pPr>
              <w:rPr>
                <w:rFonts w:ascii="Arial" w:eastAsia="Batang" w:hAnsi="Arial" w:cs="Arial"/>
              </w:rPr>
            </w:pPr>
            <w:r w:rsidRPr="00803C71">
              <w:rPr>
                <w:rFonts w:ascii="Arial" w:eastAsia="Batang" w:hAnsi="Arial" w:cs="Arial"/>
              </w:rPr>
              <w:t xml:space="preserve">Very </w:t>
            </w:r>
            <w:r w:rsidR="00B01B1A">
              <w:rPr>
                <w:rFonts w:ascii="Arial" w:eastAsia="Batang" w:hAnsi="Arial" w:cs="Arial"/>
              </w:rPr>
              <w:t>st</w:t>
            </w:r>
            <w:r w:rsidRPr="00803C71">
              <w:rPr>
                <w:rFonts w:ascii="Arial" w:eastAsia="Batang" w:hAnsi="Arial" w:cs="Arial"/>
              </w:rPr>
              <w:t xml:space="preserve">rong fit </w:t>
            </w:r>
          </w:p>
        </w:tc>
        <w:tc>
          <w:tcPr>
            <w:tcW w:w="1276" w:type="dxa"/>
          </w:tcPr>
          <w:p w14:paraId="2B1AA536" w14:textId="77777777" w:rsidR="00D553CB" w:rsidRPr="00803C71" w:rsidRDefault="00D553CB" w:rsidP="00D553CB">
            <w:pPr>
              <w:rPr>
                <w:rFonts w:ascii="Arial" w:eastAsia="Batang" w:hAnsi="Arial" w:cs="Arial"/>
              </w:rPr>
            </w:pPr>
          </w:p>
        </w:tc>
        <w:tc>
          <w:tcPr>
            <w:tcW w:w="1984" w:type="dxa"/>
          </w:tcPr>
          <w:p w14:paraId="3840D74B" w14:textId="77777777" w:rsidR="00D553CB" w:rsidRPr="00803C71" w:rsidRDefault="00D553CB" w:rsidP="00D553CB">
            <w:pPr>
              <w:rPr>
                <w:rFonts w:ascii="Arial" w:eastAsia="Batang" w:hAnsi="Arial" w:cs="Arial"/>
              </w:rPr>
            </w:pPr>
            <w:r w:rsidRPr="00803C71">
              <w:rPr>
                <w:rFonts w:ascii="Arial" w:eastAsia="Batang" w:hAnsi="Arial" w:cs="Arial"/>
              </w:rPr>
              <w:t xml:space="preserve">Moderate fit </w:t>
            </w:r>
          </w:p>
        </w:tc>
        <w:tc>
          <w:tcPr>
            <w:tcW w:w="1134" w:type="dxa"/>
          </w:tcPr>
          <w:p w14:paraId="2A902772" w14:textId="77777777" w:rsidR="00D553CB" w:rsidRPr="00803C71" w:rsidRDefault="00D553CB" w:rsidP="00D553CB">
            <w:pPr>
              <w:rPr>
                <w:rFonts w:ascii="Arial" w:eastAsia="Batang" w:hAnsi="Arial" w:cs="Arial"/>
              </w:rPr>
            </w:pPr>
          </w:p>
        </w:tc>
        <w:tc>
          <w:tcPr>
            <w:tcW w:w="1843" w:type="dxa"/>
          </w:tcPr>
          <w:p w14:paraId="77461A06" w14:textId="77777777" w:rsidR="00D553CB" w:rsidRPr="00803C71" w:rsidRDefault="00D553CB" w:rsidP="00D553CB">
            <w:pPr>
              <w:rPr>
                <w:rFonts w:ascii="Arial" w:eastAsia="Batang" w:hAnsi="Arial" w:cs="Arial"/>
              </w:rPr>
            </w:pPr>
            <w:r w:rsidRPr="00803C71">
              <w:rPr>
                <w:rFonts w:ascii="Arial" w:eastAsia="Batang" w:hAnsi="Arial" w:cs="Arial"/>
              </w:rPr>
              <w:t>Low fit</w:t>
            </w:r>
          </w:p>
        </w:tc>
        <w:tc>
          <w:tcPr>
            <w:tcW w:w="1984" w:type="dxa"/>
          </w:tcPr>
          <w:p w14:paraId="576161AC" w14:textId="77777777" w:rsidR="00D553CB" w:rsidRPr="00803C71" w:rsidRDefault="00D553CB" w:rsidP="00D553CB">
            <w:pPr>
              <w:rPr>
                <w:rFonts w:ascii="Arial" w:eastAsia="Batang" w:hAnsi="Arial" w:cs="Arial"/>
              </w:rPr>
            </w:pPr>
            <w:r w:rsidRPr="00803C71">
              <w:rPr>
                <w:rFonts w:ascii="Arial" w:eastAsia="Batang" w:hAnsi="Arial" w:cs="Arial"/>
              </w:rPr>
              <w:t xml:space="preserve">No fit </w:t>
            </w:r>
          </w:p>
        </w:tc>
        <w:tc>
          <w:tcPr>
            <w:tcW w:w="851" w:type="dxa"/>
            <w:vMerge/>
          </w:tcPr>
          <w:p w14:paraId="4DECE950" w14:textId="77777777" w:rsidR="00D553CB" w:rsidRPr="00803C71" w:rsidRDefault="00D553CB" w:rsidP="00D553CB">
            <w:pPr>
              <w:rPr>
                <w:rFonts w:ascii="Arial" w:eastAsia="Batang" w:hAnsi="Arial" w:cs="Arial"/>
              </w:rPr>
            </w:pPr>
          </w:p>
        </w:tc>
      </w:tr>
      <w:tr w:rsidR="00D553CB" w:rsidRPr="00803C71" w14:paraId="35819FE0" w14:textId="77777777" w:rsidTr="00CA6C6D">
        <w:trPr>
          <w:trHeight w:val="161"/>
          <w:jc w:val="center"/>
        </w:trPr>
        <w:tc>
          <w:tcPr>
            <w:tcW w:w="12191" w:type="dxa"/>
            <w:gridSpan w:val="6"/>
          </w:tcPr>
          <w:p w14:paraId="1023C88D" w14:textId="77777777" w:rsidR="00D553CB" w:rsidRPr="00803C71" w:rsidRDefault="00D553CB" w:rsidP="00D553CB">
            <w:pPr>
              <w:rPr>
                <w:rFonts w:ascii="Arial" w:eastAsia="Batang" w:hAnsi="Arial" w:cs="Arial"/>
              </w:rPr>
            </w:pPr>
          </w:p>
        </w:tc>
        <w:tc>
          <w:tcPr>
            <w:tcW w:w="1984" w:type="dxa"/>
          </w:tcPr>
          <w:p w14:paraId="47D186AA" w14:textId="77777777" w:rsidR="00D553CB" w:rsidRPr="00803C71" w:rsidRDefault="00D553CB" w:rsidP="00D553CB">
            <w:pPr>
              <w:rPr>
                <w:rFonts w:ascii="Arial" w:eastAsia="Batang" w:hAnsi="Arial" w:cs="Arial"/>
              </w:rPr>
            </w:pPr>
            <w:r w:rsidRPr="00803C71">
              <w:rPr>
                <w:rFonts w:ascii="Arial" w:eastAsia="Batang" w:hAnsi="Arial" w:cs="Arial"/>
              </w:rPr>
              <w:t xml:space="preserve">Score </w:t>
            </w:r>
          </w:p>
        </w:tc>
        <w:tc>
          <w:tcPr>
            <w:tcW w:w="851" w:type="dxa"/>
          </w:tcPr>
          <w:p w14:paraId="4C27FF80" w14:textId="637130C5" w:rsidR="00D553CB" w:rsidRPr="00803C71" w:rsidRDefault="00D553CB" w:rsidP="00D553CB">
            <w:pPr>
              <w:rPr>
                <w:rFonts w:ascii="Arial" w:eastAsia="Batang" w:hAnsi="Arial" w:cs="Arial"/>
              </w:rPr>
            </w:pPr>
            <w:r w:rsidRPr="00803C71">
              <w:rPr>
                <w:rFonts w:ascii="Arial" w:eastAsia="Batang" w:hAnsi="Arial" w:cs="Arial"/>
              </w:rPr>
              <w:t xml:space="preserve"> /</w:t>
            </w:r>
            <w:r>
              <w:rPr>
                <w:rFonts w:ascii="Arial" w:eastAsia="Batang" w:hAnsi="Arial" w:cs="Arial"/>
              </w:rPr>
              <w:t>7</w:t>
            </w:r>
            <w:r w:rsidRPr="00803C71">
              <w:rPr>
                <w:rFonts w:ascii="Arial" w:eastAsia="Batang" w:hAnsi="Arial" w:cs="Arial"/>
              </w:rPr>
              <w:t>5</w:t>
            </w:r>
          </w:p>
        </w:tc>
      </w:tr>
      <w:bookmarkEnd w:id="18"/>
    </w:tbl>
    <w:p w14:paraId="75E6841D" w14:textId="77777777" w:rsidR="001148B4" w:rsidRDefault="001148B4"/>
    <w:sectPr w:rsidR="001148B4" w:rsidSect="00AB59DC">
      <w:headerReference w:type="even" r:id="rId30"/>
      <w:headerReference w:type="default" r:id="rId31"/>
      <w:footerReference w:type="default" r:id="rId32"/>
      <w:headerReference w:type="first" r:id="rId3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60CF" w14:textId="77777777" w:rsidR="00CB77CC" w:rsidRDefault="00CB77CC" w:rsidP="00A71F7B">
      <w:pPr>
        <w:spacing w:after="0" w:line="240" w:lineRule="auto"/>
      </w:pPr>
      <w:r>
        <w:separator/>
      </w:r>
    </w:p>
  </w:endnote>
  <w:endnote w:type="continuationSeparator" w:id="0">
    <w:p w14:paraId="782F4A8C" w14:textId="77777777" w:rsidR="00CB77CC" w:rsidRDefault="00CB77CC" w:rsidP="00A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MSans-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2E2D" w14:textId="77777777" w:rsidR="00CB77CC" w:rsidRDefault="00CB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870509"/>
      <w:docPartObj>
        <w:docPartGallery w:val="Page Numbers (Bottom of Page)"/>
        <w:docPartUnique/>
      </w:docPartObj>
    </w:sdtPr>
    <w:sdtEndPr>
      <w:rPr>
        <w:noProof/>
      </w:rPr>
    </w:sdtEndPr>
    <w:sdtContent>
      <w:p w14:paraId="057D93A1" w14:textId="2176E23B" w:rsidR="00CB77CC" w:rsidRDefault="00CB7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83D8F" w14:textId="77777777" w:rsidR="00CB77CC" w:rsidRDefault="00CB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C66D" w14:textId="77777777" w:rsidR="00CB77CC" w:rsidRDefault="00CB7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09539"/>
      <w:docPartObj>
        <w:docPartGallery w:val="Page Numbers (Bottom of Page)"/>
        <w:docPartUnique/>
      </w:docPartObj>
    </w:sdtPr>
    <w:sdtEndPr>
      <w:rPr>
        <w:noProof/>
      </w:rPr>
    </w:sdtEndPr>
    <w:sdtContent>
      <w:p w14:paraId="1FB955F8" w14:textId="77777777" w:rsidR="00CB77CC" w:rsidRDefault="00CB7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3DEA4" w14:textId="77777777" w:rsidR="00CB77CC" w:rsidRDefault="00CB77CC">
    <w:pPr>
      <w:pStyle w:val="Footer"/>
    </w:pPr>
  </w:p>
  <w:p w14:paraId="0F21015D" w14:textId="77777777" w:rsidR="00CB77CC" w:rsidRDefault="00CB77CC"/>
  <w:p w14:paraId="003E00B7" w14:textId="77777777" w:rsidR="00CB77CC" w:rsidRDefault="00CB7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5B76" w14:textId="77777777" w:rsidR="00CB77CC" w:rsidRDefault="00CB77CC" w:rsidP="00A71F7B">
      <w:pPr>
        <w:spacing w:after="0" w:line="240" w:lineRule="auto"/>
      </w:pPr>
      <w:r>
        <w:separator/>
      </w:r>
    </w:p>
  </w:footnote>
  <w:footnote w:type="continuationSeparator" w:id="0">
    <w:p w14:paraId="2F7B1B1D" w14:textId="77777777" w:rsidR="00CB77CC" w:rsidRDefault="00CB77CC" w:rsidP="00A71F7B">
      <w:pPr>
        <w:spacing w:after="0" w:line="240" w:lineRule="auto"/>
      </w:pPr>
      <w:r>
        <w:continuationSeparator/>
      </w:r>
    </w:p>
  </w:footnote>
  <w:footnote w:id="1">
    <w:p w14:paraId="61B2C84D" w14:textId="35D6D8D0" w:rsidR="00CB77CC" w:rsidRPr="001A15AA" w:rsidRDefault="00CB77CC">
      <w:pPr>
        <w:pStyle w:val="FootnoteText"/>
        <w:rPr>
          <w:rFonts w:ascii="Arial" w:hAnsi="Arial" w:cs="Arial"/>
          <w:color w:val="5B9BD5" w:themeColor="accent5"/>
          <w:sz w:val="16"/>
          <w:szCs w:val="16"/>
        </w:rPr>
      </w:pPr>
      <w:r>
        <w:rPr>
          <w:rStyle w:val="FootnoteReference"/>
        </w:rPr>
        <w:footnoteRef/>
      </w:r>
      <w:r>
        <w:t xml:space="preserve"> </w:t>
      </w:r>
      <w:hyperlink r:id="rId1" w:history="1">
        <w:r w:rsidRPr="001A15AA">
          <w:rPr>
            <w:rStyle w:val="Hyperlink"/>
            <w:rFonts w:ascii="Arial" w:hAnsi="Arial" w:cs="Arial"/>
            <w:color w:val="5B9BD5" w:themeColor="accent5"/>
            <w:sz w:val="16"/>
            <w:szCs w:val="16"/>
          </w:rPr>
          <w:t>Skills for a Green Economy (publishing.service.gov.uk)</w:t>
        </w:r>
      </w:hyperlink>
    </w:p>
  </w:footnote>
  <w:footnote w:id="2">
    <w:p w14:paraId="741C4827" w14:textId="0B8C6F9D" w:rsidR="00CB77CC" w:rsidRPr="001A15AA" w:rsidRDefault="00CB77CC">
      <w:pPr>
        <w:pStyle w:val="FootnoteText"/>
        <w:rPr>
          <w:rFonts w:ascii="Arial" w:hAnsi="Arial" w:cs="Arial"/>
          <w:color w:val="5B9BD5" w:themeColor="accent5"/>
          <w:sz w:val="16"/>
          <w:szCs w:val="16"/>
        </w:rPr>
      </w:pPr>
      <w:r w:rsidRPr="003B3C7D">
        <w:rPr>
          <w:rStyle w:val="FootnoteReference"/>
          <w:rFonts w:ascii="Arial" w:hAnsi="Arial" w:cs="Arial"/>
          <w:b/>
          <w:bCs/>
          <w:sz w:val="16"/>
          <w:szCs w:val="16"/>
        </w:rPr>
        <w:footnoteRef/>
      </w:r>
      <w:r w:rsidRPr="003B3C7D">
        <w:rPr>
          <w:rFonts w:ascii="Arial" w:hAnsi="Arial" w:cs="Arial"/>
          <w:b/>
          <w:bCs/>
          <w:sz w:val="16"/>
          <w:szCs w:val="16"/>
        </w:rPr>
        <w:t xml:space="preserve"> </w:t>
      </w:r>
      <w:r w:rsidRPr="001A15AA">
        <w:rPr>
          <w:rFonts w:ascii="Arial" w:hAnsi="Arial" w:cs="Arial"/>
          <w:color w:val="5B9BD5" w:themeColor="accent5"/>
          <w:sz w:val="16"/>
          <w:szCs w:val="16"/>
        </w:rPr>
        <w:t>Department for Business, Energy &amp; Industrial Strategy (October 2017) Clean Growth Strategy</w:t>
      </w:r>
    </w:p>
  </w:footnote>
  <w:footnote w:id="3">
    <w:p w14:paraId="1024241F" w14:textId="59D69C7C" w:rsidR="00CB77CC" w:rsidRPr="003B3C7D" w:rsidRDefault="00CB77CC">
      <w:pPr>
        <w:pStyle w:val="FootnoteText"/>
        <w:rPr>
          <w:rFonts w:ascii="Arial" w:hAnsi="Arial" w:cs="Arial"/>
          <w:color w:val="5B9BD5" w:themeColor="accent5"/>
          <w:sz w:val="16"/>
          <w:szCs w:val="16"/>
        </w:rPr>
      </w:pPr>
      <w:r>
        <w:rPr>
          <w:rStyle w:val="FootnoteReference"/>
        </w:rPr>
        <w:footnoteRef/>
      </w:r>
      <w:r>
        <w:t xml:space="preserve"> </w:t>
      </w:r>
      <w:r w:rsidRPr="003B3C7D">
        <w:rPr>
          <w:rFonts w:ascii="Arial" w:hAnsi="Arial" w:cs="Arial"/>
          <w:color w:val="5B9BD5" w:themeColor="accent5"/>
          <w:sz w:val="16"/>
          <w:szCs w:val="16"/>
        </w:rPr>
        <w:t>Local Government Association (June 2020) Local green jobs – accelerating a sustainable economic recovery</w:t>
      </w:r>
    </w:p>
  </w:footnote>
  <w:footnote w:id="4">
    <w:p w14:paraId="469E6E82" w14:textId="5B836248" w:rsidR="00CB77CC" w:rsidRDefault="00CB77CC">
      <w:pPr>
        <w:pStyle w:val="FootnoteText"/>
      </w:pPr>
      <w:r>
        <w:rPr>
          <w:rStyle w:val="FootnoteReference"/>
        </w:rPr>
        <w:footnoteRef/>
      </w:r>
      <w:r>
        <w:t xml:space="preserve"> </w:t>
      </w:r>
      <w:hyperlink r:id="rId2" w:history="1">
        <w:r w:rsidRPr="00115BC0">
          <w:rPr>
            <w:rStyle w:val="Hyperlink"/>
          </w:rPr>
          <w:t>https://www.northoftyne-ca.gov.uk/wp-content/uploads/2020/11/North-of-Tyne-Combined-Authority-Outputs-Guidance.pdf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191D" w14:textId="77777777" w:rsidR="00CB77CC" w:rsidRDefault="00CB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09D7" w14:textId="6A375C66" w:rsidR="00CB77CC" w:rsidRDefault="00CB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127A" w14:textId="77777777" w:rsidR="00CB77CC" w:rsidRDefault="00CB7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CB77CC" w:rsidRDefault="00CB77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DF11" w14:textId="77777777" w:rsidR="00CB77CC" w:rsidRDefault="00CB77CC">
    <w:pPr>
      <w:pStyle w:val="Header"/>
    </w:pPr>
  </w:p>
  <w:p w14:paraId="4E0E505D" w14:textId="77777777" w:rsidR="00CB77CC" w:rsidRDefault="00CB77CC"/>
  <w:p w14:paraId="162DDAAD" w14:textId="77777777" w:rsidR="00CB77CC" w:rsidRDefault="00CB77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CB77CC" w:rsidRDefault="00CB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943"/>
    <w:multiLevelType w:val="multilevel"/>
    <w:tmpl w:val="9EE4126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B5D6F"/>
    <w:multiLevelType w:val="hybridMultilevel"/>
    <w:tmpl w:val="887C6FF0"/>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E3F1C"/>
    <w:multiLevelType w:val="hybridMultilevel"/>
    <w:tmpl w:val="B0C4D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00186"/>
    <w:multiLevelType w:val="hybridMultilevel"/>
    <w:tmpl w:val="FCF8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82EEB"/>
    <w:multiLevelType w:val="hybridMultilevel"/>
    <w:tmpl w:val="63148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C24CC"/>
    <w:multiLevelType w:val="hybridMultilevel"/>
    <w:tmpl w:val="DE22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DF0EC"/>
    <w:multiLevelType w:val="hybridMultilevel"/>
    <w:tmpl w:val="873AE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4026CB"/>
    <w:multiLevelType w:val="hybridMultilevel"/>
    <w:tmpl w:val="51182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41425D"/>
    <w:multiLevelType w:val="hybridMultilevel"/>
    <w:tmpl w:val="4E3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92D66"/>
    <w:multiLevelType w:val="hybridMultilevel"/>
    <w:tmpl w:val="AF8C139C"/>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2285"/>
    <w:multiLevelType w:val="hybridMultilevel"/>
    <w:tmpl w:val="EBA60892"/>
    <w:lvl w:ilvl="0" w:tplc="8B748856">
      <w:start w:val="1"/>
      <w:numFmt w:val="bullet"/>
      <w:lvlText w:val=""/>
      <w:lvlJc w:val="left"/>
      <w:pPr>
        <w:tabs>
          <w:tab w:val="num" w:pos="720"/>
        </w:tabs>
        <w:ind w:left="720" w:hanging="360"/>
      </w:pPr>
      <w:rPr>
        <w:rFonts w:ascii="Symbol" w:hAnsi="Symbol" w:hint="default"/>
        <w:sz w:val="20"/>
      </w:rPr>
    </w:lvl>
    <w:lvl w:ilvl="1" w:tplc="BCBC0622">
      <w:start w:val="4"/>
      <w:numFmt w:val="decimal"/>
      <w:lvlText w:val="%2."/>
      <w:lvlJc w:val="left"/>
      <w:pPr>
        <w:ind w:left="1440" w:hanging="360"/>
      </w:pPr>
      <w:rPr>
        <w:rFonts w:hint="default"/>
      </w:rPr>
    </w:lvl>
    <w:lvl w:ilvl="2" w:tplc="85E04664" w:tentative="1">
      <w:start w:val="1"/>
      <w:numFmt w:val="bullet"/>
      <w:lvlText w:val=""/>
      <w:lvlJc w:val="left"/>
      <w:pPr>
        <w:tabs>
          <w:tab w:val="num" w:pos="2160"/>
        </w:tabs>
        <w:ind w:left="2160" w:hanging="360"/>
      </w:pPr>
      <w:rPr>
        <w:rFonts w:ascii="Symbol" w:hAnsi="Symbol" w:hint="default"/>
        <w:sz w:val="20"/>
      </w:rPr>
    </w:lvl>
    <w:lvl w:ilvl="3" w:tplc="B5E0F576" w:tentative="1">
      <w:start w:val="1"/>
      <w:numFmt w:val="bullet"/>
      <w:lvlText w:val=""/>
      <w:lvlJc w:val="left"/>
      <w:pPr>
        <w:tabs>
          <w:tab w:val="num" w:pos="2880"/>
        </w:tabs>
        <w:ind w:left="2880" w:hanging="360"/>
      </w:pPr>
      <w:rPr>
        <w:rFonts w:ascii="Symbol" w:hAnsi="Symbol" w:hint="default"/>
        <w:sz w:val="20"/>
      </w:rPr>
    </w:lvl>
    <w:lvl w:ilvl="4" w:tplc="79F2DA5C" w:tentative="1">
      <w:start w:val="1"/>
      <w:numFmt w:val="bullet"/>
      <w:lvlText w:val=""/>
      <w:lvlJc w:val="left"/>
      <w:pPr>
        <w:tabs>
          <w:tab w:val="num" w:pos="3600"/>
        </w:tabs>
        <w:ind w:left="3600" w:hanging="360"/>
      </w:pPr>
      <w:rPr>
        <w:rFonts w:ascii="Symbol" w:hAnsi="Symbol" w:hint="default"/>
        <w:sz w:val="20"/>
      </w:rPr>
    </w:lvl>
    <w:lvl w:ilvl="5" w:tplc="A44462D4" w:tentative="1">
      <w:start w:val="1"/>
      <w:numFmt w:val="bullet"/>
      <w:lvlText w:val=""/>
      <w:lvlJc w:val="left"/>
      <w:pPr>
        <w:tabs>
          <w:tab w:val="num" w:pos="4320"/>
        </w:tabs>
        <w:ind w:left="4320" w:hanging="360"/>
      </w:pPr>
      <w:rPr>
        <w:rFonts w:ascii="Symbol" w:hAnsi="Symbol" w:hint="default"/>
        <w:sz w:val="20"/>
      </w:rPr>
    </w:lvl>
    <w:lvl w:ilvl="6" w:tplc="CB3447A8" w:tentative="1">
      <w:start w:val="1"/>
      <w:numFmt w:val="bullet"/>
      <w:lvlText w:val=""/>
      <w:lvlJc w:val="left"/>
      <w:pPr>
        <w:tabs>
          <w:tab w:val="num" w:pos="5040"/>
        </w:tabs>
        <w:ind w:left="5040" w:hanging="360"/>
      </w:pPr>
      <w:rPr>
        <w:rFonts w:ascii="Symbol" w:hAnsi="Symbol" w:hint="default"/>
        <w:sz w:val="20"/>
      </w:rPr>
    </w:lvl>
    <w:lvl w:ilvl="7" w:tplc="84169E08" w:tentative="1">
      <w:start w:val="1"/>
      <w:numFmt w:val="bullet"/>
      <w:lvlText w:val=""/>
      <w:lvlJc w:val="left"/>
      <w:pPr>
        <w:tabs>
          <w:tab w:val="num" w:pos="5760"/>
        </w:tabs>
        <w:ind w:left="5760" w:hanging="360"/>
      </w:pPr>
      <w:rPr>
        <w:rFonts w:ascii="Symbol" w:hAnsi="Symbol" w:hint="default"/>
        <w:sz w:val="20"/>
      </w:rPr>
    </w:lvl>
    <w:lvl w:ilvl="8" w:tplc="03DC75C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166ED"/>
    <w:multiLevelType w:val="hybridMultilevel"/>
    <w:tmpl w:val="BDC0F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63EF3"/>
    <w:multiLevelType w:val="hybridMultilevel"/>
    <w:tmpl w:val="A4D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B38FB"/>
    <w:multiLevelType w:val="hybridMultilevel"/>
    <w:tmpl w:val="12ACCB6C"/>
    <w:lvl w:ilvl="0" w:tplc="5ACEF6B0">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A78673EE">
      <w:start w:val="1"/>
      <w:numFmt w:val="bullet"/>
      <w:lvlText w:val=""/>
      <w:lvlJc w:val="left"/>
      <w:pPr>
        <w:ind w:left="1800" w:hanging="360"/>
      </w:pPr>
      <w:rPr>
        <w:rFonts w:ascii="Wingdings" w:hAnsi="Wingdings" w:hint="default"/>
      </w:rPr>
    </w:lvl>
    <w:lvl w:ilvl="3" w:tplc="12F80564">
      <w:start w:val="1"/>
      <w:numFmt w:val="bullet"/>
      <w:lvlText w:val=""/>
      <w:lvlJc w:val="left"/>
      <w:pPr>
        <w:ind w:left="2520" w:hanging="360"/>
      </w:pPr>
      <w:rPr>
        <w:rFonts w:ascii="Symbol" w:hAnsi="Symbol" w:hint="default"/>
      </w:rPr>
    </w:lvl>
    <w:lvl w:ilvl="4" w:tplc="17F21532">
      <w:start w:val="1"/>
      <w:numFmt w:val="bullet"/>
      <w:lvlText w:val="o"/>
      <w:lvlJc w:val="left"/>
      <w:pPr>
        <w:ind w:left="3240" w:hanging="360"/>
      </w:pPr>
      <w:rPr>
        <w:rFonts w:ascii="Courier New" w:hAnsi="Courier New" w:hint="default"/>
      </w:rPr>
    </w:lvl>
    <w:lvl w:ilvl="5" w:tplc="8B606936">
      <w:start w:val="1"/>
      <w:numFmt w:val="bullet"/>
      <w:lvlText w:val=""/>
      <w:lvlJc w:val="left"/>
      <w:pPr>
        <w:ind w:left="3960" w:hanging="360"/>
      </w:pPr>
      <w:rPr>
        <w:rFonts w:ascii="Wingdings" w:hAnsi="Wingdings" w:hint="default"/>
      </w:rPr>
    </w:lvl>
    <w:lvl w:ilvl="6" w:tplc="9D7C13CC">
      <w:start w:val="1"/>
      <w:numFmt w:val="bullet"/>
      <w:lvlText w:val=""/>
      <w:lvlJc w:val="left"/>
      <w:pPr>
        <w:ind w:left="4680" w:hanging="360"/>
      </w:pPr>
      <w:rPr>
        <w:rFonts w:ascii="Symbol" w:hAnsi="Symbol" w:hint="default"/>
      </w:rPr>
    </w:lvl>
    <w:lvl w:ilvl="7" w:tplc="C8BA1C08">
      <w:start w:val="1"/>
      <w:numFmt w:val="bullet"/>
      <w:lvlText w:val="o"/>
      <w:lvlJc w:val="left"/>
      <w:pPr>
        <w:ind w:left="5400" w:hanging="360"/>
      </w:pPr>
      <w:rPr>
        <w:rFonts w:ascii="Courier New" w:hAnsi="Courier New" w:hint="default"/>
      </w:rPr>
    </w:lvl>
    <w:lvl w:ilvl="8" w:tplc="B2E20A7C">
      <w:start w:val="1"/>
      <w:numFmt w:val="bullet"/>
      <w:lvlText w:val=""/>
      <w:lvlJc w:val="left"/>
      <w:pPr>
        <w:ind w:left="6120" w:hanging="360"/>
      </w:pPr>
      <w:rPr>
        <w:rFonts w:ascii="Wingdings" w:hAnsi="Wingdings" w:hint="default"/>
      </w:rPr>
    </w:lvl>
  </w:abstractNum>
  <w:abstractNum w:abstractNumId="15" w15:restartNumberingAfterBreak="0">
    <w:nsid w:val="290904BA"/>
    <w:multiLevelType w:val="hybridMultilevel"/>
    <w:tmpl w:val="AC4A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3B48"/>
    <w:multiLevelType w:val="hybridMultilevel"/>
    <w:tmpl w:val="D5E8A3A4"/>
    <w:lvl w:ilvl="0" w:tplc="D10C3A9A">
      <w:start w:val="4"/>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BE20259"/>
    <w:multiLevelType w:val="hybridMultilevel"/>
    <w:tmpl w:val="1F1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653F4"/>
    <w:multiLevelType w:val="hybridMultilevel"/>
    <w:tmpl w:val="FFA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AE4565"/>
    <w:multiLevelType w:val="hybridMultilevel"/>
    <w:tmpl w:val="D1E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D0B1C"/>
    <w:multiLevelType w:val="hybridMultilevel"/>
    <w:tmpl w:val="384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470E4"/>
    <w:multiLevelType w:val="hybridMultilevel"/>
    <w:tmpl w:val="F500993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02A98"/>
    <w:multiLevelType w:val="hybridMultilevel"/>
    <w:tmpl w:val="A8B823AA"/>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769545B"/>
    <w:multiLevelType w:val="multilevel"/>
    <w:tmpl w:val="C19E7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F34D3"/>
    <w:multiLevelType w:val="hybridMultilevel"/>
    <w:tmpl w:val="9E1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04FD1"/>
    <w:multiLevelType w:val="hybridMultilevel"/>
    <w:tmpl w:val="9AA2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B5277"/>
    <w:multiLevelType w:val="hybridMultilevel"/>
    <w:tmpl w:val="EEE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F3723"/>
    <w:multiLevelType w:val="hybridMultilevel"/>
    <w:tmpl w:val="0DB4F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E36C31"/>
    <w:multiLevelType w:val="hybridMultilevel"/>
    <w:tmpl w:val="F84ADC6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B18A0"/>
    <w:multiLevelType w:val="hybridMultilevel"/>
    <w:tmpl w:val="EB56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57FC6"/>
    <w:multiLevelType w:val="hybridMultilevel"/>
    <w:tmpl w:val="29F8649E"/>
    <w:lvl w:ilvl="0" w:tplc="807EEFF8">
      <w:start w:val="1"/>
      <w:numFmt w:val="bullet"/>
      <w:lvlText w:val=""/>
      <w:lvlJc w:val="left"/>
      <w:pPr>
        <w:tabs>
          <w:tab w:val="num" w:pos="720"/>
        </w:tabs>
        <w:ind w:left="720" w:hanging="360"/>
      </w:pPr>
      <w:rPr>
        <w:rFonts w:ascii="Symbol" w:hAnsi="Symbol" w:hint="default"/>
        <w:sz w:val="20"/>
      </w:rPr>
    </w:lvl>
    <w:lvl w:ilvl="1" w:tplc="9754E3FE" w:tentative="1">
      <w:start w:val="1"/>
      <w:numFmt w:val="bullet"/>
      <w:lvlText w:val=""/>
      <w:lvlJc w:val="left"/>
      <w:pPr>
        <w:tabs>
          <w:tab w:val="num" w:pos="1440"/>
        </w:tabs>
        <w:ind w:left="1440" w:hanging="360"/>
      </w:pPr>
      <w:rPr>
        <w:rFonts w:ascii="Symbol" w:hAnsi="Symbol" w:hint="default"/>
        <w:sz w:val="20"/>
      </w:rPr>
    </w:lvl>
    <w:lvl w:ilvl="2" w:tplc="341A4870" w:tentative="1">
      <w:start w:val="1"/>
      <w:numFmt w:val="bullet"/>
      <w:lvlText w:val=""/>
      <w:lvlJc w:val="left"/>
      <w:pPr>
        <w:tabs>
          <w:tab w:val="num" w:pos="2160"/>
        </w:tabs>
        <w:ind w:left="2160" w:hanging="360"/>
      </w:pPr>
      <w:rPr>
        <w:rFonts w:ascii="Symbol" w:hAnsi="Symbol" w:hint="default"/>
        <w:sz w:val="20"/>
      </w:rPr>
    </w:lvl>
    <w:lvl w:ilvl="3" w:tplc="7ED8AE9E" w:tentative="1">
      <w:start w:val="1"/>
      <w:numFmt w:val="bullet"/>
      <w:lvlText w:val=""/>
      <w:lvlJc w:val="left"/>
      <w:pPr>
        <w:tabs>
          <w:tab w:val="num" w:pos="2880"/>
        </w:tabs>
        <w:ind w:left="2880" w:hanging="360"/>
      </w:pPr>
      <w:rPr>
        <w:rFonts w:ascii="Symbol" w:hAnsi="Symbol" w:hint="default"/>
        <w:sz w:val="20"/>
      </w:rPr>
    </w:lvl>
    <w:lvl w:ilvl="4" w:tplc="986030F4" w:tentative="1">
      <w:start w:val="1"/>
      <w:numFmt w:val="bullet"/>
      <w:lvlText w:val=""/>
      <w:lvlJc w:val="left"/>
      <w:pPr>
        <w:tabs>
          <w:tab w:val="num" w:pos="3600"/>
        </w:tabs>
        <w:ind w:left="3600" w:hanging="360"/>
      </w:pPr>
      <w:rPr>
        <w:rFonts w:ascii="Symbol" w:hAnsi="Symbol" w:hint="default"/>
        <w:sz w:val="20"/>
      </w:rPr>
    </w:lvl>
    <w:lvl w:ilvl="5" w:tplc="69BE2984" w:tentative="1">
      <w:start w:val="1"/>
      <w:numFmt w:val="bullet"/>
      <w:lvlText w:val=""/>
      <w:lvlJc w:val="left"/>
      <w:pPr>
        <w:tabs>
          <w:tab w:val="num" w:pos="4320"/>
        </w:tabs>
        <w:ind w:left="4320" w:hanging="360"/>
      </w:pPr>
      <w:rPr>
        <w:rFonts w:ascii="Symbol" w:hAnsi="Symbol" w:hint="default"/>
        <w:sz w:val="20"/>
      </w:rPr>
    </w:lvl>
    <w:lvl w:ilvl="6" w:tplc="0AE8DCA0" w:tentative="1">
      <w:start w:val="1"/>
      <w:numFmt w:val="bullet"/>
      <w:lvlText w:val=""/>
      <w:lvlJc w:val="left"/>
      <w:pPr>
        <w:tabs>
          <w:tab w:val="num" w:pos="5040"/>
        </w:tabs>
        <w:ind w:left="5040" w:hanging="360"/>
      </w:pPr>
      <w:rPr>
        <w:rFonts w:ascii="Symbol" w:hAnsi="Symbol" w:hint="default"/>
        <w:sz w:val="20"/>
      </w:rPr>
    </w:lvl>
    <w:lvl w:ilvl="7" w:tplc="A1C0B25C" w:tentative="1">
      <w:start w:val="1"/>
      <w:numFmt w:val="bullet"/>
      <w:lvlText w:val=""/>
      <w:lvlJc w:val="left"/>
      <w:pPr>
        <w:tabs>
          <w:tab w:val="num" w:pos="5760"/>
        </w:tabs>
        <w:ind w:left="5760" w:hanging="360"/>
      </w:pPr>
      <w:rPr>
        <w:rFonts w:ascii="Symbol" w:hAnsi="Symbol" w:hint="default"/>
        <w:sz w:val="20"/>
      </w:rPr>
    </w:lvl>
    <w:lvl w:ilvl="8" w:tplc="F3129B9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CF47B6"/>
    <w:multiLevelType w:val="hybridMultilevel"/>
    <w:tmpl w:val="D6BEBA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157B7"/>
    <w:multiLevelType w:val="hybridMultilevel"/>
    <w:tmpl w:val="8292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0F4934"/>
    <w:multiLevelType w:val="hybridMultilevel"/>
    <w:tmpl w:val="24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3412F"/>
    <w:multiLevelType w:val="hybridMultilevel"/>
    <w:tmpl w:val="B4E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A618B"/>
    <w:multiLevelType w:val="hybridMultilevel"/>
    <w:tmpl w:val="D4C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02A2B"/>
    <w:multiLevelType w:val="hybridMultilevel"/>
    <w:tmpl w:val="FC0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E636F"/>
    <w:multiLevelType w:val="hybridMultilevel"/>
    <w:tmpl w:val="D03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03F85"/>
    <w:multiLevelType w:val="hybridMultilevel"/>
    <w:tmpl w:val="4A2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A380E"/>
    <w:multiLevelType w:val="hybridMultilevel"/>
    <w:tmpl w:val="86308688"/>
    <w:lvl w:ilvl="0" w:tplc="0809000F">
      <w:start w:val="1"/>
      <w:numFmt w:val="decimal"/>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DA77D4"/>
    <w:multiLevelType w:val="hybridMultilevel"/>
    <w:tmpl w:val="F9FE2B12"/>
    <w:lvl w:ilvl="0" w:tplc="0809000F">
      <w:start w:val="1"/>
      <w:numFmt w:val="decimal"/>
      <w:lvlText w:val="%1."/>
      <w:lvlJc w:val="left"/>
      <w:pPr>
        <w:ind w:left="360" w:hanging="360"/>
      </w:pPr>
      <w:rPr>
        <w:rFonts w:hint="default"/>
        <w:b/>
        <w:bCs/>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9B1934"/>
    <w:multiLevelType w:val="hybridMultilevel"/>
    <w:tmpl w:val="1DB63E3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F3CCA"/>
    <w:multiLevelType w:val="hybridMultilevel"/>
    <w:tmpl w:val="A5A2A1F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E4EE9"/>
    <w:multiLevelType w:val="hybridMultilevel"/>
    <w:tmpl w:val="25F0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FC07E3"/>
    <w:multiLevelType w:val="hybridMultilevel"/>
    <w:tmpl w:val="531CBF0A"/>
    <w:lvl w:ilvl="0" w:tplc="08090001">
      <w:start w:val="1"/>
      <w:numFmt w:val="bullet"/>
      <w:lvlText w:val=""/>
      <w:lvlJc w:val="left"/>
      <w:pPr>
        <w:ind w:left="720" w:hanging="360"/>
      </w:pPr>
      <w:rPr>
        <w:rFonts w:ascii="Symbol" w:hAnsi="Symbol" w:hint="default"/>
      </w:rPr>
    </w:lvl>
    <w:lvl w:ilvl="1" w:tplc="8E783692">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0"/>
  </w:num>
  <w:num w:numId="4">
    <w:abstractNumId w:val="11"/>
  </w:num>
  <w:num w:numId="5">
    <w:abstractNumId w:val="30"/>
  </w:num>
  <w:num w:numId="6">
    <w:abstractNumId w:val="32"/>
  </w:num>
  <w:num w:numId="7">
    <w:abstractNumId w:val="40"/>
  </w:num>
  <w:num w:numId="8">
    <w:abstractNumId w:val="41"/>
  </w:num>
  <w:num w:numId="9">
    <w:abstractNumId w:val="24"/>
  </w:num>
  <w:num w:numId="10">
    <w:abstractNumId w:val="13"/>
  </w:num>
  <w:num w:numId="11">
    <w:abstractNumId w:val="33"/>
  </w:num>
  <w:num w:numId="12">
    <w:abstractNumId w:val="37"/>
  </w:num>
  <w:num w:numId="13">
    <w:abstractNumId w:val="9"/>
  </w:num>
  <w:num w:numId="14">
    <w:abstractNumId w:val="39"/>
  </w:num>
  <w:num w:numId="15">
    <w:abstractNumId w:val="43"/>
  </w:num>
  <w:num w:numId="16">
    <w:abstractNumId w:val="16"/>
  </w:num>
  <w:num w:numId="17">
    <w:abstractNumId w:val="38"/>
  </w:num>
  <w:num w:numId="18">
    <w:abstractNumId w:val="8"/>
  </w:num>
  <w:num w:numId="19">
    <w:abstractNumId w:val="14"/>
  </w:num>
  <w:num w:numId="20">
    <w:abstractNumId w:val="2"/>
  </w:num>
  <w:num w:numId="21">
    <w:abstractNumId w:val="3"/>
  </w:num>
  <w:num w:numId="22">
    <w:abstractNumId w:val="27"/>
  </w:num>
  <w:num w:numId="23">
    <w:abstractNumId w:val="31"/>
  </w:num>
  <w:num w:numId="24">
    <w:abstractNumId w:val="22"/>
  </w:num>
  <w:num w:numId="25">
    <w:abstractNumId w:val="42"/>
  </w:num>
  <w:num w:numId="26">
    <w:abstractNumId w:val="18"/>
  </w:num>
  <w:num w:numId="27">
    <w:abstractNumId w:val="0"/>
  </w:num>
  <w:num w:numId="28">
    <w:abstractNumId w:val="1"/>
  </w:num>
  <w:num w:numId="29">
    <w:abstractNumId w:val="21"/>
  </w:num>
  <w:num w:numId="30">
    <w:abstractNumId w:val="5"/>
  </w:num>
  <w:num w:numId="31">
    <w:abstractNumId w:val="29"/>
  </w:num>
  <w:num w:numId="32">
    <w:abstractNumId w:val="20"/>
  </w:num>
  <w:num w:numId="33">
    <w:abstractNumId w:val="17"/>
  </w:num>
  <w:num w:numId="34">
    <w:abstractNumId w:val="44"/>
  </w:num>
  <w:num w:numId="35">
    <w:abstractNumId w:val="7"/>
  </w:num>
  <w:num w:numId="36">
    <w:abstractNumId w:val="6"/>
  </w:num>
  <w:num w:numId="37">
    <w:abstractNumId w:val="12"/>
  </w:num>
  <w:num w:numId="38">
    <w:abstractNumId w:val="23"/>
  </w:num>
  <w:num w:numId="39">
    <w:abstractNumId w:val="35"/>
  </w:num>
  <w:num w:numId="40">
    <w:abstractNumId w:val="26"/>
  </w:num>
  <w:num w:numId="41">
    <w:abstractNumId w:val="36"/>
  </w:num>
  <w:num w:numId="42">
    <w:abstractNumId w:val="4"/>
  </w:num>
  <w:num w:numId="43">
    <w:abstractNumId w:val="34"/>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4DFF"/>
    <w:rsid w:val="0001222F"/>
    <w:rsid w:val="00013031"/>
    <w:rsid w:val="000234D8"/>
    <w:rsid w:val="000251C6"/>
    <w:rsid w:val="00025E4D"/>
    <w:rsid w:val="000267E9"/>
    <w:rsid w:val="00046C9C"/>
    <w:rsid w:val="0005306C"/>
    <w:rsid w:val="0005504D"/>
    <w:rsid w:val="00057DCD"/>
    <w:rsid w:val="00061363"/>
    <w:rsid w:val="00063142"/>
    <w:rsid w:val="00066675"/>
    <w:rsid w:val="00067736"/>
    <w:rsid w:val="000711B2"/>
    <w:rsid w:val="00073932"/>
    <w:rsid w:val="00076844"/>
    <w:rsid w:val="0008208F"/>
    <w:rsid w:val="000901AC"/>
    <w:rsid w:val="00095332"/>
    <w:rsid w:val="000A1EB7"/>
    <w:rsid w:val="000A5CDB"/>
    <w:rsid w:val="000C1DFF"/>
    <w:rsid w:val="000C28CF"/>
    <w:rsid w:val="000D41AF"/>
    <w:rsid w:val="000E5ACF"/>
    <w:rsid w:val="000F0D8B"/>
    <w:rsid w:val="000F25FF"/>
    <w:rsid w:val="00100939"/>
    <w:rsid w:val="00110063"/>
    <w:rsid w:val="001148B4"/>
    <w:rsid w:val="001154A4"/>
    <w:rsid w:val="001201C1"/>
    <w:rsid w:val="00120202"/>
    <w:rsid w:val="001206A2"/>
    <w:rsid w:val="0012147E"/>
    <w:rsid w:val="00124557"/>
    <w:rsid w:val="00125829"/>
    <w:rsid w:val="00126E88"/>
    <w:rsid w:val="0012792E"/>
    <w:rsid w:val="00130C4C"/>
    <w:rsid w:val="0013262E"/>
    <w:rsid w:val="00134C11"/>
    <w:rsid w:val="0014286F"/>
    <w:rsid w:val="001430FF"/>
    <w:rsid w:val="00147968"/>
    <w:rsid w:val="00157331"/>
    <w:rsid w:val="001673B3"/>
    <w:rsid w:val="001705A6"/>
    <w:rsid w:val="00172714"/>
    <w:rsid w:val="0017551E"/>
    <w:rsid w:val="00176AFF"/>
    <w:rsid w:val="001775D2"/>
    <w:rsid w:val="0018131F"/>
    <w:rsid w:val="00191FF8"/>
    <w:rsid w:val="00194CD7"/>
    <w:rsid w:val="00197ECB"/>
    <w:rsid w:val="001A0398"/>
    <w:rsid w:val="001A15AA"/>
    <w:rsid w:val="001A6824"/>
    <w:rsid w:val="001B31E8"/>
    <w:rsid w:val="001B396D"/>
    <w:rsid w:val="001B4661"/>
    <w:rsid w:val="001B4A78"/>
    <w:rsid w:val="001B7472"/>
    <w:rsid w:val="001C17BD"/>
    <w:rsid w:val="001C183A"/>
    <w:rsid w:val="001C4820"/>
    <w:rsid w:val="001D3E9D"/>
    <w:rsid w:val="001E2658"/>
    <w:rsid w:val="001E2BF2"/>
    <w:rsid w:val="001E5669"/>
    <w:rsid w:val="001E6FEA"/>
    <w:rsid w:val="001F1B25"/>
    <w:rsid w:val="001F2C73"/>
    <w:rsid w:val="001F3A35"/>
    <w:rsid w:val="001F5B2F"/>
    <w:rsid w:val="00202D8B"/>
    <w:rsid w:val="00206153"/>
    <w:rsid w:val="0021226F"/>
    <w:rsid w:val="00212CE6"/>
    <w:rsid w:val="002141F2"/>
    <w:rsid w:val="002164B5"/>
    <w:rsid w:val="0021761B"/>
    <w:rsid w:val="00227A00"/>
    <w:rsid w:val="00230D22"/>
    <w:rsid w:val="002378DD"/>
    <w:rsid w:val="00242DFE"/>
    <w:rsid w:val="0024300D"/>
    <w:rsid w:val="00244C63"/>
    <w:rsid w:val="00246B1F"/>
    <w:rsid w:val="00250359"/>
    <w:rsid w:val="002540F5"/>
    <w:rsid w:val="002554FB"/>
    <w:rsid w:val="00267A4F"/>
    <w:rsid w:val="0027069B"/>
    <w:rsid w:val="00270891"/>
    <w:rsid w:val="00271CCD"/>
    <w:rsid w:val="0027698E"/>
    <w:rsid w:val="00276B68"/>
    <w:rsid w:val="00277D58"/>
    <w:rsid w:val="00280FE2"/>
    <w:rsid w:val="0028223A"/>
    <w:rsid w:val="00285826"/>
    <w:rsid w:val="00290308"/>
    <w:rsid w:val="00291E1B"/>
    <w:rsid w:val="00297041"/>
    <w:rsid w:val="002A117C"/>
    <w:rsid w:val="002A1A06"/>
    <w:rsid w:val="002A3187"/>
    <w:rsid w:val="002B40D4"/>
    <w:rsid w:val="002B4542"/>
    <w:rsid w:val="002C6982"/>
    <w:rsid w:val="002D33E7"/>
    <w:rsid w:val="002D61BE"/>
    <w:rsid w:val="002E10A7"/>
    <w:rsid w:val="002F47BE"/>
    <w:rsid w:val="002F4AB0"/>
    <w:rsid w:val="002F4AC1"/>
    <w:rsid w:val="003110E7"/>
    <w:rsid w:val="0032071D"/>
    <w:rsid w:val="00330CB8"/>
    <w:rsid w:val="003653FD"/>
    <w:rsid w:val="003663BB"/>
    <w:rsid w:val="00371DCF"/>
    <w:rsid w:val="0037245F"/>
    <w:rsid w:val="003818AE"/>
    <w:rsid w:val="00384FA3"/>
    <w:rsid w:val="003911B2"/>
    <w:rsid w:val="003A51F9"/>
    <w:rsid w:val="003A7630"/>
    <w:rsid w:val="003B121C"/>
    <w:rsid w:val="003B2723"/>
    <w:rsid w:val="003B3C7D"/>
    <w:rsid w:val="003C71E3"/>
    <w:rsid w:val="003F402B"/>
    <w:rsid w:val="003F571D"/>
    <w:rsid w:val="00401A05"/>
    <w:rsid w:val="004119EC"/>
    <w:rsid w:val="00414D29"/>
    <w:rsid w:val="0042155B"/>
    <w:rsid w:val="00423417"/>
    <w:rsid w:val="004275A2"/>
    <w:rsid w:val="00430F76"/>
    <w:rsid w:val="00433022"/>
    <w:rsid w:val="00444D2D"/>
    <w:rsid w:val="00450FF3"/>
    <w:rsid w:val="004649D6"/>
    <w:rsid w:val="00470E87"/>
    <w:rsid w:val="0048661E"/>
    <w:rsid w:val="004870AA"/>
    <w:rsid w:val="00490AB0"/>
    <w:rsid w:val="004914A4"/>
    <w:rsid w:val="004A325F"/>
    <w:rsid w:val="004B05E5"/>
    <w:rsid w:val="004B1911"/>
    <w:rsid w:val="004B5B85"/>
    <w:rsid w:val="004C3C82"/>
    <w:rsid w:val="004C745F"/>
    <w:rsid w:val="004D6F9A"/>
    <w:rsid w:val="004D7BC9"/>
    <w:rsid w:val="004E0320"/>
    <w:rsid w:val="004E1E55"/>
    <w:rsid w:val="004E461D"/>
    <w:rsid w:val="004E653A"/>
    <w:rsid w:val="004E66B4"/>
    <w:rsid w:val="004F447D"/>
    <w:rsid w:val="00502E18"/>
    <w:rsid w:val="00503085"/>
    <w:rsid w:val="00504328"/>
    <w:rsid w:val="005056FD"/>
    <w:rsid w:val="0051750D"/>
    <w:rsid w:val="005321A3"/>
    <w:rsid w:val="00533D46"/>
    <w:rsid w:val="005402B9"/>
    <w:rsid w:val="00547948"/>
    <w:rsid w:val="00551BAA"/>
    <w:rsid w:val="005520E0"/>
    <w:rsid w:val="00552D67"/>
    <w:rsid w:val="0055351B"/>
    <w:rsid w:val="00554EE5"/>
    <w:rsid w:val="005566A7"/>
    <w:rsid w:val="00561870"/>
    <w:rsid w:val="00563897"/>
    <w:rsid w:val="00567A08"/>
    <w:rsid w:val="005704A6"/>
    <w:rsid w:val="00572746"/>
    <w:rsid w:val="00572DE1"/>
    <w:rsid w:val="0058396A"/>
    <w:rsid w:val="00586945"/>
    <w:rsid w:val="00592AD8"/>
    <w:rsid w:val="00595DD4"/>
    <w:rsid w:val="005A0F29"/>
    <w:rsid w:val="005A628E"/>
    <w:rsid w:val="005C3562"/>
    <w:rsid w:val="005C3824"/>
    <w:rsid w:val="005D706E"/>
    <w:rsid w:val="005E1701"/>
    <w:rsid w:val="005E1C91"/>
    <w:rsid w:val="005E345E"/>
    <w:rsid w:val="005E4172"/>
    <w:rsid w:val="005E739D"/>
    <w:rsid w:val="005F4F7C"/>
    <w:rsid w:val="00600336"/>
    <w:rsid w:val="00603729"/>
    <w:rsid w:val="006053AE"/>
    <w:rsid w:val="00606EEA"/>
    <w:rsid w:val="0061086B"/>
    <w:rsid w:val="006110A9"/>
    <w:rsid w:val="00611E9F"/>
    <w:rsid w:val="00612D0A"/>
    <w:rsid w:val="00613C77"/>
    <w:rsid w:val="00615285"/>
    <w:rsid w:val="006255CB"/>
    <w:rsid w:val="006305AD"/>
    <w:rsid w:val="00631C70"/>
    <w:rsid w:val="00633007"/>
    <w:rsid w:val="00633B7E"/>
    <w:rsid w:val="00636075"/>
    <w:rsid w:val="0064744B"/>
    <w:rsid w:val="00650391"/>
    <w:rsid w:val="00666C59"/>
    <w:rsid w:val="00676F23"/>
    <w:rsid w:val="006775A3"/>
    <w:rsid w:val="0067774E"/>
    <w:rsid w:val="006805ED"/>
    <w:rsid w:val="00682934"/>
    <w:rsid w:val="00686342"/>
    <w:rsid w:val="00687874"/>
    <w:rsid w:val="00690364"/>
    <w:rsid w:val="006920F3"/>
    <w:rsid w:val="00694B75"/>
    <w:rsid w:val="006A6AD2"/>
    <w:rsid w:val="006B393E"/>
    <w:rsid w:val="006B5DEC"/>
    <w:rsid w:val="006B7471"/>
    <w:rsid w:val="006C00F8"/>
    <w:rsid w:val="006C01D0"/>
    <w:rsid w:val="006C097B"/>
    <w:rsid w:val="006C3C15"/>
    <w:rsid w:val="006D042A"/>
    <w:rsid w:val="006D2FD6"/>
    <w:rsid w:val="006D72F0"/>
    <w:rsid w:val="006E0C96"/>
    <w:rsid w:val="006E4907"/>
    <w:rsid w:val="006F1017"/>
    <w:rsid w:val="006F2121"/>
    <w:rsid w:val="006F2DEF"/>
    <w:rsid w:val="0070209F"/>
    <w:rsid w:val="0070299A"/>
    <w:rsid w:val="007031FF"/>
    <w:rsid w:val="00704198"/>
    <w:rsid w:val="007053BD"/>
    <w:rsid w:val="0070698A"/>
    <w:rsid w:val="00713481"/>
    <w:rsid w:val="007134CA"/>
    <w:rsid w:val="0071547C"/>
    <w:rsid w:val="00722868"/>
    <w:rsid w:val="00722B78"/>
    <w:rsid w:val="00743D48"/>
    <w:rsid w:val="00745A7B"/>
    <w:rsid w:val="00750A49"/>
    <w:rsid w:val="00751F73"/>
    <w:rsid w:val="00760754"/>
    <w:rsid w:val="00764F50"/>
    <w:rsid w:val="00766A60"/>
    <w:rsid w:val="00766EDE"/>
    <w:rsid w:val="0077054F"/>
    <w:rsid w:val="00771759"/>
    <w:rsid w:val="007812E6"/>
    <w:rsid w:val="0078210C"/>
    <w:rsid w:val="00782330"/>
    <w:rsid w:val="0079312A"/>
    <w:rsid w:val="007939CC"/>
    <w:rsid w:val="00795FC3"/>
    <w:rsid w:val="007960AA"/>
    <w:rsid w:val="007967ED"/>
    <w:rsid w:val="007A410C"/>
    <w:rsid w:val="007A60CD"/>
    <w:rsid w:val="007B220E"/>
    <w:rsid w:val="007C008A"/>
    <w:rsid w:val="007E4CF7"/>
    <w:rsid w:val="007E7368"/>
    <w:rsid w:val="007E7A1D"/>
    <w:rsid w:val="008030F1"/>
    <w:rsid w:val="008032C8"/>
    <w:rsid w:val="00821EBE"/>
    <w:rsid w:val="00824E84"/>
    <w:rsid w:val="008336FE"/>
    <w:rsid w:val="00837B87"/>
    <w:rsid w:val="008417AE"/>
    <w:rsid w:val="00843ACE"/>
    <w:rsid w:val="008543BE"/>
    <w:rsid w:val="008605E0"/>
    <w:rsid w:val="0087056D"/>
    <w:rsid w:val="00872322"/>
    <w:rsid w:val="00876F45"/>
    <w:rsid w:val="00881CF4"/>
    <w:rsid w:val="00886B20"/>
    <w:rsid w:val="0089028E"/>
    <w:rsid w:val="00895C7B"/>
    <w:rsid w:val="008A4490"/>
    <w:rsid w:val="008B279D"/>
    <w:rsid w:val="008B7A17"/>
    <w:rsid w:val="008D39E3"/>
    <w:rsid w:val="008D4923"/>
    <w:rsid w:val="008D71D5"/>
    <w:rsid w:val="008E1387"/>
    <w:rsid w:val="008E62DD"/>
    <w:rsid w:val="009002FC"/>
    <w:rsid w:val="00911FC5"/>
    <w:rsid w:val="00913DC7"/>
    <w:rsid w:val="009167AE"/>
    <w:rsid w:val="00917193"/>
    <w:rsid w:val="009173F1"/>
    <w:rsid w:val="00920B68"/>
    <w:rsid w:val="009215B8"/>
    <w:rsid w:val="00930C08"/>
    <w:rsid w:val="00931E19"/>
    <w:rsid w:val="009412FD"/>
    <w:rsid w:val="009417DE"/>
    <w:rsid w:val="00964351"/>
    <w:rsid w:val="00970190"/>
    <w:rsid w:val="00973A84"/>
    <w:rsid w:val="00976FE3"/>
    <w:rsid w:val="00977E6F"/>
    <w:rsid w:val="009913BA"/>
    <w:rsid w:val="009A19A3"/>
    <w:rsid w:val="009A6CCB"/>
    <w:rsid w:val="009B0DDD"/>
    <w:rsid w:val="009B1AD8"/>
    <w:rsid w:val="009B4CE1"/>
    <w:rsid w:val="009C4EDB"/>
    <w:rsid w:val="009D4028"/>
    <w:rsid w:val="009D5372"/>
    <w:rsid w:val="009D5A8B"/>
    <w:rsid w:val="009D62B3"/>
    <w:rsid w:val="009E1F96"/>
    <w:rsid w:val="009E3A41"/>
    <w:rsid w:val="009F5096"/>
    <w:rsid w:val="009F7CD8"/>
    <w:rsid w:val="00A00C9A"/>
    <w:rsid w:val="00A03313"/>
    <w:rsid w:val="00A05B3E"/>
    <w:rsid w:val="00A1131B"/>
    <w:rsid w:val="00A23AC0"/>
    <w:rsid w:val="00A25A6A"/>
    <w:rsid w:val="00A36651"/>
    <w:rsid w:val="00A37CE4"/>
    <w:rsid w:val="00A411A0"/>
    <w:rsid w:val="00A411D9"/>
    <w:rsid w:val="00A43262"/>
    <w:rsid w:val="00A46B4E"/>
    <w:rsid w:val="00A54615"/>
    <w:rsid w:val="00A60C59"/>
    <w:rsid w:val="00A611D0"/>
    <w:rsid w:val="00A62434"/>
    <w:rsid w:val="00A63933"/>
    <w:rsid w:val="00A63FBE"/>
    <w:rsid w:val="00A6421C"/>
    <w:rsid w:val="00A65035"/>
    <w:rsid w:val="00A71F7B"/>
    <w:rsid w:val="00A85E1E"/>
    <w:rsid w:val="00A8673B"/>
    <w:rsid w:val="00AA0517"/>
    <w:rsid w:val="00AA1862"/>
    <w:rsid w:val="00AA2B92"/>
    <w:rsid w:val="00AB361C"/>
    <w:rsid w:val="00AB4D88"/>
    <w:rsid w:val="00AB59DC"/>
    <w:rsid w:val="00AB5AD4"/>
    <w:rsid w:val="00AD5B60"/>
    <w:rsid w:val="00AE140D"/>
    <w:rsid w:val="00AE3323"/>
    <w:rsid w:val="00B01B1A"/>
    <w:rsid w:val="00B032CD"/>
    <w:rsid w:val="00B04960"/>
    <w:rsid w:val="00B11982"/>
    <w:rsid w:val="00B1380B"/>
    <w:rsid w:val="00B151E5"/>
    <w:rsid w:val="00B249EA"/>
    <w:rsid w:val="00B31465"/>
    <w:rsid w:val="00B32AAD"/>
    <w:rsid w:val="00B33507"/>
    <w:rsid w:val="00B47ECA"/>
    <w:rsid w:val="00B51242"/>
    <w:rsid w:val="00B54B4C"/>
    <w:rsid w:val="00B57341"/>
    <w:rsid w:val="00B5779C"/>
    <w:rsid w:val="00B603D2"/>
    <w:rsid w:val="00B66EA4"/>
    <w:rsid w:val="00B67A32"/>
    <w:rsid w:val="00B7168A"/>
    <w:rsid w:val="00B7756D"/>
    <w:rsid w:val="00B80C69"/>
    <w:rsid w:val="00B812A4"/>
    <w:rsid w:val="00B81F29"/>
    <w:rsid w:val="00B82FEA"/>
    <w:rsid w:val="00B83E59"/>
    <w:rsid w:val="00BB4235"/>
    <w:rsid w:val="00BC1800"/>
    <w:rsid w:val="00BC1C8F"/>
    <w:rsid w:val="00BC2C2C"/>
    <w:rsid w:val="00BD699B"/>
    <w:rsid w:val="00BE0209"/>
    <w:rsid w:val="00BE0395"/>
    <w:rsid w:val="00BE57B4"/>
    <w:rsid w:val="00BE799F"/>
    <w:rsid w:val="00BF0349"/>
    <w:rsid w:val="00BF05AB"/>
    <w:rsid w:val="00BF6AC7"/>
    <w:rsid w:val="00BF6EA1"/>
    <w:rsid w:val="00C033FE"/>
    <w:rsid w:val="00C03DDE"/>
    <w:rsid w:val="00C04F18"/>
    <w:rsid w:val="00C056A5"/>
    <w:rsid w:val="00C067E3"/>
    <w:rsid w:val="00C07D2A"/>
    <w:rsid w:val="00C21BA1"/>
    <w:rsid w:val="00C220C9"/>
    <w:rsid w:val="00C24F46"/>
    <w:rsid w:val="00C270E4"/>
    <w:rsid w:val="00C275E7"/>
    <w:rsid w:val="00C32AB4"/>
    <w:rsid w:val="00C52965"/>
    <w:rsid w:val="00C54BE7"/>
    <w:rsid w:val="00C64626"/>
    <w:rsid w:val="00C75360"/>
    <w:rsid w:val="00C8279F"/>
    <w:rsid w:val="00C82BCB"/>
    <w:rsid w:val="00C833BC"/>
    <w:rsid w:val="00CA09EB"/>
    <w:rsid w:val="00CA3ED0"/>
    <w:rsid w:val="00CA6C6D"/>
    <w:rsid w:val="00CA7F8C"/>
    <w:rsid w:val="00CB06D0"/>
    <w:rsid w:val="00CB77CC"/>
    <w:rsid w:val="00CD0AC4"/>
    <w:rsid w:val="00CE37C5"/>
    <w:rsid w:val="00CE68F9"/>
    <w:rsid w:val="00CF261B"/>
    <w:rsid w:val="00D00577"/>
    <w:rsid w:val="00D07DC4"/>
    <w:rsid w:val="00D106C4"/>
    <w:rsid w:val="00D12EA9"/>
    <w:rsid w:val="00D15818"/>
    <w:rsid w:val="00D16B1F"/>
    <w:rsid w:val="00D16EAA"/>
    <w:rsid w:val="00D3278C"/>
    <w:rsid w:val="00D34B33"/>
    <w:rsid w:val="00D356DE"/>
    <w:rsid w:val="00D3585C"/>
    <w:rsid w:val="00D35B81"/>
    <w:rsid w:val="00D42DAC"/>
    <w:rsid w:val="00D50E97"/>
    <w:rsid w:val="00D553CB"/>
    <w:rsid w:val="00D55425"/>
    <w:rsid w:val="00D616D6"/>
    <w:rsid w:val="00D81800"/>
    <w:rsid w:val="00D81ED1"/>
    <w:rsid w:val="00D8417D"/>
    <w:rsid w:val="00D85F2D"/>
    <w:rsid w:val="00D87AB9"/>
    <w:rsid w:val="00D913FF"/>
    <w:rsid w:val="00DA095C"/>
    <w:rsid w:val="00DA107C"/>
    <w:rsid w:val="00DA1098"/>
    <w:rsid w:val="00DA5D53"/>
    <w:rsid w:val="00DB369A"/>
    <w:rsid w:val="00DC4804"/>
    <w:rsid w:val="00DC7B4F"/>
    <w:rsid w:val="00DE1541"/>
    <w:rsid w:val="00DE3BFD"/>
    <w:rsid w:val="00DE66CF"/>
    <w:rsid w:val="00DE6D2F"/>
    <w:rsid w:val="00DF12B5"/>
    <w:rsid w:val="00DF5A00"/>
    <w:rsid w:val="00E02803"/>
    <w:rsid w:val="00E04D85"/>
    <w:rsid w:val="00E214A9"/>
    <w:rsid w:val="00E25841"/>
    <w:rsid w:val="00E301C8"/>
    <w:rsid w:val="00E305BB"/>
    <w:rsid w:val="00E30A36"/>
    <w:rsid w:val="00E32F74"/>
    <w:rsid w:val="00E355C6"/>
    <w:rsid w:val="00E44214"/>
    <w:rsid w:val="00E44558"/>
    <w:rsid w:val="00E4507B"/>
    <w:rsid w:val="00E452F3"/>
    <w:rsid w:val="00E521A6"/>
    <w:rsid w:val="00E53785"/>
    <w:rsid w:val="00E6190D"/>
    <w:rsid w:val="00E61BEF"/>
    <w:rsid w:val="00E62A01"/>
    <w:rsid w:val="00E664A1"/>
    <w:rsid w:val="00E81A90"/>
    <w:rsid w:val="00E820D9"/>
    <w:rsid w:val="00E937FE"/>
    <w:rsid w:val="00E951C9"/>
    <w:rsid w:val="00E970B5"/>
    <w:rsid w:val="00E976D4"/>
    <w:rsid w:val="00EA18E4"/>
    <w:rsid w:val="00EB0384"/>
    <w:rsid w:val="00EB6485"/>
    <w:rsid w:val="00EB709F"/>
    <w:rsid w:val="00ED3B69"/>
    <w:rsid w:val="00ED4B47"/>
    <w:rsid w:val="00ED5255"/>
    <w:rsid w:val="00EE41BB"/>
    <w:rsid w:val="00EF0D6E"/>
    <w:rsid w:val="00EF266C"/>
    <w:rsid w:val="00EF5127"/>
    <w:rsid w:val="00F02361"/>
    <w:rsid w:val="00F02769"/>
    <w:rsid w:val="00F131A2"/>
    <w:rsid w:val="00F142A4"/>
    <w:rsid w:val="00F15447"/>
    <w:rsid w:val="00F16CD6"/>
    <w:rsid w:val="00F2397C"/>
    <w:rsid w:val="00F32E7F"/>
    <w:rsid w:val="00F33132"/>
    <w:rsid w:val="00F462FC"/>
    <w:rsid w:val="00F50ACC"/>
    <w:rsid w:val="00F62A22"/>
    <w:rsid w:val="00F64909"/>
    <w:rsid w:val="00F705F4"/>
    <w:rsid w:val="00F82446"/>
    <w:rsid w:val="00F837AA"/>
    <w:rsid w:val="00F84C45"/>
    <w:rsid w:val="00F94B31"/>
    <w:rsid w:val="00F94B9F"/>
    <w:rsid w:val="00FA152A"/>
    <w:rsid w:val="00FA285B"/>
    <w:rsid w:val="00FA375A"/>
    <w:rsid w:val="00FD1702"/>
    <w:rsid w:val="00FD33E7"/>
    <w:rsid w:val="00FD3A3A"/>
    <w:rsid w:val="00FE2C80"/>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DFC87"/>
  <w15:chartTrackingRefBased/>
  <w15:docId w15:val="{2E95BE44-6465-4B4E-AECE-A3031D8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7B"/>
  </w:style>
  <w:style w:type="paragraph" w:styleId="Heading1">
    <w:name w:val="heading 1"/>
    <w:basedOn w:val="Normal"/>
    <w:next w:val="Normal"/>
    <w:link w:val="Heading1Char"/>
    <w:uiPriority w:val="9"/>
    <w:qFormat/>
    <w:rsid w:val="00CA6C6D"/>
    <w:pPr>
      <w:keepNext/>
      <w:keepLines/>
      <w:spacing w:before="240" w:after="0"/>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1"/>
    <w:qFormat/>
    <w:rsid w:val="00A71F7B"/>
    <w:pPr>
      <w:spacing w:after="200" w:line="276" w:lineRule="auto"/>
      <w:ind w:left="720"/>
      <w:contextualSpacing/>
    </w:pPr>
    <w:rPr>
      <w:rFonts w:ascii="Calibri" w:hAnsi="Calibri" w:cs="Calibri"/>
    </w:rPr>
  </w:style>
  <w:style w:type="paragraph" w:customStyle="1" w:styleId="paragraph">
    <w:name w:val="paragraph"/>
    <w:basedOn w:val="Normal"/>
    <w:rsid w:val="00A7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iPriority w:val="99"/>
    <w:unhideWhenUsed/>
    <w:rsid w:val="00A71F7B"/>
    <w:rPr>
      <w:color w:val="0000FF"/>
      <w:u w:val="single"/>
    </w:rPr>
  </w:style>
  <w:style w:type="paragraph" w:styleId="FootnoteText">
    <w:name w:val="footnote text"/>
    <w:basedOn w:val="Normal"/>
    <w:link w:val="FootnoteTextChar"/>
    <w:uiPriority w:val="99"/>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rsid w:val="00A71F7B"/>
    <w:rPr>
      <w:sz w:val="20"/>
      <w:szCs w:val="20"/>
    </w:rPr>
  </w:style>
  <w:style w:type="character" w:styleId="FootnoteReference">
    <w:name w:val="footnote reference"/>
    <w:basedOn w:val="DefaultParagraphFont"/>
    <w:uiPriority w:val="99"/>
    <w:semiHidden/>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1"/>
    <w:qFormat/>
    <w:locked/>
    <w:rsid w:val="00A71F7B"/>
    <w:rPr>
      <w:rFonts w:ascii="Calibri" w:hAnsi="Calibri" w:cs="Calibri"/>
    </w:rPr>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semiHidden/>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semiHidden/>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paragraph" w:customStyle="1" w:styleId="Default">
    <w:name w:val="Default"/>
    <w:rsid w:val="001F5B2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3262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13262E"/>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CA6C6D"/>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057DCD"/>
    <w:pPr>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57D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8072">
      <w:bodyDiv w:val="1"/>
      <w:marLeft w:val="0"/>
      <w:marRight w:val="0"/>
      <w:marTop w:val="0"/>
      <w:marBottom w:val="0"/>
      <w:divBdr>
        <w:top w:val="none" w:sz="0" w:space="0" w:color="auto"/>
        <w:left w:val="none" w:sz="0" w:space="0" w:color="auto"/>
        <w:bottom w:val="none" w:sz="0" w:space="0" w:color="auto"/>
        <w:right w:val="none" w:sz="0" w:space="0" w:color="auto"/>
      </w:divBdr>
    </w:div>
    <w:div w:id="281962220">
      <w:bodyDiv w:val="1"/>
      <w:marLeft w:val="0"/>
      <w:marRight w:val="0"/>
      <w:marTop w:val="0"/>
      <w:marBottom w:val="0"/>
      <w:divBdr>
        <w:top w:val="none" w:sz="0" w:space="0" w:color="auto"/>
        <w:left w:val="none" w:sz="0" w:space="0" w:color="auto"/>
        <w:bottom w:val="none" w:sz="0" w:space="0" w:color="auto"/>
        <w:right w:val="none" w:sz="0" w:space="0" w:color="auto"/>
      </w:divBdr>
      <w:divsChild>
        <w:div w:id="1314602798">
          <w:marLeft w:val="0"/>
          <w:marRight w:val="0"/>
          <w:marTop w:val="0"/>
          <w:marBottom w:val="0"/>
          <w:divBdr>
            <w:top w:val="none" w:sz="0" w:space="0" w:color="auto"/>
            <w:left w:val="none" w:sz="0" w:space="0" w:color="auto"/>
            <w:bottom w:val="none" w:sz="0" w:space="0" w:color="auto"/>
            <w:right w:val="none" w:sz="0" w:space="0" w:color="auto"/>
          </w:divBdr>
        </w:div>
        <w:div w:id="1507937222">
          <w:marLeft w:val="0"/>
          <w:marRight w:val="0"/>
          <w:marTop w:val="0"/>
          <w:marBottom w:val="0"/>
          <w:divBdr>
            <w:top w:val="none" w:sz="0" w:space="0" w:color="auto"/>
            <w:left w:val="none" w:sz="0" w:space="0" w:color="auto"/>
            <w:bottom w:val="none" w:sz="0" w:space="0" w:color="auto"/>
            <w:right w:val="none" w:sz="0" w:space="0" w:color="auto"/>
          </w:divBdr>
        </w:div>
      </w:divsChild>
    </w:div>
    <w:div w:id="36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1748402">
          <w:marLeft w:val="0"/>
          <w:marRight w:val="0"/>
          <w:marTop w:val="0"/>
          <w:marBottom w:val="0"/>
          <w:divBdr>
            <w:top w:val="none" w:sz="0" w:space="0" w:color="auto"/>
            <w:left w:val="none" w:sz="0" w:space="0" w:color="auto"/>
            <w:bottom w:val="none" w:sz="0" w:space="0" w:color="auto"/>
            <w:right w:val="none" w:sz="0" w:space="0" w:color="auto"/>
          </w:divBdr>
        </w:div>
      </w:divsChild>
    </w:div>
    <w:div w:id="932125103">
      <w:bodyDiv w:val="1"/>
      <w:marLeft w:val="0"/>
      <w:marRight w:val="0"/>
      <w:marTop w:val="0"/>
      <w:marBottom w:val="0"/>
      <w:divBdr>
        <w:top w:val="none" w:sz="0" w:space="0" w:color="auto"/>
        <w:left w:val="none" w:sz="0" w:space="0" w:color="auto"/>
        <w:bottom w:val="none" w:sz="0" w:space="0" w:color="auto"/>
        <w:right w:val="none" w:sz="0" w:space="0" w:color="auto"/>
      </w:divBdr>
    </w:div>
    <w:div w:id="1197427582">
      <w:bodyDiv w:val="1"/>
      <w:marLeft w:val="0"/>
      <w:marRight w:val="0"/>
      <w:marTop w:val="0"/>
      <w:marBottom w:val="0"/>
      <w:divBdr>
        <w:top w:val="none" w:sz="0" w:space="0" w:color="auto"/>
        <w:left w:val="none" w:sz="0" w:space="0" w:color="auto"/>
        <w:bottom w:val="none" w:sz="0" w:space="0" w:color="auto"/>
        <w:right w:val="none" w:sz="0" w:space="0" w:color="auto"/>
      </w:divBdr>
      <w:divsChild>
        <w:div w:id="1416435311">
          <w:marLeft w:val="0"/>
          <w:marRight w:val="0"/>
          <w:marTop w:val="0"/>
          <w:marBottom w:val="0"/>
          <w:divBdr>
            <w:top w:val="none" w:sz="0" w:space="0" w:color="auto"/>
            <w:left w:val="none" w:sz="0" w:space="0" w:color="auto"/>
            <w:bottom w:val="none" w:sz="0" w:space="0" w:color="auto"/>
            <w:right w:val="none" w:sz="0" w:space="0" w:color="auto"/>
          </w:divBdr>
        </w:div>
        <w:div w:id="831683272">
          <w:marLeft w:val="0"/>
          <w:marRight w:val="0"/>
          <w:marTop w:val="0"/>
          <w:marBottom w:val="0"/>
          <w:divBdr>
            <w:top w:val="none" w:sz="0" w:space="0" w:color="auto"/>
            <w:left w:val="none" w:sz="0" w:space="0" w:color="auto"/>
            <w:bottom w:val="none" w:sz="0" w:space="0" w:color="auto"/>
            <w:right w:val="none" w:sz="0" w:space="0" w:color="auto"/>
          </w:divBdr>
        </w:div>
        <w:div w:id="1787039884">
          <w:marLeft w:val="0"/>
          <w:marRight w:val="0"/>
          <w:marTop w:val="0"/>
          <w:marBottom w:val="0"/>
          <w:divBdr>
            <w:top w:val="none" w:sz="0" w:space="0" w:color="auto"/>
            <w:left w:val="none" w:sz="0" w:space="0" w:color="auto"/>
            <w:bottom w:val="none" w:sz="0" w:space="0" w:color="auto"/>
            <w:right w:val="none" w:sz="0" w:space="0" w:color="auto"/>
          </w:divBdr>
        </w:div>
      </w:divsChild>
    </w:div>
    <w:div w:id="1585411433">
      <w:bodyDiv w:val="1"/>
      <w:marLeft w:val="0"/>
      <w:marRight w:val="0"/>
      <w:marTop w:val="0"/>
      <w:marBottom w:val="0"/>
      <w:divBdr>
        <w:top w:val="none" w:sz="0" w:space="0" w:color="auto"/>
        <w:left w:val="none" w:sz="0" w:space="0" w:color="auto"/>
        <w:bottom w:val="none" w:sz="0" w:space="0" w:color="auto"/>
        <w:right w:val="none" w:sz="0" w:space="0" w:color="auto"/>
      </w:divBdr>
    </w:div>
    <w:div w:id="1614822503">
      <w:bodyDiv w:val="1"/>
      <w:marLeft w:val="0"/>
      <w:marRight w:val="0"/>
      <w:marTop w:val="0"/>
      <w:marBottom w:val="0"/>
      <w:divBdr>
        <w:top w:val="none" w:sz="0" w:space="0" w:color="auto"/>
        <w:left w:val="none" w:sz="0" w:space="0" w:color="auto"/>
        <w:bottom w:val="none" w:sz="0" w:space="0" w:color="auto"/>
        <w:right w:val="none" w:sz="0" w:space="0" w:color="auto"/>
      </w:divBdr>
    </w:div>
    <w:div w:id="1908610506">
      <w:bodyDiv w:val="1"/>
      <w:marLeft w:val="0"/>
      <w:marRight w:val="0"/>
      <w:marTop w:val="0"/>
      <w:marBottom w:val="0"/>
      <w:divBdr>
        <w:top w:val="none" w:sz="0" w:space="0" w:color="auto"/>
        <w:left w:val="none" w:sz="0" w:space="0" w:color="auto"/>
        <w:bottom w:val="none" w:sz="0" w:space="0" w:color="auto"/>
        <w:right w:val="none" w:sz="0" w:space="0" w:color="auto"/>
      </w:divBdr>
      <w:divsChild>
        <w:div w:id="1832023624">
          <w:marLeft w:val="0"/>
          <w:marRight w:val="0"/>
          <w:marTop w:val="0"/>
          <w:marBottom w:val="0"/>
          <w:divBdr>
            <w:top w:val="none" w:sz="0" w:space="0" w:color="auto"/>
            <w:left w:val="none" w:sz="0" w:space="0" w:color="auto"/>
            <w:bottom w:val="none" w:sz="0" w:space="0" w:color="auto"/>
            <w:right w:val="none" w:sz="0" w:space="0" w:color="auto"/>
          </w:divBdr>
        </w:div>
        <w:div w:id="1554849541">
          <w:marLeft w:val="0"/>
          <w:marRight w:val="0"/>
          <w:marTop w:val="0"/>
          <w:marBottom w:val="0"/>
          <w:divBdr>
            <w:top w:val="none" w:sz="0" w:space="0" w:color="auto"/>
            <w:left w:val="none" w:sz="0" w:space="0" w:color="auto"/>
            <w:bottom w:val="none" w:sz="0" w:space="0" w:color="auto"/>
            <w:right w:val="none" w:sz="0" w:space="0" w:color="auto"/>
          </w:divBdr>
        </w:div>
        <w:div w:id="619261483">
          <w:marLeft w:val="0"/>
          <w:marRight w:val="0"/>
          <w:marTop w:val="0"/>
          <w:marBottom w:val="0"/>
          <w:divBdr>
            <w:top w:val="none" w:sz="0" w:space="0" w:color="auto"/>
            <w:left w:val="none" w:sz="0" w:space="0" w:color="auto"/>
            <w:bottom w:val="none" w:sz="0" w:space="0" w:color="auto"/>
            <w:right w:val="none" w:sz="0" w:space="0" w:color="auto"/>
          </w:divBdr>
        </w:div>
        <w:div w:id="1020205494">
          <w:marLeft w:val="0"/>
          <w:marRight w:val="0"/>
          <w:marTop w:val="0"/>
          <w:marBottom w:val="0"/>
          <w:divBdr>
            <w:top w:val="none" w:sz="0" w:space="0" w:color="auto"/>
            <w:left w:val="none" w:sz="0" w:space="0" w:color="auto"/>
            <w:bottom w:val="none" w:sz="0" w:space="0" w:color="auto"/>
            <w:right w:val="none" w:sz="0" w:space="0" w:color="auto"/>
          </w:divBdr>
        </w:div>
        <w:div w:id="2086411913">
          <w:marLeft w:val="0"/>
          <w:marRight w:val="0"/>
          <w:marTop w:val="0"/>
          <w:marBottom w:val="0"/>
          <w:divBdr>
            <w:top w:val="none" w:sz="0" w:space="0" w:color="auto"/>
            <w:left w:val="none" w:sz="0" w:space="0" w:color="auto"/>
            <w:bottom w:val="none" w:sz="0" w:space="0" w:color="auto"/>
            <w:right w:val="none" w:sz="0" w:space="0" w:color="auto"/>
          </w:divBdr>
        </w:div>
        <w:div w:id="1949774066">
          <w:marLeft w:val="0"/>
          <w:marRight w:val="0"/>
          <w:marTop w:val="0"/>
          <w:marBottom w:val="0"/>
          <w:divBdr>
            <w:top w:val="none" w:sz="0" w:space="0" w:color="auto"/>
            <w:left w:val="none" w:sz="0" w:space="0" w:color="auto"/>
            <w:bottom w:val="none" w:sz="0" w:space="0" w:color="auto"/>
            <w:right w:val="none" w:sz="0" w:space="0" w:color="auto"/>
          </w:divBdr>
        </w:div>
        <w:div w:id="1422944068">
          <w:marLeft w:val="0"/>
          <w:marRight w:val="0"/>
          <w:marTop w:val="0"/>
          <w:marBottom w:val="0"/>
          <w:divBdr>
            <w:top w:val="none" w:sz="0" w:space="0" w:color="auto"/>
            <w:left w:val="none" w:sz="0" w:space="0" w:color="auto"/>
            <w:bottom w:val="none" w:sz="0" w:space="0" w:color="auto"/>
            <w:right w:val="none" w:sz="0" w:space="0" w:color="auto"/>
          </w:divBdr>
        </w:div>
        <w:div w:id="1245993775">
          <w:marLeft w:val="0"/>
          <w:marRight w:val="0"/>
          <w:marTop w:val="0"/>
          <w:marBottom w:val="0"/>
          <w:divBdr>
            <w:top w:val="none" w:sz="0" w:space="0" w:color="auto"/>
            <w:left w:val="none" w:sz="0" w:space="0" w:color="auto"/>
            <w:bottom w:val="none" w:sz="0" w:space="0" w:color="auto"/>
            <w:right w:val="none" w:sz="0" w:space="0" w:color="auto"/>
          </w:divBdr>
        </w:div>
        <w:div w:id="873463835">
          <w:marLeft w:val="0"/>
          <w:marRight w:val="0"/>
          <w:marTop w:val="0"/>
          <w:marBottom w:val="0"/>
          <w:divBdr>
            <w:top w:val="none" w:sz="0" w:space="0" w:color="auto"/>
            <w:left w:val="none" w:sz="0" w:space="0" w:color="auto"/>
            <w:bottom w:val="none" w:sz="0" w:space="0" w:color="auto"/>
            <w:right w:val="none" w:sz="0" w:space="0" w:color="auto"/>
          </w:divBdr>
        </w:div>
        <w:div w:id="238757230">
          <w:marLeft w:val="0"/>
          <w:marRight w:val="0"/>
          <w:marTop w:val="0"/>
          <w:marBottom w:val="0"/>
          <w:divBdr>
            <w:top w:val="none" w:sz="0" w:space="0" w:color="auto"/>
            <w:left w:val="none" w:sz="0" w:space="0" w:color="auto"/>
            <w:bottom w:val="none" w:sz="0" w:space="0" w:color="auto"/>
            <w:right w:val="none" w:sz="0" w:space="0" w:color="auto"/>
          </w:divBdr>
        </w:div>
        <w:div w:id="109328083">
          <w:marLeft w:val="0"/>
          <w:marRight w:val="0"/>
          <w:marTop w:val="0"/>
          <w:marBottom w:val="0"/>
          <w:divBdr>
            <w:top w:val="none" w:sz="0" w:space="0" w:color="auto"/>
            <w:left w:val="none" w:sz="0" w:space="0" w:color="auto"/>
            <w:bottom w:val="none" w:sz="0" w:space="0" w:color="auto"/>
            <w:right w:val="none" w:sz="0" w:space="0" w:color="auto"/>
          </w:divBdr>
        </w:div>
        <w:div w:id="1631477717">
          <w:marLeft w:val="0"/>
          <w:marRight w:val="0"/>
          <w:marTop w:val="0"/>
          <w:marBottom w:val="0"/>
          <w:divBdr>
            <w:top w:val="none" w:sz="0" w:space="0" w:color="auto"/>
            <w:left w:val="none" w:sz="0" w:space="0" w:color="auto"/>
            <w:bottom w:val="none" w:sz="0" w:space="0" w:color="auto"/>
            <w:right w:val="none" w:sz="0" w:space="0" w:color="auto"/>
          </w:divBdr>
        </w:div>
        <w:div w:id="223373635">
          <w:marLeft w:val="0"/>
          <w:marRight w:val="0"/>
          <w:marTop w:val="0"/>
          <w:marBottom w:val="0"/>
          <w:divBdr>
            <w:top w:val="none" w:sz="0" w:space="0" w:color="auto"/>
            <w:left w:val="none" w:sz="0" w:space="0" w:color="auto"/>
            <w:bottom w:val="none" w:sz="0" w:space="0" w:color="auto"/>
            <w:right w:val="none" w:sz="0" w:space="0" w:color="auto"/>
          </w:divBdr>
        </w:div>
        <w:div w:id="1738432840">
          <w:marLeft w:val="0"/>
          <w:marRight w:val="0"/>
          <w:marTop w:val="0"/>
          <w:marBottom w:val="0"/>
          <w:divBdr>
            <w:top w:val="none" w:sz="0" w:space="0" w:color="auto"/>
            <w:left w:val="none" w:sz="0" w:space="0" w:color="auto"/>
            <w:bottom w:val="none" w:sz="0" w:space="0" w:color="auto"/>
            <w:right w:val="none" w:sz="0" w:space="0" w:color="auto"/>
          </w:divBdr>
        </w:div>
        <w:div w:id="753357526">
          <w:marLeft w:val="0"/>
          <w:marRight w:val="0"/>
          <w:marTop w:val="0"/>
          <w:marBottom w:val="0"/>
          <w:divBdr>
            <w:top w:val="none" w:sz="0" w:space="0" w:color="auto"/>
            <w:left w:val="none" w:sz="0" w:space="0" w:color="auto"/>
            <w:bottom w:val="none" w:sz="0" w:space="0" w:color="auto"/>
            <w:right w:val="none" w:sz="0" w:space="0" w:color="auto"/>
          </w:divBdr>
        </w:div>
      </w:divsChild>
    </w:div>
    <w:div w:id="1940407695">
      <w:bodyDiv w:val="1"/>
      <w:marLeft w:val="0"/>
      <w:marRight w:val="0"/>
      <w:marTop w:val="0"/>
      <w:marBottom w:val="0"/>
      <w:divBdr>
        <w:top w:val="none" w:sz="0" w:space="0" w:color="auto"/>
        <w:left w:val="none" w:sz="0" w:space="0" w:color="auto"/>
        <w:bottom w:val="none" w:sz="0" w:space="0" w:color="auto"/>
        <w:right w:val="none" w:sz="0" w:space="0" w:color="auto"/>
      </w:divBdr>
      <w:divsChild>
        <w:div w:id="1478457346">
          <w:marLeft w:val="0"/>
          <w:marRight w:val="0"/>
          <w:marTop w:val="0"/>
          <w:marBottom w:val="0"/>
          <w:divBdr>
            <w:top w:val="none" w:sz="0" w:space="0" w:color="auto"/>
            <w:left w:val="none" w:sz="0" w:space="0" w:color="auto"/>
            <w:bottom w:val="none" w:sz="0" w:space="0" w:color="auto"/>
            <w:right w:val="none" w:sz="0" w:space="0" w:color="auto"/>
          </w:divBdr>
        </w:div>
        <w:div w:id="6901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oftyne-ca.gov.uk/wp-content/uploads/2020/08/North_Of_Tyne_Devolution_Document.pdf" TargetMode="External"/><Relationship Id="rId18" Type="http://schemas.openxmlformats.org/officeDocument/2006/relationships/hyperlink" Target="mailto:Skillsforgrowth@northoftyne-ca.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orthoftyne-ca.gov.uk/projects/adult-education-budget-devolu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killsforgrowth@northoftyne-ca.gov.uk"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3570/gjtf-report.pdf" TargetMode="External"/><Relationship Id="rId20" Type="http://schemas.openxmlformats.org/officeDocument/2006/relationships/hyperlink" Target="https://www.northoftyne-ca.gov.uk/documents/ie-policy-statement-june-20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orthoftyne-ca.gov.uk/wp-content/uploads/2021/07/NTCA-Citizens-Assembly-on-Climate-Change-report.pdf" TargetMode="External"/><Relationship Id="rId23"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rthoftyne-ca.gov.uk/wp-content/uploads/2021/06/Jobs-skills-and-a-post-covid-economy-Corporate-Plan-2021-2022.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oftyne-ca.gov.uk/wp-content/uploads/2021/06/Jobs-skills-and-a-post-covid-economy-Corporate-Plan-2021-2022.pdf" TargetMode="External"/><Relationship Id="rId22" Type="http://schemas.openxmlformats.org/officeDocument/2006/relationships/hyperlink" Target="mailto:Skillsforgrowth@northoftyne-ca.gov.uk"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orthoftyne-ca.gov.uk/wp-content/uploads/2020/11/North-of-Tyne-Combined-Authority-Outputs-Guidance.pdf" TargetMode="External"/><Relationship Id="rId1" Type="http://schemas.openxmlformats.org/officeDocument/2006/relationships/hyperlink" Target="https://assets.publishing.service.gov.uk/government/uploads/system/uploads/attachment_data/file/32373/11-1315-skills-for-a-green-ec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2" ma:contentTypeDescription="Create a new document." ma:contentTypeScope="" ma:versionID="9f36552e6b0ad5bcc943a13580f58428">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246672aa7e0ed98159af33b7cf865dc0"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DD90F-8A43-49AD-A7A2-65096C631198}">
  <ds:schemaRefs>
    <ds:schemaRef ds:uri="http://schemas.openxmlformats.org/officeDocument/2006/bibliography"/>
  </ds:schemaRefs>
</ds:datastoreItem>
</file>

<file path=customXml/itemProps2.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3.xml><?xml version="1.0" encoding="utf-8"?>
<ds:datastoreItem xmlns:ds="http://schemas.openxmlformats.org/officeDocument/2006/customXml" ds:itemID="{62396DC5-F868-43CA-B2E1-B83CE80E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9F9E-F410-4658-88D3-D7DEF08C0D5A}">
  <ds:schemaRefs>
    <ds:schemaRef ds:uri="http://purl.org/dc/terms/"/>
    <ds:schemaRef ds:uri="http://schemas.openxmlformats.org/package/2006/metadata/core-properties"/>
    <ds:schemaRef ds:uri="http://schemas.microsoft.com/office/2006/documentManagement/types"/>
    <ds:schemaRef ds:uri="e0558e81-69f7-48e9-b7d9-14107295364e"/>
    <ds:schemaRef ds:uri="bae4bcaf-3dc7-4891-808e-09169083e8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Stone, Michelle (North Of Tyne)</cp:lastModifiedBy>
  <cp:revision>2</cp:revision>
  <dcterms:created xsi:type="dcterms:W3CDTF">2021-09-24T15:13:00Z</dcterms:created>
  <dcterms:modified xsi:type="dcterms:W3CDTF">2021-09-24T15:13:00Z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