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93518" w14:textId="010A0DC7" w:rsidR="0007716E" w:rsidRDefault="00A13D9B" w:rsidP="00066504">
      <w:pPr>
        <w:spacing w:line="240" w:lineRule="auto"/>
        <w:jc w:val="center"/>
        <w:rPr>
          <w:rFonts w:cstheme="minorHAnsi"/>
          <w:sz w:val="32"/>
          <w:szCs w:val="32"/>
        </w:rPr>
      </w:pPr>
      <w:r w:rsidRPr="00585972">
        <w:rPr>
          <w:rFonts w:ascii="DM Sans" w:hAnsi="DM Sans" w:cs="Arial"/>
          <w:noProof/>
          <w:sz w:val="24"/>
          <w:szCs w:val="24"/>
        </w:rPr>
        <w:drawing>
          <wp:anchor distT="0" distB="0" distL="114300" distR="114300" simplePos="0" relativeHeight="251658240" behindDoc="1" locked="0" layoutInCell="1" allowOverlap="1" wp14:anchorId="40BB22E7" wp14:editId="7D71BF23">
            <wp:simplePos x="0" y="0"/>
            <wp:positionH relativeFrom="column">
              <wp:posOffset>692150</wp:posOffset>
            </wp:positionH>
            <wp:positionV relativeFrom="paragraph">
              <wp:posOffset>72390</wp:posOffset>
            </wp:positionV>
            <wp:extent cx="1475105" cy="1485900"/>
            <wp:effectExtent l="0" t="0" r="0" b="0"/>
            <wp:wrapTight wrapText="bothSides">
              <wp:wrapPolygon edited="0">
                <wp:start x="0" y="0"/>
                <wp:lineTo x="0" y="21323"/>
                <wp:lineTo x="21200" y="21323"/>
                <wp:lineTo x="2120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5105" cy="1485900"/>
                    </a:xfrm>
                    <a:prstGeom prst="rect">
                      <a:avLst/>
                    </a:prstGeom>
                  </pic:spPr>
                </pic:pic>
              </a:graphicData>
            </a:graphic>
            <wp14:sizeRelH relativeFrom="page">
              <wp14:pctWidth>0</wp14:pctWidth>
            </wp14:sizeRelH>
            <wp14:sizeRelV relativeFrom="page">
              <wp14:pctHeight>0</wp14:pctHeight>
            </wp14:sizeRelV>
          </wp:anchor>
        </w:drawing>
      </w:r>
      <w:r w:rsidRPr="00A13D9B">
        <w:rPr>
          <w:rFonts w:ascii="DM Sans" w:eastAsia="Calibri" w:hAnsi="DM Sans" w:cs="Arial"/>
          <w:noProof/>
          <w:color w:val="000000"/>
          <w:sz w:val="24"/>
          <w:szCs w:val="24"/>
        </w:rPr>
        <w:drawing>
          <wp:anchor distT="0" distB="0" distL="114300" distR="114300" simplePos="0" relativeHeight="251658241" behindDoc="1" locked="0" layoutInCell="1" allowOverlap="1" wp14:anchorId="23ADF175" wp14:editId="1DACB773">
            <wp:simplePos x="0" y="0"/>
            <wp:positionH relativeFrom="column">
              <wp:posOffset>2876550</wp:posOffset>
            </wp:positionH>
            <wp:positionV relativeFrom="paragraph">
              <wp:posOffset>88900</wp:posOffset>
            </wp:positionV>
            <wp:extent cx="2879090" cy="1351915"/>
            <wp:effectExtent l="0" t="0" r="0" b="635"/>
            <wp:wrapTight wrapText="bothSides">
              <wp:wrapPolygon edited="0">
                <wp:start x="0" y="0"/>
                <wp:lineTo x="0" y="21306"/>
                <wp:lineTo x="21438" y="21306"/>
                <wp:lineTo x="21438" y="0"/>
                <wp:lineTo x="0" y="0"/>
              </wp:wrapPolygon>
            </wp:wrapTight>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9090" cy="1351915"/>
                    </a:xfrm>
                    <a:prstGeom prst="rect">
                      <a:avLst/>
                    </a:prstGeom>
                  </pic:spPr>
                </pic:pic>
              </a:graphicData>
            </a:graphic>
            <wp14:sizeRelH relativeFrom="margin">
              <wp14:pctWidth>0</wp14:pctWidth>
            </wp14:sizeRelH>
            <wp14:sizeRelV relativeFrom="margin">
              <wp14:pctHeight>0</wp14:pctHeight>
            </wp14:sizeRelV>
          </wp:anchor>
        </w:drawing>
      </w:r>
    </w:p>
    <w:p w14:paraId="0F87596B" w14:textId="4CAB5AB6" w:rsidR="0007716E" w:rsidRDefault="0007716E" w:rsidP="00066504">
      <w:pPr>
        <w:spacing w:line="240" w:lineRule="auto"/>
        <w:jc w:val="center"/>
        <w:rPr>
          <w:rFonts w:cstheme="minorHAnsi"/>
          <w:sz w:val="32"/>
          <w:szCs w:val="32"/>
        </w:rPr>
      </w:pPr>
    </w:p>
    <w:p w14:paraId="3C9D5E51" w14:textId="75D429B2" w:rsidR="0007716E" w:rsidRDefault="0007716E" w:rsidP="00066504">
      <w:pPr>
        <w:spacing w:line="240" w:lineRule="auto"/>
        <w:jc w:val="center"/>
        <w:rPr>
          <w:rFonts w:cstheme="minorHAnsi"/>
          <w:sz w:val="32"/>
          <w:szCs w:val="32"/>
        </w:rPr>
      </w:pPr>
    </w:p>
    <w:p w14:paraId="0F158BBE" w14:textId="32AFCA65" w:rsidR="0007716E" w:rsidRDefault="0007716E" w:rsidP="00066504">
      <w:pPr>
        <w:spacing w:line="240" w:lineRule="auto"/>
        <w:jc w:val="center"/>
        <w:rPr>
          <w:rFonts w:cstheme="minorHAnsi"/>
          <w:sz w:val="32"/>
          <w:szCs w:val="32"/>
        </w:rPr>
      </w:pPr>
    </w:p>
    <w:p w14:paraId="2AB96E3F" w14:textId="77777777" w:rsidR="0007716E" w:rsidRDefault="0007716E" w:rsidP="00066504">
      <w:pPr>
        <w:spacing w:line="240" w:lineRule="auto"/>
        <w:rPr>
          <w:rFonts w:cstheme="minorHAnsi"/>
          <w:sz w:val="32"/>
          <w:szCs w:val="32"/>
        </w:rPr>
      </w:pPr>
    </w:p>
    <w:p w14:paraId="5A5CD6B0" w14:textId="687DC249" w:rsidR="00960B78" w:rsidRPr="006529B9" w:rsidRDefault="00911DD6" w:rsidP="00066504">
      <w:pPr>
        <w:spacing w:line="240" w:lineRule="auto"/>
        <w:jc w:val="center"/>
        <w:rPr>
          <w:rFonts w:ascii="Arial" w:hAnsi="Arial" w:cs="Arial"/>
          <w:sz w:val="28"/>
          <w:szCs w:val="28"/>
        </w:rPr>
      </w:pPr>
      <w:r w:rsidRPr="006529B9">
        <w:rPr>
          <w:rFonts w:ascii="Arial" w:hAnsi="Arial" w:cs="Arial"/>
          <w:sz w:val="28"/>
          <w:szCs w:val="28"/>
        </w:rPr>
        <w:t>CALL FOR S</w:t>
      </w:r>
      <w:r w:rsidR="004C47C0" w:rsidRPr="006529B9">
        <w:rPr>
          <w:rFonts w:ascii="Arial" w:hAnsi="Arial" w:cs="Arial"/>
          <w:sz w:val="28"/>
          <w:szCs w:val="28"/>
        </w:rPr>
        <w:t>CHEMES</w:t>
      </w:r>
    </w:p>
    <w:p w14:paraId="6C2B711D" w14:textId="3227B0B0" w:rsidR="00911DD6" w:rsidRPr="006529B9" w:rsidRDefault="00911DD6" w:rsidP="00066504">
      <w:pPr>
        <w:spacing w:line="240" w:lineRule="auto"/>
        <w:jc w:val="center"/>
        <w:rPr>
          <w:rFonts w:ascii="Arial" w:hAnsi="Arial" w:cs="Arial"/>
          <w:sz w:val="28"/>
          <w:szCs w:val="28"/>
        </w:rPr>
      </w:pPr>
      <w:r w:rsidRPr="006529B9">
        <w:rPr>
          <w:rFonts w:ascii="Arial" w:hAnsi="Arial" w:cs="Arial"/>
          <w:sz w:val="28"/>
          <w:szCs w:val="28"/>
        </w:rPr>
        <w:t>NORTH OF TYNE BROWNFIELD HOUSING FUND</w:t>
      </w:r>
    </w:p>
    <w:p w14:paraId="37B21C4A" w14:textId="7DFEFCC3" w:rsidR="00911DD6" w:rsidRPr="006529B9" w:rsidRDefault="00587A72" w:rsidP="00066504">
      <w:pPr>
        <w:spacing w:line="240" w:lineRule="auto"/>
        <w:jc w:val="center"/>
        <w:rPr>
          <w:rFonts w:ascii="Arial" w:hAnsi="Arial" w:cs="Arial"/>
          <w:sz w:val="28"/>
          <w:szCs w:val="28"/>
        </w:rPr>
      </w:pPr>
      <w:r w:rsidRPr="006529B9">
        <w:rPr>
          <w:rFonts w:ascii="Arial" w:hAnsi="Arial" w:cs="Arial"/>
          <w:sz w:val="28"/>
          <w:szCs w:val="28"/>
        </w:rPr>
        <w:t>INFORMATION PACK</w:t>
      </w:r>
      <w:r w:rsidR="006A1A74" w:rsidRPr="006529B9">
        <w:rPr>
          <w:rFonts w:ascii="Arial" w:hAnsi="Arial" w:cs="Arial"/>
          <w:sz w:val="28"/>
          <w:szCs w:val="28"/>
        </w:rPr>
        <w:t xml:space="preserve"> FOR APPLICANTS</w:t>
      </w:r>
    </w:p>
    <w:p w14:paraId="16E6E4F2" w14:textId="3EE229A6" w:rsidR="00911DD6" w:rsidRPr="006529B9" w:rsidRDefault="002D3B6E" w:rsidP="00066504">
      <w:pPr>
        <w:spacing w:line="240" w:lineRule="auto"/>
        <w:jc w:val="center"/>
        <w:rPr>
          <w:rFonts w:ascii="Arial" w:hAnsi="Arial" w:cs="Arial"/>
          <w:sz w:val="28"/>
          <w:szCs w:val="28"/>
        </w:rPr>
      </w:pPr>
      <w:r>
        <w:rPr>
          <w:rFonts w:ascii="Arial" w:hAnsi="Arial" w:cs="Arial"/>
          <w:sz w:val="28"/>
          <w:szCs w:val="28"/>
        </w:rPr>
        <w:t xml:space="preserve">SEPTEMBER </w:t>
      </w:r>
      <w:r w:rsidR="00911DD6" w:rsidRPr="006529B9">
        <w:rPr>
          <w:rFonts w:ascii="Arial" w:hAnsi="Arial" w:cs="Arial"/>
          <w:sz w:val="28"/>
          <w:szCs w:val="28"/>
        </w:rPr>
        <w:t>2021</w:t>
      </w:r>
    </w:p>
    <w:p w14:paraId="69868BC0" w14:textId="69AC312B" w:rsidR="00911DD6" w:rsidRPr="006529B9" w:rsidRDefault="00911DD6" w:rsidP="00066504">
      <w:pPr>
        <w:spacing w:line="240" w:lineRule="auto"/>
        <w:jc w:val="cente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911DD6" w:rsidRPr="006529B9" w14:paraId="23A0B262" w14:textId="77777777" w:rsidTr="00911DD6">
        <w:tc>
          <w:tcPr>
            <w:tcW w:w="4508" w:type="dxa"/>
          </w:tcPr>
          <w:p w14:paraId="0BC5B4AA" w14:textId="620F5DD5" w:rsidR="00911DD6" w:rsidRPr="006529B9" w:rsidRDefault="00911DD6" w:rsidP="00911DD6">
            <w:pPr>
              <w:rPr>
                <w:rFonts w:ascii="Arial" w:hAnsi="Arial" w:cs="Arial"/>
                <w:sz w:val="24"/>
                <w:szCs w:val="24"/>
              </w:rPr>
            </w:pPr>
            <w:r w:rsidRPr="006529B9">
              <w:rPr>
                <w:rFonts w:ascii="Arial" w:hAnsi="Arial" w:cs="Arial"/>
                <w:sz w:val="24"/>
                <w:szCs w:val="24"/>
              </w:rPr>
              <w:t xml:space="preserve">Lead </w:t>
            </w:r>
            <w:r w:rsidR="002C2171" w:rsidRPr="006529B9">
              <w:rPr>
                <w:rFonts w:ascii="Arial" w:hAnsi="Arial" w:cs="Arial"/>
                <w:sz w:val="24"/>
                <w:szCs w:val="24"/>
              </w:rPr>
              <w:t>Organisation:</w:t>
            </w:r>
            <w:r w:rsidRPr="006529B9">
              <w:rPr>
                <w:rFonts w:ascii="Arial" w:hAnsi="Arial" w:cs="Arial"/>
                <w:sz w:val="24"/>
                <w:szCs w:val="24"/>
              </w:rPr>
              <w:t xml:space="preserve"> </w:t>
            </w:r>
          </w:p>
        </w:tc>
        <w:tc>
          <w:tcPr>
            <w:tcW w:w="4508" w:type="dxa"/>
          </w:tcPr>
          <w:p w14:paraId="2C17906B" w14:textId="77777777" w:rsidR="00911DD6" w:rsidRDefault="00911DD6" w:rsidP="00911DD6">
            <w:pPr>
              <w:rPr>
                <w:rFonts w:ascii="Arial" w:hAnsi="Arial" w:cs="Arial"/>
                <w:sz w:val="24"/>
                <w:szCs w:val="24"/>
              </w:rPr>
            </w:pPr>
            <w:r w:rsidRPr="006529B9">
              <w:rPr>
                <w:rFonts w:ascii="Arial" w:hAnsi="Arial" w:cs="Arial"/>
                <w:sz w:val="24"/>
                <w:szCs w:val="24"/>
              </w:rPr>
              <w:t>North of Tyne Combined Authority (NTCA)</w:t>
            </w:r>
          </w:p>
          <w:p w14:paraId="3AB09714" w14:textId="54AA80AF" w:rsidR="000E509C" w:rsidRPr="006529B9" w:rsidRDefault="000E509C" w:rsidP="00911DD6">
            <w:pPr>
              <w:rPr>
                <w:rFonts w:ascii="Arial" w:hAnsi="Arial" w:cs="Arial"/>
                <w:sz w:val="24"/>
                <w:szCs w:val="24"/>
              </w:rPr>
            </w:pPr>
          </w:p>
        </w:tc>
      </w:tr>
      <w:tr w:rsidR="00911DD6" w:rsidRPr="006529B9" w14:paraId="7F6BA376" w14:textId="77777777" w:rsidTr="00911DD6">
        <w:tc>
          <w:tcPr>
            <w:tcW w:w="4508" w:type="dxa"/>
          </w:tcPr>
          <w:p w14:paraId="66E82474" w14:textId="1364E440" w:rsidR="00911DD6" w:rsidRPr="006529B9" w:rsidRDefault="00911DD6" w:rsidP="00911DD6">
            <w:pPr>
              <w:tabs>
                <w:tab w:val="left" w:pos="410"/>
              </w:tabs>
              <w:jc w:val="both"/>
              <w:rPr>
                <w:rFonts w:ascii="Arial" w:hAnsi="Arial" w:cs="Arial"/>
                <w:sz w:val="24"/>
                <w:szCs w:val="24"/>
              </w:rPr>
            </w:pPr>
            <w:r w:rsidRPr="006529B9">
              <w:rPr>
                <w:rFonts w:ascii="Arial" w:hAnsi="Arial" w:cs="Arial"/>
                <w:sz w:val="24"/>
                <w:szCs w:val="24"/>
              </w:rPr>
              <w:t>Fund</w:t>
            </w:r>
            <w:r w:rsidR="002C2171" w:rsidRPr="006529B9">
              <w:rPr>
                <w:rFonts w:ascii="Arial" w:hAnsi="Arial" w:cs="Arial"/>
                <w:sz w:val="24"/>
                <w:szCs w:val="24"/>
              </w:rPr>
              <w:t xml:space="preserve"> Details: </w:t>
            </w:r>
          </w:p>
        </w:tc>
        <w:tc>
          <w:tcPr>
            <w:tcW w:w="4508" w:type="dxa"/>
          </w:tcPr>
          <w:p w14:paraId="2F42017A" w14:textId="77777777" w:rsidR="002C2171" w:rsidRDefault="006A1A74" w:rsidP="00911DD6">
            <w:pPr>
              <w:rPr>
                <w:rFonts w:ascii="Arial" w:hAnsi="Arial" w:cs="Arial"/>
                <w:sz w:val="24"/>
                <w:szCs w:val="24"/>
              </w:rPr>
            </w:pPr>
            <w:r w:rsidRPr="006529B9">
              <w:rPr>
                <w:rFonts w:ascii="Arial" w:hAnsi="Arial" w:cs="Arial"/>
                <w:sz w:val="24"/>
                <w:szCs w:val="24"/>
              </w:rPr>
              <w:t xml:space="preserve">MHCLG </w:t>
            </w:r>
            <w:r w:rsidR="00911DD6" w:rsidRPr="006529B9">
              <w:rPr>
                <w:rFonts w:ascii="Arial" w:hAnsi="Arial" w:cs="Arial"/>
                <w:sz w:val="24"/>
                <w:szCs w:val="24"/>
              </w:rPr>
              <w:t xml:space="preserve">Brownfield Housing Fund </w:t>
            </w:r>
          </w:p>
          <w:p w14:paraId="72CB6196" w14:textId="1F0C205B" w:rsidR="000E509C" w:rsidRPr="006529B9" w:rsidRDefault="000E509C" w:rsidP="00911DD6">
            <w:pPr>
              <w:rPr>
                <w:rFonts w:ascii="Arial" w:hAnsi="Arial" w:cs="Arial"/>
                <w:sz w:val="24"/>
                <w:szCs w:val="24"/>
              </w:rPr>
            </w:pPr>
          </w:p>
        </w:tc>
      </w:tr>
      <w:tr w:rsidR="00911DD6" w:rsidRPr="006529B9" w14:paraId="2799BCAC" w14:textId="77777777" w:rsidTr="00911DD6">
        <w:tc>
          <w:tcPr>
            <w:tcW w:w="4508" w:type="dxa"/>
          </w:tcPr>
          <w:p w14:paraId="3C0ACCC8" w14:textId="7FB34625" w:rsidR="00911DD6" w:rsidRPr="006529B9" w:rsidRDefault="00911DD6" w:rsidP="00911DD6">
            <w:pPr>
              <w:tabs>
                <w:tab w:val="left" w:pos="410"/>
              </w:tabs>
              <w:jc w:val="both"/>
              <w:rPr>
                <w:rFonts w:ascii="Arial" w:hAnsi="Arial" w:cs="Arial"/>
                <w:sz w:val="24"/>
                <w:szCs w:val="24"/>
              </w:rPr>
            </w:pPr>
            <w:r w:rsidRPr="006529B9">
              <w:rPr>
                <w:rFonts w:ascii="Arial" w:hAnsi="Arial" w:cs="Arial"/>
                <w:sz w:val="24"/>
                <w:szCs w:val="24"/>
              </w:rPr>
              <w:t xml:space="preserve">Eligible Locations: </w:t>
            </w:r>
          </w:p>
        </w:tc>
        <w:tc>
          <w:tcPr>
            <w:tcW w:w="4508" w:type="dxa"/>
          </w:tcPr>
          <w:p w14:paraId="3B95DBB0" w14:textId="72EE1CFD" w:rsidR="00911DD6" w:rsidRPr="006529B9" w:rsidRDefault="00911DD6" w:rsidP="00911DD6">
            <w:pPr>
              <w:rPr>
                <w:rFonts w:ascii="Arial" w:hAnsi="Arial" w:cs="Arial"/>
                <w:sz w:val="24"/>
                <w:szCs w:val="24"/>
              </w:rPr>
            </w:pPr>
            <w:r w:rsidRPr="006529B9">
              <w:rPr>
                <w:rFonts w:ascii="Arial" w:hAnsi="Arial" w:cs="Arial"/>
                <w:sz w:val="24"/>
                <w:szCs w:val="24"/>
              </w:rPr>
              <w:t xml:space="preserve">Newcastle </w:t>
            </w:r>
            <w:r w:rsidR="002C2171" w:rsidRPr="006529B9">
              <w:rPr>
                <w:rFonts w:ascii="Arial" w:hAnsi="Arial" w:cs="Arial"/>
                <w:sz w:val="24"/>
                <w:szCs w:val="24"/>
              </w:rPr>
              <w:t>upon Tyne</w:t>
            </w:r>
          </w:p>
          <w:p w14:paraId="43D1BA27" w14:textId="77777777" w:rsidR="00911DD6" w:rsidRPr="006529B9" w:rsidRDefault="00911DD6" w:rsidP="00911DD6">
            <w:pPr>
              <w:rPr>
                <w:rFonts w:ascii="Arial" w:hAnsi="Arial" w:cs="Arial"/>
                <w:sz w:val="24"/>
                <w:szCs w:val="24"/>
              </w:rPr>
            </w:pPr>
            <w:r w:rsidRPr="006529B9">
              <w:rPr>
                <w:rFonts w:ascii="Arial" w:hAnsi="Arial" w:cs="Arial"/>
                <w:sz w:val="24"/>
                <w:szCs w:val="24"/>
              </w:rPr>
              <w:t xml:space="preserve">North Tyneside </w:t>
            </w:r>
          </w:p>
          <w:p w14:paraId="2501A77B" w14:textId="77777777" w:rsidR="00911DD6" w:rsidRDefault="00911DD6" w:rsidP="00911DD6">
            <w:pPr>
              <w:rPr>
                <w:rFonts w:ascii="Arial" w:hAnsi="Arial" w:cs="Arial"/>
                <w:sz w:val="24"/>
                <w:szCs w:val="24"/>
              </w:rPr>
            </w:pPr>
            <w:r w:rsidRPr="006529B9">
              <w:rPr>
                <w:rFonts w:ascii="Arial" w:hAnsi="Arial" w:cs="Arial"/>
                <w:sz w:val="24"/>
                <w:szCs w:val="24"/>
              </w:rPr>
              <w:t xml:space="preserve">Northumberland </w:t>
            </w:r>
          </w:p>
          <w:p w14:paraId="055EF997" w14:textId="123F6490" w:rsidR="000E509C" w:rsidRPr="006529B9" w:rsidRDefault="000E509C" w:rsidP="00911DD6">
            <w:pPr>
              <w:rPr>
                <w:rFonts w:ascii="Arial" w:hAnsi="Arial" w:cs="Arial"/>
                <w:sz w:val="24"/>
                <w:szCs w:val="24"/>
              </w:rPr>
            </w:pPr>
          </w:p>
        </w:tc>
      </w:tr>
      <w:tr w:rsidR="00911DD6" w:rsidRPr="006529B9" w14:paraId="69370959" w14:textId="77777777" w:rsidTr="00911DD6">
        <w:tc>
          <w:tcPr>
            <w:tcW w:w="4508" w:type="dxa"/>
          </w:tcPr>
          <w:p w14:paraId="715D797B" w14:textId="1FCBF68B" w:rsidR="00911DD6" w:rsidRPr="006529B9" w:rsidRDefault="00176430" w:rsidP="00176430">
            <w:pPr>
              <w:rPr>
                <w:rFonts w:ascii="Arial" w:hAnsi="Arial" w:cs="Arial"/>
                <w:sz w:val="24"/>
                <w:szCs w:val="24"/>
              </w:rPr>
            </w:pPr>
            <w:r w:rsidRPr="006529B9">
              <w:rPr>
                <w:rFonts w:ascii="Arial" w:hAnsi="Arial" w:cs="Arial"/>
                <w:sz w:val="24"/>
                <w:szCs w:val="24"/>
              </w:rPr>
              <w:t>Call Opens</w:t>
            </w:r>
            <w:r w:rsidR="00916BE3" w:rsidRPr="006529B9">
              <w:rPr>
                <w:rFonts w:ascii="Arial" w:hAnsi="Arial" w:cs="Arial"/>
                <w:sz w:val="24"/>
                <w:szCs w:val="24"/>
              </w:rPr>
              <w:t>:</w:t>
            </w:r>
          </w:p>
        </w:tc>
        <w:tc>
          <w:tcPr>
            <w:tcW w:w="4508" w:type="dxa"/>
          </w:tcPr>
          <w:p w14:paraId="74BA876A" w14:textId="6A472A20" w:rsidR="00911DD6" w:rsidRPr="002D3B6E" w:rsidRDefault="00176430" w:rsidP="00176430">
            <w:pPr>
              <w:rPr>
                <w:rFonts w:ascii="Arial" w:hAnsi="Arial" w:cs="Arial"/>
                <w:sz w:val="24"/>
                <w:szCs w:val="24"/>
              </w:rPr>
            </w:pPr>
            <w:r w:rsidRPr="002D3B6E">
              <w:rPr>
                <w:rFonts w:ascii="Arial" w:hAnsi="Arial" w:cs="Arial"/>
                <w:sz w:val="24"/>
                <w:szCs w:val="24"/>
              </w:rPr>
              <w:t xml:space="preserve">Monday </w:t>
            </w:r>
            <w:r w:rsidR="00757FCB" w:rsidRPr="002D3B6E">
              <w:rPr>
                <w:rFonts w:ascii="Arial" w:hAnsi="Arial" w:cs="Arial"/>
                <w:sz w:val="24"/>
                <w:szCs w:val="24"/>
              </w:rPr>
              <w:t>13</w:t>
            </w:r>
            <w:r w:rsidR="00757FCB" w:rsidRPr="002D3B6E">
              <w:rPr>
                <w:rFonts w:ascii="Arial" w:hAnsi="Arial" w:cs="Arial"/>
                <w:sz w:val="24"/>
                <w:szCs w:val="24"/>
                <w:vertAlign w:val="superscript"/>
              </w:rPr>
              <w:t>th</w:t>
            </w:r>
            <w:r w:rsidR="00757FCB" w:rsidRPr="002D3B6E">
              <w:rPr>
                <w:rFonts w:ascii="Arial" w:hAnsi="Arial" w:cs="Arial"/>
                <w:sz w:val="24"/>
                <w:szCs w:val="24"/>
              </w:rPr>
              <w:t xml:space="preserve"> September 2021</w:t>
            </w:r>
            <w:r w:rsidR="002361E0" w:rsidRPr="002D3B6E">
              <w:rPr>
                <w:rFonts w:ascii="Arial" w:hAnsi="Arial" w:cs="Arial"/>
                <w:sz w:val="24"/>
                <w:szCs w:val="24"/>
              </w:rPr>
              <w:t xml:space="preserve"> </w:t>
            </w:r>
          </w:p>
          <w:p w14:paraId="2A0A53A1" w14:textId="4B82D1E1" w:rsidR="000E509C" w:rsidRPr="006529B9" w:rsidRDefault="000E509C" w:rsidP="00176430">
            <w:pPr>
              <w:rPr>
                <w:rFonts w:ascii="Arial" w:hAnsi="Arial" w:cs="Arial"/>
                <w:sz w:val="24"/>
                <w:szCs w:val="24"/>
              </w:rPr>
            </w:pPr>
          </w:p>
        </w:tc>
      </w:tr>
      <w:tr w:rsidR="00911DD6" w:rsidRPr="006529B9" w14:paraId="3F22416E" w14:textId="77777777" w:rsidTr="00911DD6">
        <w:tc>
          <w:tcPr>
            <w:tcW w:w="4508" w:type="dxa"/>
          </w:tcPr>
          <w:p w14:paraId="7F6E8E91" w14:textId="0A62A6BC" w:rsidR="00911DD6" w:rsidRPr="006529B9" w:rsidRDefault="00176430" w:rsidP="00176430">
            <w:pPr>
              <w:rPr>
                <w:rFonts w:ascii="Arial" w:hAnsi="Arial" w:cs="Arial"/>
                <w:sz w:val="24"/>
                <w:szCs w:val="24"/>
              </w:rPr>
            </w:pPr>
            <w:r w:rsidRPr="006529B9">
              <w:rPr>
                <w:rFonts w:ascii="Arial" w:hAnsi="Arial" w:cs="Arial"/>
                <w:sz w:val="24"/>
                <w:szCs w:val="24"/>
              </w:rPr>
              <w:t>Call Closes</w:t>
            </w:r>
            <w:r w:rsidR="00916BE3" w:rsidRPr="006529B9">
              <w:rPr>
                <w:rFonts w:ascii="Arial" w:hAnsi="Arial" w:cs="Arial"/>
                <w:sz w:val="24"/>
                <w:szCs w:val="24"/>
              </w:rPr>
              <w:t xml:space="preserve">: </w:t>
            </w:r>
          </w:p>
        </w:tc>
        <w:tc>
          <w:tcPr>
            <w:tcW w:w="4508" w:type="dxa"/>
          </w:tcPr>
          <w:p w14:paraId="5496022D" w14:textId="36D75D43" w:rsidR="00911DD6" w:rsidRPr="002D3B6E" w:rsidRDefault="00254C18" w:rsidP="00176430">
            <w:pPr>
              <w:rPr>
                <w:rFonts w:ascii="Arial" w:hAnsi="Arial" w:cs="Arial"/>
                <w:sz w:val="24"/>
                <w:szCs w:val="24"/>
              </w:rPr>
            </w:pPr>
            <w:r w:rsidRPr="002D3B6E">
              <w:rPr>
                <w:rFonts w:ascii="Arial" w:hAnsi="Arial" w:cs="Arial"/>
                <w:sz w:val="24"/>
                <w:szCs w:val="24"/>
              </w:rPr>
              <w:t>Friday 15</w:t>
            </w:r>
            <w:r w:rsidRPr="002D3B6E">
              <w:rPr>
                <w:rFonts w:ascii="Arial" w:hAnsi="Arial" w:cs="Arial"/>
                <w:sz w:val="24"/>
                <w:szCs w:val="24"/>
                <w:vertAlign w:val="superscript"/>
              </w:rPr>
              <w:t>th</w:t>
            </w:r>
            <w:r w:rsidRPr="002D3B6E">
              <w:rPr>
                <w:rFonts w:ascii="Arial" w:hAnsi="Arial" w:cs="Arial"/>
                <w:sz w:val="24"/>
                <w:szCs w:val="24"/>
              </w:rPr>
              <w:t xml:space="preserve"> October</w:t>
            </w:r>
            <w:r w:rsidR="00176430" w:rsidRPr="002D3B6E">
              <w:rPr>
                <w:rFonts w:ascii="Arial" w:hAnsi="Arial" w:cs="Arial"/>
                <w:sz w:val="24"/>
                <w:szCs w:val="24"/>
              </w:rPr>
              <w:t xml:space="preserve"> 2021</w:t>
            </w:r>
            <w:r w:rsidR="002361E0" w:rsidRPr="002D3B6E">
              <w:rPr>
                <w:rFonts w:ascii="Arial" w:hAnsi="Arial" w:cs="Arial"/>
                <w:sz w:val="24"/>
                <w:szCs w:val="24"/>
              </w:rPr>
              <w:t xml:space="preserve"> </w:t>
            </w:r>
            <w:r w:rsidR="002D3B6E" w:rsidRPr="002D3B6E">
              <w:rPr>
                <w:rFonts w:ascii="Arial" w:hAnsi="Arial" w:cs="Arial"/>
                <w:sz w:val="24"/>
                <w:szCs w:val="24"/>
              </w:rPr>
              <w:t xml:space="preserve">at </w:t>
            </w:r>
            <w:r w:rsidR="00757FCB" w:rsidRPr="002D3B6E">
              <w:rPr>
                <w:rFonts w:ascii="Arial" w:hAnsi="Arial" w:cs="Arial"/>
                <w:sz w:val="24"/>
                <w:szCs w:val="24"/>
              </w:rPr>
              <w:t>25:</w:t>
            </w:r>
            <w:r w:rsidR="002D3B6E" w:rsidRPr="002D3B6E">
              <w:rPr>
                <w:rFonts w:ascii="Arial" w:hAnsi="Arial" w:cs="Arial"/>
                <w:sz w:val="24"/>
                <w:szCs w:val="24"/>
              </w:rPr>
              <w:t xml:space="preserve">59 hours </w:t>
            </w:r>
          </w:p>
          <w:p w14:paraId="4F605ED0" w14:textId="32E9F62E" w:rsidR="000E509C" w:rsidRPr="006529B9" w:rsidRDefault="000E509C" w:rsidP="00176430">
            <w:pPr>
              <w:rPr>
                <w:rFonts w:ascii="Arial" w:hAnsi="Arial" w:cs="Arial"/>
                <w:sz w:val="24"/>
                <w:szCs w:val="24"/>
              </w:rPr>
            </w:pPr>
          </w:p>
        </w:tc>
      </w:tr>
      <w:tr w:rsidR="00A6011C" w:rsidRPr="006529B9" w14:paraId="6C6BF525" w14:textId="77777777" w:rsidTr="00911DD6">
        <w:tc>
          <w:tcPr>
            <w:tcW w:w="4508" w:type="dxa"/>
          </w:tcPr>
          <w:p w14:paraId="59F43C9C" w14:textId="19E9A49F" w:rsidR="0014491C" w:rsidRPr="006529B9" w:rsidRDefault="001C10F3" w:rsidP="00176430">
            <w:pPr>
              <w:rPr>
                <w:rFonts w:ascii="Arial" w:hAnsi="Arial" w:cs="Arial"/>
                <w:sz w:val="24"/>
                <w:szCs w:val="24"/>
              </w:rPr>
            </w:pPr>
            <w:r w:rsidRPr="006529B9">
              <w:rPr>
                <w:rFonts w:ascii="Arial" w:hAnsi="Arial" w:cs="Arial"/>
                <w:sz w:val="24"/>
                <w:szCs w:val="24"/>
              </w:rPr>
              <w:t>Contact</w:t>
            </w:r>
            <w:r w:rsidR="0014491C" w:rsidRPr="006529B9">
              <w:rPr>
                <w:rFonts w:ascii="Arial" w:hAnsi="Arial" w:cs="Arial"/>
                <w:sz w:val="24"/>
                <w:szCs w:val="24"/>
              </w:rPr>
              <w:t xml:space="preserve"> Details</w:t>
            </w:r>
            <w:r w:rsidR="00D344BB" w:rsidRPr="006529B9">
              <w:rPr>
                <w:rFonts w:ascii="Arial" w:hAnsi="Arial" w:cs="Arial"/>
                <w:sz w:val="24"/>
                <w:szCs w:val="24"/>
              </w:rPr>
              <w:t xml:space="preserve"> for Queries and Applications</w:t>
            </w:r>
            <w:r w:rsidR="0014491C" w:rsidRPr="006529B9">
              <w:rPr>
                <w:rFonts w:ascii="Arial" w:hAnsi="Arial" w:cs="Arial"/>
                <w:sz w:val="24"/>
                <w:szCs w:val="24"/>
              </w:rPr>
              <w:t>:</w:t>
            </w:r>
          </w:p>
          <w:p w14:paraId="37AFF7E6" w14:textId="1D83878F" w:rsidR="00A6011C" w:rsidRPr="006529B9" w:rsidRDefault="00A6011C" w:rsidP="00176430">
            <w:pPr>
              <w:rPr>
                <w:rFonts w:ascii="Arial" w:hAnsi="Arial" w:cs="Arial"/>
                <w:sz w:val="24"/>
                <w:szCs w:val="24"/>
              </w:rPr>
            </w:pPr>
            <w:r w:rsidRPr="006529B9">
              <w:rPr>
                <w:rFonts w:ascii="Arial" w:hAnsi="Arial" w:cs="Arial"/>
                <w:sz w:val="24"/>
                <w:szCs w:val="24"/>
              </w:rPr>
              <w:t xml:space="preserve"> </w:t>
            </w:r>
          </w:p>
        </w:tc>
        <w:tc>
          <w:tcPr>
            <w:tcW w:w="4508" w:type="dxa"/>
          </w:tcPr>
          <w:p w14:paraId="74C6099E" w14:textId="423425C2" w:rsidR="00A6011C" w:rsidRPr="006529B9" w:rsidRDefault="000D55BC" w:rsidP="00176430">
            <w:pPr>
              <w:rPr>
                <w:rFonts w:ascii="Arial" w:hAnsi="Arial" w:cs="Arial"/>
                <w:sz w:val="24"/>
                <w:szCs w:val="24"/>
              </w:rPr>
            </w:pPr>
            <w:hyperlink r:id="rId13" w:history="1">
              <w:r w:rsidR="001C10F3" w:rsidRPr="006529B9">
                <w:rPr>
                  <w:rStyle w:val="Hyperlink"/>
                  <w:rFonts w:ascii="Arial" w:hAnsi="Arial" w:cs="Arial"/>
                  <w:sz w:val="24"/>
                  <w:szCs w:val="24"/>
                </w:rPr>
                <w:t>Housing@northoftyne-ca.gov.uk</w:t>
              </w:r>
            </w:hyperlink>
            <w:r w:rsidR="001C10F3" w:rsidRPr="006529B9">
              <w:rPr>
                <w:rFonts w:ascii="Arial" w:hAnsi="Arial" w:cs="Arial"/>
                <w:sz w:val="24"/>
                <w:szCs w:val="24"/>
              </w:rPr>
              <w:t xml:space="preserve"> </w:t>
            </w:r>
          </w:p>
        </w:tc>
      </w:tr>
    </w:tbl>
    <w:p w14:paraId="5AD27ED6" w14:textId="3BAB0468" w:rsidR="00911DD6" w:rsidRPr="006529B9" w:rsidRDefault="00911DD6" w:rsidP="00066504">
      <w:pPr>
        <w:spacing w:line="240" w:lineRule="auto"/>
        <w:jc w:val="center"/>
        <w:rPr>
          <w:rFonts w:ascii="Arial" w:hAnsi="Arial" w:cs="Arial"/>
          <w:sz w:val="24"/>
          <w:szCs w:val="24"/>
        </w:rPr>
      </w:pPr>
    </w:p>
    <w:p w14:paraId="2AD4EAD1" w14:textId="45411005" w:rsidR="00176430" w:rsidRPr="006529B9" w:rsidRDefault="00176430" w:rsidP="00066504">
      <w:pPr>
        <w:spacing w:line="240" w:lineRule="auto"/>
        <w:jc w:val="center"/>
        <w:rPr>
          <w:rFonts w:ascii="Arial" w:hAnsi="Arial" w:cs="Arial"/>
          <w:sz w:val="24"/>
          <w:szCs w:val="24"/>
        </w:rPr>
      </w:pPr>
    </w:p>
    <w:p w14:paraId="6C105D37" w14:textId="4AD4F92C" w:rsidR="00176430" w:rsidRPr="006529B9" w:rsidRDefault="00176430" w:rsidP="00066504">
      <w:pPr>
        <w:spacing w:line="240" w:lineRule="auto"/>
        <w:rPr>
          <w:rFonts w:ascii="Arial" w:hAnsi="Arial" w:cs="Arial"/>
          <w:sz w:val="24"/>
          <w:szCs w:val="24"/>
        </w:rPr>
      </w:pPr>
    </w:p>
    <w:p w14:paraId="6767DFEE" w14:textId="17068A3A" w:rsidR="00176430" w:rsidRPr="006529B9" w:rsidRDefault="00176430" w:rsidP="00066504">
      <w:pPr>
        <w:spacing w:line="240" w:lineRule="auto"/>
        <w:rPr>
          <w:rFonts w:ascii="Arial" w:hAnsi="Arial" w:cs="Arial"/>
          <w:sz w:val="24"/>
          <w:szCs w:val="24"/>
        </w:rPr>
      </w:pPr>
    </w:p>
    <w:p w14:paraId="70F18199" w14:textId="7C05C310" w:rsidR="00176430" w:rsidRPr="006529B9" w:rsidRDefault="00176430" w:rsidP="00066504">
      <w:pPr>
        <w:spacing w:line="240" w:lineRule="auto"/>
        <w:rPr>
          <w:rFonts w:ascii="Arial" w:hAnsi="Arial" w:cs="Arial"/>
          <w:sz w:val="24"/>
          <w:szCs w:val="24"/>
        </w:rPr>
      </w:pPr>
    </w:p>
    <w:p w14:paraId="04194004" w14:textId="57B98F07" w:rsidR="00176430" w:rsidRPr="006529B9" w:rsidRDefault="00176430" w:rsidP="00066504">
      <w:pPr>
        <w:spacing w:line="240" w:lineRule="auto"/>
        <w:rPr>
          <w:rFonts w:ascii="Arial" w:hAnsi="Arial" w:cs="Arial"/>
          <w:sz w:val="24"/>
          <w:szCs w:val="24"/>
        </w:rPr>
      </w:pPr>
    </w:p>
    <w:p w14:paraId="04B0D484" w14:textId="0ED57EAF" w:rsidR="00176430" w:rsidRPr="006529B9" w:rsidRDefault="00176430" w:rsidP="00066504">
      <w:pPr>
        <w:spacing w:line="240" w:lineRule="auto"/>
        <w:rPr>
          <w:rFonts w:ascii="Arial" w:hAnsi="Arial" w:cs="Arial"/>
          <w:sz w:val="24"/>
          <w:szCs w:val="24"/>
        </w:rPr>
      </w:pPr>
    </w:p>
    <w:p w14:paraId="2F69B1ED" w14:textId="04DBAD57" w:rsidR="00176430" w:rsidRPr="006529B9" w:rsidRDefault="00176430" w:rsidP="00066504">
      <w:pPr>
        <w:spacing w:line="240" w:lineRule="auto"/>
        <w:rPr>
          <w:rFonts w:ascii="Arial" w:hAnsi="Arial" w:cs="Arial"/>
          <w:sz w:val="24"/>
          <w:szCs w:val="24"/>
        </w:rPr>
      </w:pPr>
    </w:p>
    <w:p w14:paraId="3021836A" w14:textId="77777777" w:rsidR="000E509C" w:rsidRDefault="000E509C" w:rsidP="00066504">
      <w:pPr>
        <w:spacing w:line="240" w:lineRule="auto"/>
        <w:rPr>
          <w:rFonts w:ascii="Arial" w:hAnsi="Arial" w:cs="Arial"/>
          <w:sz w:val="24"/>
          <w:szCs w:val="24"/>
        </w:rPr>
      </w:pPr>
    </w:p>
    <w:p w14:paraId="1826CD43" w14:textId="77777777" w:rsidR="00440561" w:rsidRDefault="00440561" w:rsidP="00066504">
      <w:pPr>
        <w:spacing w:line="240" w:lineRule="auto"/>
        <w:rPr>
          <w:rFonts w:ascii="Arial" w:hAnsi="Arial" w:cs="Arial"/>
          <w:sz w:val="24"/>
          <w:szCs w:val="24"/>
        </w:rPr>
      </w:pPr>
    </w:p>
    <w:p w14:paraId="18EB81C6" w14:textId="4F29B0A5" w:rsidR="00337196" w:rsidRPr="006529B9" w:rsidRDefault="00337196" w:rsidP="00354ACA">
      <w:pPr>
        <w:pStyle w:val="ListParagraph"/>
        <w:numPr>
          <w:ilvl w:val="0"/>
          <w:numId w:val="20"/>
        </w:numPr>
        <w:spacing w:line="240" w:lineRule="auto"/>
        <w:jc w:val="both"/>
        <w:rPr>
          <w:rFonts w:ascii="Arial" w:hAnsi="Arial" w:cs="Arial"/>
          <w:b/>
          <w:bCs/>
          <w:sz w:val="24"/>
          <w:szCs w:val="24"/>
          <w:u w:val="single"/>
        </w:rPr>
      </w:pPr>
      <w:r w:rsidRPr="006529B9">
        <w:rPr>
          <w:rFonts w:ascii="Arial" w:hAnsi="Arial" w:cs="Arial"/>
          <w:b/>
          <w:bCs/>
          <w:sz w:val="24"/>
          <w:szCs w:val="24"/>
          <w:u w:val="single"/>
        </w:rPr>
        <w:lastRenderedPageBreak/>
        <w:t>Introduction</w:t>
      </w:r>
    </w:p>
    <w:p w14:paraId="55E746C1" w14:textId="03C31004" w:rsidR="00337196" w:rsidRPr="006529B9" w:rsidRDefault="00337196" w:rsidP="00BF35FA">
      <w:pPr>
        <w:spacing w:line="240" w:lineRule="auto"/>
        <w:jc w:val="both"/>
        <w:rPr>
          <w:rFonts w:ascii="Arial" w:hAnsi="Arial" w:cs="Arial"/>
          <w:sz w:val="24"/>
          <w:szCs w:val="24"/>
        </w:rPr>
      </w:pPr>
      <w:r w:rsidRPr="006529B9">
        <w:rPr>
          <w:rFonts w:ascii="Arial" w:hAnsi="Arial" w:cs="Arial"/>
          <w:sz w:val="24"/>
          <w:szCs w:val="24"/>
        </w:rPr>
        <w:t xml:space="preserve">The purpose of this </w:t>
      </w:r>
      <w:r w:rsidR="00CE5BC9">
        <w:rPr>
          <w:rFonts w:ascii="Arial" w:hAnsi="Arial" w:cs="Arial"/>
          <w:sz w:val="24"/>
          <w:szCs w:val="24"/>
        </w:rPr>
        <w:t xml:space="preserve">expression of interest </w:t>
      </w:r>
      <w:r w:rsidRPr="006529B9">
        <w:rPr>
          <w:rFonts w:ascii="Arial" w:hAnsi="Arial" w:cs="Arial"/>
          <w:sz w:val="24"/>
          <w:szCs w:val="24"/>
        </w:rPr>
        <w:t xml:space="preserve">call is to </w:t>
      </w:r>
      <w:r w:rsidR="00CE5BC9">
        <w:rPr>
          <w:rFonts w:ascii="Arial" w:hAnsi="Arial" w:cs="Arial"/>
          <w:sz w:val="24"/>
          <w:szCs w:val="24"/>
        </w:rPr>
        <w:t>support</w:t>
      </w:r>
      <w:r w:rsidR="00E71C49" w:rsidRPr="006529B9">
        <w:rPr>
          <w:rFonts w:ascii="Arial" w:hAnsi="Arial" w:cs="Arial"/>
          <w:sz w:val="24"/>
          <w:szCs w:val="24"/>
        </w:rPr>
        <w:t xml:space="preserve"> the </w:t>
      </w:r>
      <w:r w:rsidR="00CE5BC9">
        <w:rPr>
          <w:rFonts w:ascii="Arial" w:hAnsi="Arial" w:cs="Arial"/>
          <w:sz w:val="24"/>
          <w:szCs w:val="24"/>
        </w:rPr>
        <w:t>North of Tyne Combined Authority in developing its pipeline including for</w:t>
      </w:r>
      <w:r w:rsidR="00E71C49" w:rsidRPr="006529B9">
        <w:rPr>
          <w:rFonts w:ascii="Arial" w:hAnsi="Arial" w:cs="Arial"/>
          <w:sz w:val="24"/>
          <w:szCs w:val="24"/>
        </w:rPr>
        <w:t xml:space="preserve"> the North of Tyne Brownfield Housing Fund</w:t>
      </w:r>
      <w:r w:rsidR="00CE5BC9">
        <w:rPr>
          <w:rFonts w:ascii="Arial" w:hAnsi="Arial" w:cs="Arial"/>
          <w:sz w:val="24"/>
          <w:szCs w:val="24"/>
        </w:rPr>
        <w:t xml:space="preserve"> programme.</w:t>
      </w:r>
    </w:p>
    <w:p w14:paraId="225937A1" w14:textId="4B4C0CCB" w:rsidR="00337196" w:rsidRPr="006529B9" w:rsidRDefault="009B7C59" w:rsidP="00BF35FA">
      <w:pPr>
        <w:spacing w:after="0" w:line="240" w:lineRule="auto"/>
        <w:jc w:val="both"/>
        <w:rPr>
          <w:rFonts w:ascii="Arial" w:hAnsi="Arial" w:cs="Arial"/>
          <w:sz w:val="24"/>
          <w:szCs w:val="24"/>
        </w:rPr>
      </w:pPr>
      <w:r w:rsidRPr="006529B9">
        <w:rPr>
          <w:rFonts w:ascii="Arial" w:hAnsi="Arial" w:cs="Arial"/>
          <w:color w:val="000000"/>
          <w:sz w:val="24"/>
          <w:szCs w:val="24"/>
          <w:shd w:val="clear" w:color="auto" w:fill="FFFFFF"/>
        </w:rPr>
        <w:t>T</w:t>
      </w:r>
      <w:r w:rsidRPr="006529B9">
        <w:rPr>
          <w:rFonts w:ascii="Arial" w:hAnsi="Arial" w:cs="Arial"/>
          <w:sz w:val="24"/>
          <w:szCs w:val="24"/>
        </w:rPr>
        <w:t xml:space="preserve">his document sets out the parameters for the </w:t>
      </w:r>
      <w:r w:rsidR="00381F65">
        <w:rPr>
          <w:rFonts w:ascii="Arial" w:hAnsi="Arial" w:cs="Arial"/>
          <w:sz w:val="24"/>
          <w:szCs w:val="24"/>
        </w:rPr>
        <w:t>c</w:t>
      </w:r>
      <w:r w:rsidRPr="006529B9">
        <w:rPr>
          <w:rFonts w:ascii="Arial" w:hAnsi="Arial" w:cs="Arial"/>
          <w:sz w:val="24"/>
          <w:szCs w:val="24"/>
        </w:rPr>
        <w:t xml:space="preserve">all and explains the process, </w:t>
      </w:r>
      <w:r w:rsidR="00381F65">
        <w:rPr>
          <w:rFonts w:ascii="Arial" w:hAnsi="Arial" w:cs="Arial"/>
          <w:sz w:val="24"/>
          <w:szCs w:val="24"/>
        </w:rPr>
        <w:t>eligi</w:t>
      </w:r>
      <w:r w:rsidR="00B844B5">
        <w:rPr>
          <w:rFonts w:ascii="Arial" w:hAnsi="Arial" w:cs="Arial"/>
          <w:sz w:val="24"/>
          <w:szCs w:val="24"/>
        </w:rPr>
        <w:t>bility criteria</w:t>
      </w:r>
      <w:r w:rsidRPr="006529B9">
        <w:rPr>
          <w:rFonts w:ascii="Arial" w:hAnsi="Arial" w:cs="Arial"/>
          <w:sz w:val="24"/>
          <w:szCs w:val="24"/>
        </w:rPr>
        <w:t xml:space="preserve"> and the indicative timetable.</w:t>
      </w:r>
    </w:p>
    <w:p w14:paraId="784A42E2" w14:textId="77777777" w:rsidR="009B7C59" w:rsidRPr="006529B9" w:rsidRDefault="009B7C59" w:rsidP="00BF35FA">
      <w:pPr>
        <w:spacing w:after="0" w:line="240" w:lineRule="auto"/>
        <w:jc w:val="both"/>
        <w:rPr>
          <w:rFonts w:ascii="Arial" w:hAnsi="Arial" w:cs="Arial"/>
          <w:sz w:val="24"/>
          <w:szCs w:val="24"/>
        </w:rPr>
      </w:pPr>
    </w:p>
    <w:p w14:paraId="1A24E457" w14:textId="31347F67" w:rsidR="00F610EB" w:rsidRPr="006529B9" w:rsidRDefault="00F610EB" w:rsidP="00354ACA">
      <w:pPr>
        <w:pStyle w:val="ListParagraph"/>
        <w:numPr>
          <w:ilvl w:val="0"/>
          <w:numId w:val="20"/>
        </w:numPr>
        <w:spacing w:line="240" w:lineRule="auto"/>
        <w:jc w:val="both"/>
        <w:rPr>
          <w:rFonts w:ascii="Arial" w:hAnsi="Arial" w:cs="Arial"/>
          <w:b/>
          <w:bCs/>
          <w:sz w:val="24"/>
          <w:szCs w:val="24"/>
          <w:u w:val="single"/>
        </w:rPr>
      </w:pPr>
      <w:r w:rsidRPr="006529B9">
        <w:rPr>
          <w:rFonts w:ascii="Arial" w:hAnsi="Arial" w:cs="Arial"/>
          <w:b/>
          <w:bCs/>
          <w:sz w:val="24"/>
          <w:szCs w:val="24"/>
          <w:u w:val="single"/>
        </w:rPr>
        <w:t>Context</w:t>
      </w:r>
    </w:p>
    <w:p w14:paraId="0FF22F02" w14:textId="742AE69A" w:rsidR="00403C8F" w:rsidRPr="006529B9" w:rsidRDefault="008B0756" w:rsidP="00BF35FA">
      <w:pPr>
        <w:spacing w:line="240" w:lineRule="auto"/>
        <w:jc w:val="both"/>
        <w:rPr>
          <w:rFonts w:ascii="Arial" w:hAnsi="Arial" w:cs="Arial"/>
          <w:sz w:val="24"/>
          <w:szCs w:val="24"/>
        </w:rPr>
      </w:pPr>
      <w:r w:rsidRPr="006529B9">
        <w:rPr>
          <w:rFonts w:ascii="Arial" w:hAnsi="Arial" w:cs="Arial"/>
          <w:sz w:val="24"/>
          <w:szCs w:val="24"/>
        </w:rPr>
        <w:t>In the 2020 Budget</w:t>
      </w:r>
      <w:r w:rsidR="00ED3568" w:rsidRPr="006529B9">
        <w:rPr>
          <w:rFonts w:ascii="Arial" w:hAnsi="Arial" w:cs="Arial"/>
          <w:sz w:val="24"/>
          <w:szCs w:val="24"/>
        </w:rPr>
        <w:t>,</w:t>
      </w:r>
      <w:r w:rsidRPr="006529B9">
        <w:rPr>
          <w:rFonts w:ascii="Arial" w:hAnsi="Arial" w:cs="Arial"/>
          <w:sz w:val="24"/>
          <w:szCs w:val="24"/>
        </w:rPr>
        <w:t xml:space="preserve"> the Chancellor announced a £400 million Brownfield Housing Fund (BHF) for Mayoral Combined Authorities to unlock stalled Brownfield sites.</w:t>
      </w:r>
      <w:r w:rsidR="00902109" w:rsidRPr="006529B9">
        <w:rPr>
          <w:rFonts w:ascii="Arial" w:hAnsi="Arial" w:cs="Arial"/>
          <w:sz w:val="24"/>
          <w:szCs w:val="24"/>
        </w:rPr>
        <w:t xml:space="preserve"> </w:t>
      </w:r>
      <w:r w:rsidR="00440041" w:rsidRPr="006529B9">
        <w:rPr>
          <w:rFonts w:ascii="Arial" w:hAnsi="Arial" w:cs="Arial"/>
          <w:sz w:val="24"/>
          <w:szCs w:val="24"/>
        </w:rPr>
        <w:t>This funding will run over a five-year period</w:t>
      </w:r>
      <w:r w:rsidR="00902109" w:rsidRPr="006529B9">
        <w:rPr>
          <w:rFonts w:ascii="Arial" w:hAnsi="Arial" w:cs="Arial"/>
          <w:sz w:val="24"/>
          <w:szCs w:val="24"/>
        </w:rPr>
        <w:t xml:space="preserve">, </w:t>
      </w:r>
      <w:r w:rsidR="00440041" w:rsidRPr="006529B9">
        <w:rPr>
          <w:rFonts w:ascii="Arial" w:hAnsi="Arial" w:cs="Arial"/>
          <w:sz w:val="24"/>
          <w:szCs w:val="24"/>
        </w:rPr>
        <w:t>with expenditure to be defrayed by no later than the 3</w:t>
      </w:r>
      <w:r w:rsidR="005E6AC9" w:rsidRPr="006529B9">
        <w:rPr>
          <w:rFonts w:ascii="Arial" w:hAnsi="Arial" w:cs="Arial"/>
          <w:sz w:val="24"/>
          <w:szCs w:val="24"/>
        </w:rPr>
        <w:t>1</w:t>
      </w:r>
      <w:r w:rsidR="005E6AC9" w:rsidRPr="006529B9">
        <w:rPr>
          <w:rFonts w:ascii="Arial" w:hAnsi="Arial" w:cs="Arial"/>
          <w:sz w:val="24"/>
          <w:szCs w:val="24"/>
          <w:vertAlign w:val="superscript"/>
        </w:rPr>
        <w:t>st</w:t>
      </w:r>
      <w:r w:rsidR="005E6AC9" w:rsidRPr="006529B9">
        <w:rPr>
          <w:rFonts w:ascii="Arial" w:hAnsi="Arial" w:cs="Arial"/>
          <w:sz w:val="24"/>
          <w:szCs w:val="24"/>
        </w:rPr>
        <w:t xml:space="preserve"> </w:t>
      </w:r>
      <w:r w:rsidR="00440041" w:rsidRPr="006529B9">
        <w:rPr>
          <w:rFonts w:ascii="Arial" w:hAnsi="Arial" w:cs="Arial"/>
          <w:sz w:val="24"/>
          <w:szCs w:val="24"/>
        </w:rPr>
        <w:t>March 2025.</w:t>
      </w:r>
      <w:r w:rsidR="00403C8F" w:rsidRPr="006529B9">
        <w:rPr>
          <w:rFonts w:ascii="Arial" w:hAnsi="Arial" w:cs="Arial"/>
          <w:sz w:val="24"/>
          <w:szCs w:val="24"/>
        </w:rPr>
        <w:t xml:space="preserve"> </w:t>
      </w:r>
      <w:r w:rsidR="008011C4" w:rsidRPr="006529B9">
        <w:rPr>
          <w:rFonts w:ascii="Arial" w:hAnsi="Arial" w:cs="Arial"/>
          <w:sz w:val="24"/>
          <w:szCs w:val="24"/>
        </w:rPr>
        <w:t>NTCA was awarded £23,853,618 to unlock between 1500 and 2500 new homes.</w:t>
      </w:r>
      <w:r w:rsidR="00A26301" w:rsidRPr="006529B9">
        <w:rPr>
          <w:rFonts w:ascii="Arial" w:hAnsi="Arial" w:cs="Arial"/>
          <w:sz w:val="24"/>
          <w:szCs w:val="24"/>
        </w:rPr>
        <w:t xml:space="preserve">  </w:t>
      </w:r>
    </w:p>
    <w:p w14:paraId="0CF6D670" w14:textId="679503F5" w:rsidR="008011C4" w:rsidRPr="006529B9" w:rsidRDefault="00E10FAA" w:rsidP="00BF35FA">
      <w:pPr>
        <w:spacing w:line="240" w:lineRule="auto"/>
        <w:jc w:val="both"/>
        <w:rPr>
          <w:rFonts w:ascii="Arial" w:hAnsi="Arial" w:cs="Arial"/>
          <w:sz w:val="24"/>
          <w:szCs w:val="24"/>
        </w:rPr>
      </w:pPr>
      <w:r w:rsidRPr="006529B9">
        <w:rPr>
          <w:rFonts w:ascii="Arial" w:hAnsi="Arial" w:cs="Arial"/>
          <w:sz w:val="24"/>
          <w:szCs w:val="24"/>
        </w:rPr>
        <w:t xml:space="preserve">Since the announcement of funding, </w:t>
      </w:r>
      <w:r w:rsidR="00253841" w:rsidRPr="006529B9">
        <w:rPr>
          <w:rFonts w:ascii="Arial" w:hAnsi="Arial" w:cs="Arial"/>
          <w:sz w:val="24"/>
          <w:szCs w:val="24"/>
        </w:rPr>
        <w:t xml:space="preserve">NTCA has </w:t>
      </w:r>
      <w:r w:rsidRPr="006529B9">
        <w:rPr>
          <w:rFonts w:ascii="Arial" w:hAnsi="Arial" w:cs="Arial"/>
          <w:sz w:val="24"/>
          <w:szCs w:val="24"/>
        </w:rPr>
        <w:t>worked with</w:t>
      </w:r>
      <w:r w:rsidR="00E929EE" w:rsidRPr="006529B9">
        <w:rPr>
          <w:rFonts w:ascii="Arial" w:hAnsi="Arial" w:cs="Arial"/>
          <w:sz w:val="24"/>
          <w:szCs w:val="24"/>
        </w:rPr>
        <w:t xml:space="preserve"> </w:t>
      </w:r>
      <w:r w:rsidR="008B1FD4">
        <w:rPr>
          <w:rFonts w:ascii="Arial" w:hAnsi="Arial" w:cs="Arial"/>
          <w:sz w:val="24"/>
          <w:szCs w:val="24"/>
        </w:rPr>
        <w:t>partners</w:t>
      </w:r>
      <w:r w:rsidRPr="006529B9">
        <w:rPr>
          <w:rFonts w:ascii="Arial" w:hAnsi="Arial" w:cs="Arial"/>
          <w:sz w:val="24"/>
          <w:szCs w:val="24"/>
        </w:rPr>
        <w:t xml:space="preserve"> to develop a programme of </w:t>
      </w:r>
      <w:r w:rsidR="00256ADF" w:rsidRPr="006529B9">
        <w:rPr>
          <w:rFonts w:ascii="Arial" w:hAnsi="Arial" w:cs="Arial"/>
          <w:sz w:val="24"/>
          <w:szCs w:val="24"/>
        </w:rPr>
        <w:t>brownfield sites</w:t>
      </w:r>
      <w:r w:rsidR="00F868D7" w:rsidRPr="006529B9">
        <w:rPr>
          <w:rFonts w:ascii="Arial" w:hAnsi="Arial" w:cs="Arial"/>
          <w:sz w:val="24"/>
          <w:szCs w:val="24"/>
        </w:rPr>
        <w:t xml:space="preserve"> and </w:t>
      </w:r>
      <w:proofErr w:type="gramStart"/>
      <w:r w:rsidR="00F868D7" w:rsidRPr="006529B9">
        <w:rPr>
          <w:rFonts w:ascii="Arial" w:hAnsi="Arial" w:cs="Arial"/>
          <w:sz w:val="24"/>
          <w:szCs w:val="24"/>
        </w:rPr>
        <w:t xml:space="preserve">a </w:t>
      </w:r>
      <w:r w:rsidR="00390E16">
        <w:rPr>
          <w:rFonts w:ascii="Arial" w:hAnsi="Arial" w:cs="Arial"/>
          <w:sz w:val="24"/>
          <w:szCs w:val="24"/>
        </w:rPr>
        <w:t>number</w:t>
      </w:r>
      <w:r w:rsidR="00887DC8" w:rsidRPr="006529B9">
        <w:rPr>
          <w:rFonts w:ascii="Arial" w:hAnsi="Arial" w:cs="Arial"/>
          <w:sz w:val="24"/>
          <w:szCs w:val="24"/>
        </w:rPr>
        <w:t xml:space="preserve"> of</w:t>
      </w:r>
      <w:proofErr w:type="gramEnd"/>
      <w:r w:rsidR="00887DC8" w:rsidRPr="006529B9">
        <w:rPr>
          <w:rFonts w:ascii="Arial" w:hAnsi="Arial" w:cs="Arial"/>
          <w:sz w:val="24"/>
          <w:szCs w:val="24"/>
        </w:rPr>
        <w:t xml:space="preserve"> </w:t>
      </w:r>
      <w:r w:rsidR="00390E16">
        <w:rPr>
          <w:rFonts w:ascii="Arial" w:hAnsi="Arial" w:cs="Arial"/>
          <w:sz w:val="24"/>
          <w:szCs w:val="24"/>
        </w:rPr>
        <w:t>proposals</w:t>
      </w:r>
      <w:r w:rsidR="005278CF" w:rsidRPr="006529B9">
        <w:rPr>
          <w:rFonts w:ascii="Arial" w:hAnsi="Arial" w:cs="Arial"/>
          <w:sz w:val="24"/>
          <w:szCs w:val="24"/>
        </w:rPr>
        <w:t xml:space="preserve"> </w:t>
      </w:r>
      <w:r w:rsidR="00ED3568" w:rsidRPr="006529B9">
        <w:rPr>
          <w:rFonts w:ascii="Arial" w:hAnsi="Arial" w:cs="Arial"/>
          <w:sz w:val="24"/>
          <w:szCs w:val="24"/>
        </w:rPr>
        <w:t>h</w:t>
      </w:r>
      <w:r w:rsidR="005278CF" w:rsidRPr="006529B9">
        <w:rPr>
          <w:rFonts w:ascii="Arial" w:hAnsi="Arial" w:cs="Arial"/>
          <w:sz w:val="24"/>
          <w:szCs w:val="24"/>
        </w:rPr>
        <w:t xml:space="preserve">ave </w:t>
      </w:r>
      <w:r w:rsidR="00390E16">
        <w:rPr>
          <w:rFonts w:ascii="Arial" w:hAnsi="Arial" w:cs="Arial"/>
          <w:sz w:val="24"/>
          <w:szCs w:val="24"/>
        </w:rPr>
        <w:t>progressed</w:t>
      </w:r>
      <w:r w:rsidR="00ED3568" w:rsidRPr="006529B9">
        <w:rPr>
          <w:rFonts w:ascii="Arial" w:hAnsi="Arial" w:cs="Arial"/>
          <w:sz w:val="24"/>
          <w:szCs w:val="24"/>
        </w:rPr>
        <w:t xml:space="preserve"> </w:t>
      </w:r>
      <w:r w:rsidR="00902109" w:rsidRPr="006529B9">
        <w:rPr>
          <w:rFonts w:ascii="Arial" w:hAnsi="Arial" w:cs="Arial"/>
          <w:sz w:val="24"/>
          <w:szCs w:val="24"/>
        </w:rPr>
        <w:t xml:space="preserve">to </w:t>
      </w:r>
      <w:r w:rsidR="00390E16">
        <w:rPr>
          <w:rFonts w:ascii="Arial" w:hAnsi="Arial" w:cs="Arial"/>
          <w:sz w:val="24"/>
          <w:szCs w:val="24"/>
        </w:rPr>
        <w:t>delivery.</w:t>
      </w:r>
    </w:p>
    <w:p w14:paraId="5CC8FEDF" w14:textId="05FA4887" w:rsidR="00D051D3" w:rsidRDefault="00ED6749" w:rsidP="00BF35FA">
      <w:pPr>
        <w:spacing w:line="240" w:lineRule="auto"/>
        <w:jc w:val="both"/>
        <w:rPr>
          <w:rFonts w:ascii="Arial" w:hAnsi="Arial" w:cs="Arial"/>
          <w:sz w:val="24"/>
          <w:szCs w:val="24"/>
        </w:rPr>
      </w:pPr>
      <w:proofErr w:type="gramStart"/>
      <w:r w:rsidRPr="006529B9">
        <w:rPr>
          <w:rFonts w:ascii="Arial" w:hAnsi="Arial" w:cs="Arial"/>
          <w:sz w:val="24"/>
          <w:szCs w:val="24"/>
        </w:rPr>
        <w:t>In order to</w:t>
      </w:r>
      <w:proofErr w:type="gramEnd"/>
      <w:r w:rsidRPr="006529B9">
        <w:rPr>
          <w:rFonts w:ascii="Arial" w:hAnsi="Arial" w:cs="Arial"/>
          <w:sz w:val="24"/>
          <w:szCs w:val="24"/>
        </w:rPr>
        <w:t xml:space="preserve"> </w:t>
      </w:r>
      <w:r w:rsidR="002016B9" w:rsidRPr="006529B9">
        <w:rPr>
          <w:rFonts w:ascii="Arial" w:hAnsi="Arial" w:cs="Arial"/>
          <w:sz w:val="24"/>
          <w:szCs w:val="24"/>
        </w:rPr>
        <w:t xml:space="preserve">support </w:t>
      </w:r>
      <w:r w:rsidR="00637D27">
        <w:rPr>
          <w:rFonts w:ascii="Arial" w:hAnsi="Arial" w:cs="Arial"/>
          <w:sz w:val="24"/>
          <w:szCs w:val="24"/>
        </w:rPr>
        <w:t xml:space="preserve">delivery of </w:t>
      </w:r>
      <w:r w:rsidR="002016B9" w:rsidRPr="006529B9">
        <w:rPr>
          <w:rFonts w:ascii="Arial" w:hAnsi="Arial" w:cs="Arial"/>
          <w:sz w:val="24"/>
          <w:szCs w:val="24"/>
        </w:rPr>
        <w:t xml:space="preserve">the </w:t>
      </w:r>
      <w:r w:rsidR="00637D27">
        <w:rPr>
          <w:rFonts w:ascii="Arial" w:hAnsi="Arial" w:cs="Arial"/>
          <w:sz w:val="24"/>
          <w:szCs w:val="24"/>
        </w:rPr>
        <w:t>current</w:t>
      </w:r>
      <w:r w:rsidR="002016B9" w:rsidRPr="006529B9">
        <w:rPr>
          <w:rFonts w:ascii="Arial" w:hAnsi="Arial" w:cs="Arial"/>
          <w:sz w:val="24"/>
          <w:szCs w:val="24"/>
        </w:rPr>
        <w:t xml:space="preserve"> </w:t>
      </w:r>
      <w:r w:rsidR="00066504">
        <w:rPr>
          <w:rFonts w:ascii="Arial" w:hAnsi="Arial" w:cs="Arial"/>
          <w:sz w:val="24"/>
          <w:szCs w:val="24"/>
        </w:rPr>
        <w:t>programme but also to prepare for</w:t>
      </w:r>
      <w:r w:rsidR="002016B9" w:rsidRPr="006529B9">
        <w:rPr>
          <w:rFonts w:ascii="Arial" w:hAnsi="Arial" w:cs="Arial"/>
          <w:sz w:val="24"/>
          <w:szCs w:val="24"/>
        </w:rPr>
        <w:t xml:space="preserve"> future </w:t>
      </w:r>
      <w:r w:rsidR="00066504">
        <w:rPr>
          <w:rFonts w:ascii="Arial" w:hAnsi="Arial" w:cs="Arial"/>
          <w:sz w:val="24"/>
          <w:szCs w:val="24"/>
        </w:rPr>
        <w:t>opportunities</w:t>
      </w:r>
      <w:r w:rsidR="00070EF5" w:rsidRPr="006529B9">
        <w:rPr>
          <w:rFonts w:ascii="Arial" w:hAnsi="Arial" w:cs="Arial"/>
          <w:sz w:val="24"/>
          <w:szCs w:val="24"/>
        </w:rPr>
        <w:t xml:space="preserve"> </w:t>
      </w:r>
      <w:r w:rsidR="002E00B2" w:rsidRPr="006529B9">
        <w:rPr>
          <w:rFonts w:ascii="Arial" w:hAnsi="Arial" w:cs="Arial"/>
          <w:sz w:val="24"/>
          <w:szCs w:val="24"/>
        </w:rPr>
        <w:t xml:space="preserve">we are </w:t>
      </w:r>
      <w:r w:rsidR="00AD189A" w:rsidRPr="006529B9">
        <w:rPr>
          <w:rFonts w:ascii="Arial" w:hAnsi="Arial" w:cs="Arial"/>
          <w:sz w:val="24"/>
          <w:szCs w:val="24"/>
        </w:rPr>
        <w:t xml:space="preserve">seeking additional </w:t>
      </w:r>
      <w:r w:rsidR="00320340">
        <w:rPr>
          <w:rFonts w:ascii="Arial" w:hAnsi="Arial" w:cs="Arial"/>
          <w:sz w:val="24"/>
          <w:szCs w:val="24"/>
        </w:rPr>
        <w:t>proposals</w:t>
      </w:r>
      <w:r w:rsidR="00AD189A" w:rsidRPr="006529B9">
        <w:rPr>
          <w:rFonts w:ascii="Arial" w:hAnsi="Arial" w:cs="Arial"/>
          <w:sz w:val="24"/>
          <w:szCs w:val="24"/>
        </w:rPr>
        <w:t xml:space="preserve"> </w:t>
      </w:r>
      <w:r w:rsidR="00637D27">
        <w:rPr>
          <w:rFonts w:ascii="Arial" w:hAnsi="Arial" w:cs="Arial"/>
          <w:sz w:val="24"/>
          <w:szCs w:val="24"/>
        </w:rPr>
        <w:t>through this</w:t>
      </w:r>
      <w:r w:rsidR="000F142B" w:rsidRPr="006529B9">
        <w:rPr>
          <w:rFonts w:ascii="Arial" w:hAnsi="Arial" w:cs="Arial"/>
          <w:sz w:val="24"/>
          <w:szCs w:val="24"/>
        </w:rPr>
        <w:t xml:space="preserve"> call process. </w:t>
      </w:r>
      <w:r w:rsidR="00320340">
        <w:rPr>
          <w:rFonts w:ascii="Arial" w:hAnsi="Arial" w:cs="Arial"/>
          <w:sz w:val="24"/>
          <w:szCs w:val="24"/>
        </w:rPr>
        <w:t>Proposals</w:t>
      </w:r>
      <w:r w:rsidR="000F142B" w:rsidRPr="006529B9">
        <w:rPr>
          <w:rFonts w:ascii="Arial" w:hAnsi="Arial" w:cs="Arial"/>
          <w:sz w:val="24"/>
          <w:szCs w:val="24"/>
        </w:rPr>
        <w:t xml:space="preserve"> are welcomed from </w:t>
      </w:r>
      <w:r w:rsidR="00960AD2" w:rsidRPr="006529B9">
        <w:rPr>
          <w:rFonts w:ascii="Arial" w:hAnsi="Arial" w:cs="Arial"/>
          <w:sz w:val="24"/>
          <w:szCs w:val="24"/>
        </w:rPr>
        <w:t xml:space="preserve">any </w:t>
      </w:r>
      <w:r w:rsidR="000F142B" w:rsidRPr="006529B9">
        <w:rPr>
          <w:rFonts w:ascii="Arial" w:hAnsi="Arial" w:cs="Arial"/>
          <w:sz w:val="24"/>
          <w:szCs w:val="24"/>
        </w:rPr>
        <w:t xml:space="preserve">private sector, charitable </w:t>
      </w:r>
      <w:r w:rsidR="000E509C" w:rsidRPr="006529B9">
        <w:rPr>
          <w:rFonts w:ascii="Arial" w:hAnsi="Arial" w:cs="Arial"/>
          <w:sz w:val="24"/>
          <w:szCs w:val="24"/>
        </w:rPr>
        <w:t>body,</w:t>
      </w:r>
      <w:r w:rsidR="000F142B" w:rsidRPr="006529B9">
        <w:rPr>
          <w:rFonts w:ascii="Arial" w:hAnsi="Arial" w:cs="Arial"/>
          <w:sz w:val="24"/>
          <w:szCs w:val="24"/>
        </w:rPr>
        <w:t xml:space="preserve"> or Registered Provider. </w:t>
      </w:r>
    </w:p>
    <w:p w14:paraId="58D7F61E" w14:textId="6E11AEAA" w:rsidR="00560BE7" w:rsidRPr="00560BE7" w:rsidRDefault="0009571C" w:rsidP="00354ACA">
      <w:pPr>
        <w:pStyle w:val="ListParagraph"/>
        <w:numPr>
          <w:ilvl w:val="0"/>
          <w:numId w:val="20"/>
        </w:numPr>
        <w:spacing w:line="240" w:lineRule="auto"/>
        <w:jc w:val="both"/>
        <w:rPr>
          <w:rFonts w:ascii="Arial" w:hAnsi="Arial" w:cs="Arial"/>
          <w:b/>
          <w:bCs/>
          <w:sz w:val="24"/>
          <w:szCs w:val="24"/>
          <w:u w:val="single"/>
        </w:rPr>
      </w:pPr>
      <w:r>
        <w:rPr>
          <w:rFonts w:ascii="Arial" w:hAnsi="Arial" w:cs="Arial"/>
          <w:b/>
          <w:bCs/>
          <w:sz w:val="24"/>
          <w:szCs w:val="24"/>
          <w:u w:val="single"/>
        </w:rPr>
        <w:t>Call for schemes</w:t>
      </w:r>
    </w:p>
    <w:p w14:paraId="4B643D0F" w14:textId="3E2370DB" w:rsidR="001D1E1E" w:rsidRDefault="00320340" w:rsidP="00BF35FA">
      <w:pPr>
        <w:spacing w:line="240" w:lineRule="auto"/>
        <w:jc w:val="both"/>
        <w:rPr>
          <w:rFonts w:ascii="Arial" w:hAnsi="Arial" w:cs="Arial"/>
          <w:sz w:val="24"/>
          <w:szCs w:val="24"/>
        </w:rPr>
      </w:pPr>
      <w:r w:rsidRPr="00BF35FA">
        <w:rPr>
          <w:rFonts w:ascii="Arial" w:hAnsi="Arial" w:cs="Arial"/>
          <w:sz w:val="24"/>
          <w:szCs w:val="24"/>
        </w:rPr>
        <w:t>For this</w:t>
      </w:r>
      <w:r w:rsidR="00E547E0">
        <w:rPr>
          <w:rFonts w:ascii="Arial" w:hAnsi="Arial" w:cs="Arial"/>
          <w:sz w:val="24"/>
          <w:szCs w:val="24"/>
        </w:rPr>
        <w:t xml:space="preserve"> call we are particularly interested in </w:t>
      </w:r>
      <w:r w:rsidR="00BF35FA" w:rsidRPr="00BF35FA">
        <w:rPr>
          <w:rFonts w:ascii="Arial" w:hAnsi="Arial" w:cs="Arial"/>
          <w:sz w:val="24"/>
          <w:szCs w:val="24"/>
        </w:rPr>
        <w:t>developing the pipeline of brownfield housing sites</w:t>
      </w:r>
      <w:r w:rsidR="00286C81">
        <w:rPr>
          <w:rFonts w:ascii="Arial" w:hAnsi="Arial" w:cs="Arial"/>
          <w:sz w:val="24"/>
          <w:szCs w:val="24"/>
        </w:rPr>
        <w:t xml:space="preserve"> to support the development of our Brownfield Housing Fund Programme</w:t>
      </w:r>
      <w:r w:rsidR="00BF35FA" w:rsidRPr="00BF35FA">
        <w:rPr>
          <w:rFonts w:ascii="Arial" w:hAnsi="Arial" w:cs="Arial"/>
          <w:sz w:val="24"/>
          <w:szCs w:val="24"/>
        </w:rPr>
        <w:t>.</w:t>
      </w:r>
      <w:r w:rsidR="00560BE7">
        <w:rPr>
          <w:rFonts w:ascii="Arial" w:hAnsi="Arial" w:cs="Arial"/>
          <w:sz w:val="24"/>
          <w:szCs w:val="24"/>
        </w:rPr>
        <w:t xml:space="preserve"> </w:t>
      </w:r>
      <w:r w:rsidR="0009571C">
        <w:rPr>
          <w:rFonts w:ascii="Arial" w:hAnsi="Arial" w:cs="Arial"/>
          <w:sz w:val="24"/>
          <w:szCs w:val="24"/>
        </w:rPr>
        <w:t xml:space="preserve"> </w:t>
      </w:r>
    </w:p>
    <w:p w14:paraId="23723CA9" w14:textId="6D045C8F" w:rsidR="0009571C" w:rsidRPr="00BF35FA" w:rsidRDefault="0009571C" w:rsidP="00286C81">
      <w:pPr>
        <w:spacing w:after="0" w:line="240" w:lineRule="auto"/>
        <w:jc w:val="both"/>
        <w:rPr>
          <w:rFonts w:ascii="Arial" w:hAnsi="Arial" w:cs="Arial"/>
          <w:b/>
          <w:bCs/>
          <w:sz w:val="24"/>
          <w:szCs w:val="24"/>
          <w:u w:val="single"/>
        </w:rPr>
      </w:pPr>
      <w:r>
        <w:rPr>
          <w:rFonts w:ascii="Arial" w:hAnsi="Arial" w:cs="Arial"/>
          <w:sz w:val="24"/>
          <w:szCs w:val="24"/>
        </w:rPr>
        <w:t>Scheme</w:t>
      </w:r>
      <w:r w:rsidR="00286C81">
        <w:rPr>
          <w:rFonts w:ascii="Arial" w:hAnsi="Arial" w:cs="Arial"/>
          <w:sz w:val="24"/>
          <w:szCs w:val="24"/>
        </w:rPr>
        <w:t>s</w:t>
      </w:r>
      <w:r>
        <w:rPr>
          <w:rFonts w:ascii="Arial" w:hAnsi="Arial" w:cs="Arial"/>
          <w:sz w:val="24"/>
          <w:szCs w:val="24"/>
        </w:rPr>
        <w:t xml:space="preserve"> must be</w:t>
      </w:r>
      <w:r w:rsidR="00B45787">
        <w:rPr>
          <w:rFonts w:ascii="Arial" w:hAnsi="Arial" w:cs="Arial"/>
          <w:sz w:val="24"/>
          <w:szCs w:val="24"/>
        </w:rPr>
        <w:t>:</w:t>
      </w:r>
    </w:p>
    <w:p w14:paraId="325C7C1D" w14:textId="1BB5B08D" w:rsidR="00B95133" w:rsidRPr="006529B9" w:rsidRDefault="00B45787" w:rsidP="00BF35FA">
      <w:pPr>
        <w:pStyle w:val="Default"/>
        <w:numPr>
          <w:ilvl w:val="0"/>
          <w:numId w:val="4"/>
        </w:numPr>
        <w:spacing w:after="30"/>
        <w:jc w:val="both"/>
      </w:pPr>
      <w:r>
        <w:t>L</w:t>
      </w:r>
      <w:r w:rsidR="00B95133" w:rsidRPr="00BF35FA">
        <w:t>ocated</w:t>
      </w:r>
      <w:r w:rsidR="00B95133" w:rsidRPr="006529B9">
        <w:t xml:space="preserve"> on brownfield sites </w:t>
      </w:r>
    </w:p>
    <w:p w14:paraId="21123A8E" w14:textId="77777777" w:rsidR="00B95133" w:rsidRPr="006529B9" w:rsidRDefault="00B95133" w:rsidP="00BF35FA">
      <w:pPr>
        <w:pStyle w:val="Default"/>
        <w:numPr>
          <w:ilvl w:val="0"/>
          <w:numId w:val="4"/>
        </w:numPr>
        <w:spacing w:after="30"/>
        <w:jc w:val="both"/>
      </w:pPr>
      <w:r w:rsidRPr="006529B9">
        <w:t xml:space="preserve">Green book compliant with a minimum BCR floor of 1 </w:t>
      </w:r>
    </w:p>
    <w:p w14:paraId="535D2124" w14:textId="575D80FC" w:rsidR="00B95133" w:rsidRPr="006529B9" w:rsidRDefault="00B95133" w:rsidP="00BF35FA">
      <w:pPr>
        <w:pStyle w:val="Default"/>
        <w:numPr>
          <w:ilvl w:val="0"/>
          <w:numId w:val="4"/>
        </w:numPr>
        <w:spacing w:after="30"/>
        <w:jc w:val="both"/>
      </w:pPr>
      <w:r w:rsidRPr="006529B9">
        <w:t>Demonstrate proven market failure and could not happen without the financial support of</w:t>
      </w:r>
      <w:r w:rsidR="006461A2" w:rsidRPr="006529B9">
        <w:t xml:space="preserve"> the fund </w:t>
      </w:r>
    </w:p>
    <w:p w14:paraId="36CD4DD3" w14:textId="77777777" w:rsidR="00B95133" w:rsidRPr="006529B9" w:rsidRDefault="00B95133" w:rsidP="00BF35FA">
      <w:pPr>
        <w:pStyle w:val="Default"/>
        <w:numPr>
          <w:ilvl w:val="0"/>
          <w:numId w:val="4"/>
        </w:numPr>
        <w:spacing w:after="30"/>
        <w:jc w:val="both"/>
      </w:pPr>
      <w:r w:rsidRPr="006529B9">
        <w:t xml:space="preserve">Achieve additionality </w:t>
      </w:r>
    </w:p>
    <w:p w14:paraId="541F41A4" w14:textId="77777777" w:rsidR="001D1E1E" w:rsidRPr="006529B9" w:rsidRDefault="00B95133" w:rsidP="00BF35FA">
      <w:pPr>
        <w:pStyle w:val="Default"/>
        <w:numPr>
          <w:ilvl w:val="0"/>
          <w:numId w:val="4"/>
        </w:numPr>
        <w:spacing w:after="30"/>
        <w:jc w:val="both"/>
      </w:pPr>
      <w:r w:rsidRPr="006529B9">
        <w:t xml:space="preserve">Start on site by 31 March 2025 </w:t>
      </w:r>
    </w:p>
    <w:p w14:paraId="2146F342" w14:textId="4E261A74" w:rsidR="00B95133" w:rsidRPr="006529B9" w:rsidRDefault="001D1E1E" w:rsidP="00BF35FA">
      <w:pPr>
        <w:pStyle w:val="Default"/>
        <w:numPr>
          <w:ilvl w:val="0"/>
          <w:numId w:val="4"/>
        </w:numPr>
        <w:spacing w:after="30"/>
        <w:jc w:val="both"/>
      </w:pPr>
      <w:r w:rsidRPr="006529B9">
        <w:t>I</w:t>
      </w:r>
      <w:r w:rsidR="00B95133" w:rsidRPr="006529B9">
        <w:t xml:space="preserve">ncluded in an updated </w:t>
      </w:r>
      <w:r w:rsidR="00A82779" w:rsidRPr="006529B9">
        <w:t xml:space="preserve">or </w:t>
      </w:r>
      <w:r w:rsidR="00B95133" w:rsidRPr="006529B9">
        <w:t xml:space="preserve">emerging local plan </w:t>
      </w:r>
    </w:p>
    <w:p w14:paraId="7F9188C0" w14:textId="64A618A7" w:rsidR="00A82779" w:rsidRPr="006529B9" w:rsidRDefault="00A82779" w:rsidP="00BF35FA">
      <w:pPr>
        <w:pStyle w:val="Default"/>
        <w:numPr>
          <w:ilvl w:val="0"/>
          <w:numId w:val="4"/>
        </w:numPr>
        <w:spacing w:after="30"/>
        <w:jc w:val="both"/>
      </w:pPr>
      <w:r w:rsidRPr="006529B9">
        <w:t xml:space="preserve">Compliant with UK Subsidy Control (Former State Aid) </w:t>
      </w:r>
    </w:p>
    <w:p w14:paraId="39EEDFA7" w14:textId="0CBD820B" w:rsidR="00B95133" w:rsidRPr="006529B9" w:rsidRDefault="00DC66A7" w:rsidP="00BF35FA">
      <w:pPr>
        <w:pStyle w:val="Default"/>
        <w:numPr>
          <w:ilvl w:val="0"/>
          <w:numId w:val="4"/>
        </w:numPr>
        <w:spacing w:after="30"/>
        <w:jc w:val="both"/>
      </w:pPr>
      <w:r w:rsidRPr="006529B9">
        <w:t>C</w:t>
      </w:r>
      <w:r w:rsidR="00A82779" w:rsidRPr="006529B9">
        <w:t>reate</w:t>
      </w:r>
      <w:r w:rsidR="00B95133" w:rsidRPr="006529B9">
        <w:t xml:space="preserve"> synergies with other government funds</w:t>
      </w:r>
      <w:r w:rsidR="00BD32CE" w:rsidRPr="006529B9">
        <w:t xml:space="preserve"> where applicable </w:t>
      </w:r>
    </w:p>
    <w:p w14:paraId="1C06D7BF" w14:textId="77777777" w:rsidR="00B95133" w:rsidRPr="006529B9" w:rsidRDefault="00B95133" w:rsidP="00BF35FA">
      <w:pPr>
        <w:pStyle w:val="Default"/>
        <w:numPr>
          <w:ilvl w:val="0"/>
          <w:numId w:val="4"/>
        </w:numPr>
        <w:spacing w:after="30"/>
        <w:jc w:val="both"/>
      </w:pPr>
      <w:r w:rsidRPr="006529B9">
        <w:t xml:space="preserve">Use local SMEs / supply chains where possible </w:t>
      </w:r>
    </w:p>
    <w:p w14:paraId="7C26BEBE" w14:textId="77777777" w:rsidR="002E48AD" w:rsidRPr="006529B9" w:rsidRDefault="002E48AD" w:rsidP="00BF35FA">
      <w:pPr>
        <w:pStyle w:val="Default"/>
        <w:jc w:val="both"/>
      </w:pPr>
    </w:p>
    <w:p w14:paraId="5E7941C6" w14:textId="2F597C5C" w:rsidR="002E48AD" w:rsidRPr="006529B9" w:rsidRDefault="00DC781C" w:rsidP="00BF35FA">
      <w:pPr>
        <w:pStyle w:val="Default"/>
        <w:jc w:val="both"/>
      </w:pPr>
      <w:r w:rsidRPr="006529B9">
        <w:t>All</w:t>
      </w:r>
      <w:r w:rsidR="00DC66A7" w:rsidRPr="006529B9">
        <w:t xml:space="preserve"> </w:t>
      </w:r>
      <w:r w:rsidR="002E48AD" w:rsidRPr="006529B9">
        <w:t xml:space="preserve">levels of funding </w:t>
      </w:r>
      <w:r w:rsidRPr="006529B9">
        <w:t>will be</w:t>
      </w:r>
      <w:r w:rsidR="002E48AD" w:rsidRPr="006529B9">
        <w:t xml:space="preserve"> considered</w:t>
      </w:r>
      <w:r w:rsidR="00957E4F" w:rsidRPr="006529B9">
        <w:t xml:space="preserve">. </w:t>
      </w:r>
    </w:p>
    <w:p w14:paraId="44938C41" w14:textId="77777777" w:rsidR="00035E53" w:rsidRPr="006529B9" w:rsidRDefault="00035E53" w:rsidP="00BF35FA">
      <w:pPr>
        <w:pStyle w:val="Default"/>
        <w:spacing w:after="30"/>
        <w:jc w:val="both"/>
      </w:pPr>
    </w:p>
    <w:p w14:paraId="6B9CDA03" w14:textId="467CF5FE" w:rsidR="00035E53" w:rsidRPr="006529B9" w:rsidRDefault="00035E53" w:rsidP="00354ACA">
      <w:pPr>
        <w:pStyle w:val="Default"/>
        <w:numPr>
          <w:ilvl w:val="0"/>
          <w:numId w:val="20"/>
        </w:numPr>
        <w:spacing w:after="30"/>
        <w:jc w:val="both"/>
        <w:rPr>
          <w:b/>
          <w:bCs/>
          <w:u w:val="single"/>
        </w:rPr>
      </w:pPr>
      <w:r w:rsidRPr="006529B9">
        <w:rPr>
          <w:b/>
          <w:bCs/>
          <w:u w:val="single"/>
        </w:rPr>
        <w:t>Eligible Works</w:t>
      </w:r>
    </w:p>
    <w:p w14:paraId="43D81FEF" w14:textId="77777777" w:rsidR="00035E53" w:rsidRPr="006529B9" w:rsidRDefault="00035E53" w:rsidP="00BF35FA">
      <w:pPr>
        <w:autoSpaceDE w:val="0"/>
        <w:autoSpaceDN w:val="0"/>
        <w:adjustRightInd w:val="0"/>
        <w:spacing w:after="0" w:line="240" w:lineRule="auto"/>
        <w:jc w:val="both"/>
        <w:rPr>
          <w:rFonts w:ascii="Arial" w:hAnsi="Arial" w:cs="Arial"/>
          <w:color w:val="000000"/>
          <w:sz w:val="24"/>
          <w:szCs w:val="24"/>
        </w:rPr>
      </w:pPr>
    </w:p>
    <w:p w14:paraId="40B46BA7" w14:textId="31E495FB" w:rsidR="00035E53" w:rsidRPr="006529B9" w:rsidRDefault="00033059" w:rsidP="00BF35FA">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The </w:t>
      </w:r>
      <w:r w:rsidR="000B2C1E">
        <w:rPr>
          <w:rFonts w:ascii="Arial" w:hAnsi="Arial" w:cs="Arial"/>
          <w:color w:val="000000"/>
          <w:sz w:val="24"/>
          <w:szCs w:val="24"/>
        </w:rPr>
        <w:t>Brownfield</w:t>
      </w:r>
      <w:r>
        <w:rPr>
          <w:rFonts w:ascii="Arial" w:hAnsi="Arial" w:cs="Arial"/>
          <w:color w:val="000000"/>
          <w:sz w:val="24"/>
          <w:szCs w:val="24"/>
        </w:rPr>
        <w:t xml:space="preserve"> </w:t>
      </w:r>
      <w:r w:rsidR="000B2C1E">
        <w:rPr>
          <w:rFonts w:ascii="Arial" w:hAnsi="Arial" w:cs="Arial"/>
          <w:color w:val="000000"/>
          <w:sz w:val="24"/>
          <w:szCs w:val="24"/>
        </w:rPr>
        <w:t>Housing Fund</w:t>
      </w:r>
      <w:r>
        <w:rPr>
          <w:rFonts w:ascii="Arial" w:hAnsi="Arial" w:cs="Arial"/>
          <w:color w:val="000000"/>
          <w:sz w:val="24"/>
          <w:szCs w:val="24"/>
        </w:rPr>
        <w:t xml:space="preserve"> programme</w:t>
      </w:r>
      <w:r w:rsidR="003C3CAF">
        <w:rPr>
          <w:rFonts w:ascii="Arial" w:hAnsi="Arial" w:cs="Arial"/>
          <w:color w:val="000000"/>
          <w:sz w:val="24"/>
          <w:szCs w:val="24"/>
        </w:rPr>
        <w:t xml:space="preserve"> </w:t>
      </w:r>
      <w:r w:rsidR="00B41655" w:rsidRPr="00BF35FA">
        <w:rPr>
          <w:rFonts w:ascii="Arial" w:hAnsi="Arial" w:cs="Arial"/>
          <w:color w:val="000000"/>
          <w:sz w:val="24"/>
          <w:szCs w:val="24"/>
        </w:rPr>
        <w:t>is strictly for</w:t>
      </w:r>
      <w:r w:rsidR="00B41655" w:rsidRPr="006529B9">
        <w:rPr>
          <w:rFonts w:ascii="Arial" w:hAnsi="Arial" w:cs="Arial"/>
          <w:color w:val="000000"/>
          <w:sz w:val="24"/>
          <w:szCs w:val="24"/>
        </w:rPr>
        <w:t xml:space="preserve"> enabling stalled sites to be brought forward for development. </w:t>
      </w:r>
      <w:r w:rsidR="00035E53" w:rsidRPr="006529B9">
        <w:rPr>
          <w:rFonts w:ascii="Arial" w:hAnsi="Arial" w:cs="Arial"/>
          <w:color w:val="000000"/>
          <w:sz w:val="24"/>
          <w:szCs w:val="24"/>
        </w:rPr>
        <w:t>Eligible</w:t>
      </w:r>
      <w:r w:rsidR="007B7F4D">
        <w:rPr>
          <w:rFonts w:ascii="Arial" w:hAnsi="Arial" w:cs="Arial"/>
          <w:color w:val="000000"/>
          <w:sz w:val="24"/>
          <w:szCs w:val="24"/>
        </w:rPr>
        <w:t xml:space="preserve"> capital</w:t>
      </w:r>
      <w:r w:rsidR="00035E53" w:rsidRPr="006529B9">
        <w:rPr>
          <w:rFonts w:ascii="Arial" w:hAnsi="Arial" w:cs="Arial"/>
          <w:color w:val="000000"/>
          <w:sz w:val="24"/>
          <w:szCs w:val="24"/>
        </w:rPr>
        <w:t xml:space="preserve"> expenditure includes (but is not limited to):</w:t>
      </w:r>
    </w:p>
    <w:p w14:paraId="6492C81F" w14:textId="77777777" w:rsidR="00035E53" w:rsidRPr="006529B9" w:rsidRDefault="00035E53" w:rsidP="00BF35FA">
      <w:pPr>
        <w:numPr>
          <w:ilvl w:val="0"/>
          <w:numId w:val="16"/>
        </w:numPr>
        <w:autoSpaceDE w:val="0"/>
        <w:autoSpaceDN w:val="0"/>
        <w:adjustRightInd w:val="0"/>
        <w:spacing w:after="30" w:line="240" w:lineRule="auto"/>
        <w:jc w:val="both"/>
        <w:rPr>
          <w:rFonts w:ascii="Arial" w:hAnsi="Arial" w:cs="Arial"/>
          <w:color w:val="000000"/>
          <w:sz w:val="24"/>
          <w:szCs w:val="24"/>
        </w:rPr>
      </w:pPr>
      <w:r w:rsidRPr="006529B9">
        <w:rPr>
          <w:rFonts w:ascii="Arial" w:hAnsi="Arial" w:cs="Arial"/>
          <w:color w:val="000000"/>
          <w:sz w:val="24"/>
          <w:szCs w:val="24"/>
        </w:rPr>
        <w:t>Site assembly</w:t>
      </w:r>
    </w:p>
    <w:p w14:paraId="6E144106" w14:textId="77777777" w:rsidR="00035E53" w:rsidRPr="006529B9" w:rsidRDefault="00035E53" w:rsidP="00BF35FA">
      <w:pPr>
        <w:numPr>
          <w:ilvl w:val="0"/>
          <w:numId w:val="16"/>
        </w:numPr>
        <w:autoSpaceDE w:val="0"/>
        <w:autoSpaceDN w:val="0"/>
        <w:adjustRightInd w:val="0"/>
        <w:spacing w:after="30" w:line="240" w:lineRule="auto"/>
        <w:jc w:val="both"/>
        <w:rPr>
          <w:rFonts w:ascii="Arial" w:hAnsi="Arial" w:cs="Arial"/>
          <w:color w:val="000000"/>
          <w:sz w:val="24"/>
          <w:szCs w:val="24"/>
        </w:rPr>
      </w:pPr>
      <w:r w:rsidRPr="006529B9">
        <w:rPr>
          <w:rFonts w:ascii="Arial" w:hAnsi="Arial" w:cs="Arial"/>
          <w:color w:val="000000"/>
          <w:sz w:val="24"/>
          <w:szCs w:val="24"/>
        </w:rPr>
        <w:t>Site clearance</w:t>
      </w:r>
    </w:p>
    <w:p w14:paraId="1A0F755F" w14:textId="77777777" w:rsidR="00035E53" w:rsidRPr="006529B9" w:rsidRDefault="00035E53" w:rsidP="00BF35FA">
      <w:pPr>
        <w:numPr>
          <w:ilvl w:val="0"/>
          <w:numId w:val="16"/>
        </w:numPr>
        <w:autoSpaceDE w:val="0"/>
        <w:autoSpaceDN w:val="0"/>
        <w:adjustRightInd w:val="0"/>
        <w:spacing w:after="30" w:line="240" w:lineRule="auto"/>
        <w:jc w:val="both"/>
        <w:rPr>
          <w:rFonts w:ascii="Arial" w:hAnsi="Arial" w:cs="Arial"/>
          <w:color w:val="000000"/>
          <w:sz w:val="24"/>
          <w:szCs w:val="24"/>
        </w:rPr>
      </w:pPr>
      <w:r w:rsidRPr="006529B9">
        <w:rPr>
          <w:rFonts w:ascii="Arial" w:hAnsi="Arial" w:cs="Arial"/>
          <w:color w:val="000000"/>
          <w:sz w:val="24"/>
          <w:szCs w:val="24"/>
        </w:rPr>
        <w:t>Remediation</w:t>
      </w:r>
    </w:p>
    <w:p w14:paraId="5E169075" w14:textId="77777777" w:rsidR="00035E53" w:rsidRPr="006529B9" w:rsidRDefault="00035E53" w:rsidP="00BF35FA">
      <w:pPr>
        <w:numPr>
          <w:ilvl w:val="0"/>
          <w:numId w:val="16"/>
        </w:numPr>
        <w:autoSpaceDE w:val="0"/>
        <w:autoSpaceDN w:val="0"/>
        <w:adjustRightInd w:val="0"/>
        <w:spacing w:after="30" w:line="240" w:lineRule="auto"/>
        <w:jc w:val="both"/>
        <w:rPr>
          <w:rFonts w:ascii="Arial" w:hAnsi="Arial" w:cs="Arial"/>
          <w:color w:val="000000"/>
          <w:sz w:val="24"/>
          <w:szCs w:val="24"/>
        </w:rPr>
      </w:pPr>
      <w:r w:rsidRPr="006529B9">
        <w:rPr>
          <w:rFonts w:ascii="Arial" w:hAnsi="Arial" w:cs="Arial"/>
          <w:color w:val="000000"/>
          <w:sz w:val="24"/>
          <w:szCs w:val="24"/>
        </w:rPr>
        <w:lastRenderedPageBreak/>
        <w:t>Service connections/diversions</w:t>
      </w:r>
    </w:p>
    <w:p w14:paraId="22B0B544" w14:textId="60845F42" w:rsidR="00035E53" w:rsidRDefault="00035E53" w:rsidP="00BF35FA">
      <w:pPr>
        <w:numPr>
          <w:ilvl w:val="0"/>
          <w:numId w:val="16"/>
        </w:numPr>
        <w:autoSpaceDE w:val="0"/>
        <w:autoSpaceDN w:val="0"/>
        <w:adjustRightInd w:val="0"/>
        <w:spacing w:after="0" w:line="240" w:lineRule="auto"/>
        <w:jc w:val="both"/>
        <w:rPr>
          <w:rFonts w:ascii="Arial" w:hAnsi="Arial" w:cs="Arial"/>
          <w:color w:val="000000"/>
          <w:sz w:val="24"/>
          <w:szCs w:val="24"/>
        </w:rPr>
      </w:pPr>
      <w:r w:rsidRPr="006529B9">
        <w:rPr>
          <w:rFonts w:ascii="Arial" w:hAnsi="Arial" w:cs="Arial"/>
          <w:color w:val="000000"/>
          <w:sz w:val="24"/>
          <w:szCs w:val="24"/>
        </w:rPr>
        <w:t>Highway infrastructure</w:t>
      </w:r>
    </w:p>
    <w:p w14:paraId="51474250" w14:textId="77777777" w:rsidR="000D55BC" w:rsidRPr="006529B9" w:rsidRDefault="000D55BC" w:rsidP="000D55BC">
      <w:pPr>
        <w:autoSpaceDE w:val="0"/>
        <w:autoSpaceDN w:val="0"/>
        <w:adjustRightInd w:val="0"/>
        <w:spacing w:after="0" w:line="240" w:lineRule="auto"/>
        <w:ind w:left="720"/>
        <w:jc w:val="both"/>
        <w:rPr>
          <w:rFonts w:ascii="Arial" w:hAnsi="Arial" w:cs="Arial"/>
          <w:color w:val="000000"/>
          <w:sz w:val="24"/>
          <w:szCs w:val="24"/>
        </w:rPr>
      </w:pPr>
    </w:p>
    <w:p w14:paraId="5B32E0E2" w14:textId="71FD1606" w:rsidR="00035E53" w:rsidRPr="006529B9" w:rsidRDefault="002A366F" w:rsidP="00BF35FA">
      <w:pPr>
        <w:pStyle w:val="Default"/>
        <w:spacing w:after="30"/>
        <w:jc w:val="both"/>
      </w:pPr>
      <w:r>
        <w:t>Brownfield</w:t>
      </w:r>
      <w:r w:rsidR="001B4AF4">
        <w:t xml:space="preserve"> Housing Fund</w:t>
      </w:r>
      <w:r w:rsidR="00035E53" w:rsidRPr="006529B9">
        <w:t xml:space="preserve"> can be used in conjunction with other </w:t>
      </w:r>
      <w:r w:rsidR="00B41655" w:rsidRPr="006529B9">
        <w:t xml:space="preserve">government </w:t>
      </w:r>
      <w:r w:rsidR="00035E53" w:rsidRPr="006529B9">
        <w:t xml:space="preserve">funding programmes (such as the Homes England Affordable Homes Programme) </w:t>
      </w:r>
      <w:r w:rsidR="00AD292E" w:rsidRPr="006529B9">
        <w:t xml:space="preserve">but cannot be used to fund the construction of homes. </w:t>
      </w:r>
    </w:p>
    <w:p w14:paraId="1B8719E0" w14:textId="77777777" w:rsidR="00474F42" w:rsidRPr="006529B9" w:rsidRDefault="00474F42" w:rsidP="00BF35FA">
      <w:pPr>
        <w:pStyle w:val="Default"/>
        <w:jc w:val="both"/>
      </w:pPr>
    </w:p>
    <w:p w14:paraId="51F91AA5" w14:textId="77777777" w:rsidR="00A307C7" w:rsidRDefault="00A307C7" w:rsidP="00BF35FA">
      <w:pPr>
        <w:pStyle w:val="Default"/>
        <w:jc w:val="both"/>
      </w:pPr>
      <w:r>
        <w:t>All funding must be defrayed by 31 March 2025.</w:t>
      </w:r>
    </w:p>
    <w:p w14:paraId="3550E801" w14:textId="77777777" w:rsidR="00A307C7" w:rsidRDefault="00A307C7" w:rsidP="00BF35FA">
      <w:pPr>
        <w:pStyle w:val="Default"/>
        <w:jc w:val="both"/>
      </w:pPr>
    </w:p>
    <w:p w14:paraId="110C8156" w14:textId="0CA60A33" w:rsidR="00474F42" w:rsidRPr="006529B9" w:rsidRDefault="0061509C" w:rsidP="00BF35FA">
      <w:pPr>
        <w:pStyle w:val="Default"/>
        <w:jc w:val="both"/>
      </w:pPr>
      <w:r>
        <w:t>Proposals</w:t>
      </w:r>
      <w:r w:rsidR="00474F42" w:rsidRPr="006529B9">
        <w:t xml:space="preserve"> are particularly welcomed that contribute to NTCA’s wider priorities, including affordable housing, community-led </w:t>
      </w:r>
      <w:r w:rsidR="00BE2D38" w:rsidRPr="006529B9">
        <w:t>housing,</w:t>
      </w:r>
      <w:r w:rsidR="00474F42" w:rsidRPr="006529B9">
        <w:t xml:space="preserve"> and the use of Modern Methods of Construction (MMC).  Applications are also encouraged fro</w:t>
      </w:r>
      <w:r w:rsidR="0099768C" w:rsidRPr="006529B9">
        <w:t xml:space="preserve">m </w:t>
      </w:r>
      <w:r w:rsidR="00A52AD0">
        <w:t>schemes with an</w:t>
      </w:r>
      <w:r w:rsidR="0099768C" w:rsidRPr="006529B9">
        <w:t xml:space="preserve"> accelerated spending profile. </w:t>
      </w:r>
    </w:p>
    <w:p w14:paraId="0DC03C6C" w14:textId="22DAAA71" w:rsidR="00474F42" w:rsidRPr="006529B9" w:rsidRDefault="00474F42" w:rsidP="00BF35FA">
      <w:pPr>
        <w:pStyle w:val="Default"/>
        <w:spacing w:after="30"/>
        <w:jc w:val="both"/>
      </w:pPr>
    </w:p>
    <w:p w14:paraId="787B74B0" w14:textId="1E9B1FF6" w:rsidR="00B534CA" w:rsidRPr="006529B9" w:rsidRDefault="00B534CA" w:rsidP="00354ACA">
      <w:pPr>
        <w:pStyle w:val="Default"/>
        <w:numPr>
          <w:ilvl w:val="0"/>
          <w:numId w:val="20"/>
        </w:numPr>
        <w:jc w:val="both"/>
        <w:rPr>
          <w:b/>
          <w:bCs/>
          <w:u w:val="single"/>
        </w:rPr>
      </w:pPr>
      <w:r w:rsidRPr="006529B9">
        <w:rPr>
          <w:b/>
          <w:bCs/>
          <w:u w:val="single"/>
        </w:rPr>
        <w:t xml:space="preserve">Submission Requirements </w:t>
      </w:r>
    </w:p>
    <w:p w14:paraId="096C31AE" w14:textId="77777777" w:rsidR="006E15E7" w:rsidRPr="006529B9" w:rsidRDefault="006E15E7" w:rsidP="00BF35FA">
      <w:pPr>
        <w:pStyle w:val="Default"/>
        <w:jc w:val="both"/>
        <w:rPr>
          <w:u w:val="single"/>
        </w:rPr>
      </w:pPr>
    </w:p>
    <w:p w14:paraId="6FFB095D" w14:textId="1803CA92" w:rsidR="003F2309" w:rsidRPr="006529B9" w:rsidRDefault="0061509C" w:rsidP="00BF35FA">
      <w:pPr>
        <w:pStyle w:val="Default"/>
        <w:jc w:val="both"/>
      </w:pPr>
      <w:r>
        <w:t>Project sponsors</w:t>
      </w:r>
      <w:r w:rsidR="003F2309" w:rsidRPr="006529B9">
        <w:t xml:space="preserve"> must provide the following</w:t>
      </w:r>
      <w:r w:rsidR="006E15E7" w:rsidRPr="006529B9">
        <w:t>:</w:t>
      </w:r>
    </w:p>
    <w:p w14:paraId="1AA525A8" w14:textId="227CF95E" w:rsidR="00B534CA" w:rsidRPr="006529B9" w:rsidRDefault="00D977B1" w:rsidP="00BF35FA">
      <w:pPr>
        <w:pStyle w:val="Default"/>
        <w:numPr>
          <w:ilvl w:val="0"/>
          <w:numId w:val="5"/>
        </w:numPr>
      </w:pPr>
      <w:r w:rsidRPr="006529B9">
        <w:t xml:space="preserve">Completed </w:t>
      </w:r>
      <w:r w:rsidR="00293F29">
        <w:t>expression of interest</w:t>
      </w:r>
      <w:r w:rsidR="00F91F4C" w:rsidRPr="006529B9">
        <w:t xml:space="preserve"> </w:t>
      </w:r>
      <w:r w:rsidR="004B1553" w:rsidRPr="006529B9">
        <w:t>f</w:t>
      </w:r>
      <w:r w:rsidR="00F91F4C" w:rsidRPr="006529B9">
        <w:t>orm</w:t>
      </w:r>
    </w:p>
    <w:p w14:paraId="14CC05F6" w14:textId="73B9EC61" w:rsidR="00B534CA" w:rsidRPr="006529B9" w:rsidRDefault="00FA34F9" w:rsidP="00BF35FA">
      <w:pPr>
        <w:pStyle w:val="Default"/>
        <w:numPr>
          <w:ilvl w:val="0"/>
          <w:numId w:val="5"/>
        </w:numPr>
      </w:pPr>
      <w:r w:rsidRPr="006529B9">
        <w:t xml:space="preserve">Development Appraisal </w:t>
      </w:r>
    </w:p>
    <w:p w14:paraId="4762E0F6" w14:textId="375D2B70" w:rsidR="000726C0" w:rsidRPr="006529B9" w:rsidRDefault="000726C0" w:rsidP="00BF35FA">
      <w:pPr>
        <w:pStyle w:val="Default"/>
      </w:pPr>
    </w:p>
    <w:p w14:paraId="705D829D" w14:textId="7154A88F" w:rsidR="00B760F2" w:rsidRPr="006529B9" w:rsidRDefault="00B760F2" w:rsidP="00BF35FA">
      <w:pPr>
        <w:pStyle w:val="Default"/>
      </w:pPr>
      <w:r w:rsidRPr="006529B9">
        <w:t xml:space="preserve">To request an </w:t>
      </w:r>
      <w:r w:rsidR="00454E86">
        <w:t>expression of interest</w:t>
      </w:r>
      <w:r w:rsidRPr="006529B9">
        <w:t xml:space="preserve"> form please contact </w:t>
      </w:r>
      <w:hyperlink r:id="rId14" w:history="1">
        <w:r w:rsidRPr="006529B9">
          <w:rPr>
            <w:rStyle w:val="Hyperlink"/>
          </w:rPr>
          <w:t>Housing@northoftyne-ca.gov.uk</w:t>
        </w:r>
      </w:hyperlink>
      <w:r w:rsidRPr="006529B9">
        <w:t>.</w:t>
      </w:r>
    </w:p>
    <w:p w14:paraId="0A72D262" w14:textId="77777777" w:rsidR="00B760F2" w:rsidRPr="006529B9" w:rsidRDefault="00B760F2" w:rsidP="00BF35FA">
      <w:pPr>
        <w:pStyle w:val="Default"/>
      </w:pPr>
    </w:p>
    <w:p w14:paraId="5F24B0FD" w14:textId="13589237" w:rsidR="00CB2AC3" w:rsidRPr="006529B9" w:rsidRDefault="0061509C" w:rsidP="00BF35FA">
      <w:pPr>
        <w:spacing w:after="0" w:line="240" w:lineRule="auto"/>
        <w:rPr>
          <w:rFonts w:ascii="Arial" w:hAnsi="Arial" w:cs="Arial"/>
          <w:sz w:val="24"/>
          <w:szCs w:val="24"/>
        </w:rPr>
      </w:pPr>
      <w:r>
        <w:rPr>
          <w:rFonts w:ascii="Arial" w:hAnsi="Arial" w:cs="Arial"/>
          <w:sz w:val="24"/>
          <w:szCs w:val="24"/>
        </w:rPr>
        <w:t>Project sponsors</w:t>
      </w:r>
      <w:r w:rsidR="00CB2AC3" w:rsidRPr="006529B9">
        <w:rPr>
          <w:rFonts w:ascii="Arial" w:hAnsi="Arial" w:cs="Arial"/>
          <w:sz w:val="24"/>
          <w:szCs w:val="24"/>
        </w:rPr>
        <w:t xml:space="preserve"> should be aware that queries will be anonymised and all </w:t>
      </w:r>
      <w:r w:rsidR="00D263DB">
        <w:rPr>
          <w:rFonts w:ascii="Arial" w:hAnsi="Arial" w:cs="Arial"/>
          <w:sz w:val="24"/>
          <w:szCs w:val="24"/>
        </w:rPr>
        <w:t>those</w:t>
      </w:r>
      <w:r w:rsidR="00454E86">
        <w:rPr>
          <w:rFonts w:ascii="Arial" w:hAnsi="Arial" w:cs="Arial"/>
          <w:sz w:val="24"/>
          <w:szCs w:val="24"/>
        </w:rPr>
        <w:t xml:space="preserve"> </w:t>
      </w:r>
      <w:r w:rsidR="00CB2AC3" w:rsidRPr="006529B9">
        <w:rPr>
          <w:rFonts w:ascii="Arial" w:hAnsi="Arial" w:cs="Arial"/>
          <w:sz w:val="24"/>
          <w:szCs w:val="24"/>
        </w:rPr>
        <w:t xml:space="preserve">who have requested an </w:t>
      </w:r>
      <w:r>
        <w:rPr>
          <w:rFonts w:ascii="Arial" w:hAnsi="Arial" w:cs="Arial"/>
          <w:sz w:val="24"/>
          <w:szCs w:val="24"/>
        </w:rPr>
        <w:t>expression of interest</w:t>
      </w:r>
      <w:r w:rsidR="00CB2AC3" w:rsidRPr="006529B9">
        <w:rPr>
          <w:rFonts w:ascii="Arial" w:hAnsi="Arial" w:cs="Arial"/>
          <w:sz w:val="24"/>
          <w:szCs w:val="24"/>
        </w:rPr>
        <w:t xml:space="preserve"> form will be informed of query responses.</w:t>
      </w:r>
    </w:p>
    <w:p w14:paraId="0F954F0B" w14:textId="6E060DF8" w:rsidR="006E15E7" w:rsidRPr="006529B9" w:rsidRDefault="006E15E7" w:rsidP="00CB2AC3">
      <w:pPr>
        <w:spacing w:after="0" w:line="240" w:lineRule="auto"/>
        <w:rPr>
          <w:rFonts w:ascii="Arial" w:hAnsi="Arial" w:cs="Arial"/>
          <w:sz w:val="24"/>
          <w:szCs w:val="24"/>
        </w:rPr>
      </w:pPr>
    </w:p>
    <w:p w14:paraId="7952CD0A" w14:textId="367F32D4" w:rsidR="006E15E7" w:rsidRPr="006529B9" w:rsidRDefault="005C0BBC" w:rsidP="00CB2AC3">
      <w:pPr>
        <w:spacing w:after="0" w:line="240" w:lineRule="auto"/>
        <w:rPr>
          <w:rFonts w:ascii="Arial" w:hAnsi="Arial" w:cs="Arial"/>
          <w:sz w:val="24"/>
          <w:szCs w:val="24"/>
        </w:rPr>
      </w:pPr>
      <w:r>
        <w:rPr>
          <w:rFonts w:ascii="Arial" w:hAnsi="Arial" w:cs="Arial"/>
          <w:sz w:val="24"/>
          <w:szCs w:val="24"/>
        </w:rPr>
        <w:t>Completed forms and associated information</w:t>
      </w:r>
      <w:r w:rsidR="006E15E7" w:rsidRPr="006529B9">
        <w:rPr>
          <w:rFonts w:ascii="Arial" w:hAnsi="Arial" w:cs="Arial"/>
          <w:sz w:val="24"/>
          <w:szCs w:val="24"/>
        </w:rPr>
        <w:t xml:space="preserve"> are to be submitted via email no later than 23:59 on Friday 15</w:t>
      </w:r>
      <w:r w:rsidR="006E15E7" w:rsidRPr="006529B9">
        <w:rPr>
          <w:rFonts w:ascii="Arial" w:hAnsi="Arial" w:cs="Arial"/>
          <w:sz w:val="24"/>
          <w:szCs w:val="24"/>
          <w:vertAlign w:val="superscript"/>
        </w:rPr>
        <w:t>th</w:t>
      </w:r>
      <w:r w:rsidR="006E15E7" w:rsidRPr="006529B9">
        <w:rPr>
          <w:rFonts w:ascii="Arial" w:hAnsi="Arial" w:cs="Arial"/>
          <w:sz w:val="24"/>
          <w:szCs w:val="24"/>
        </w:rPr>
        <w:t xml:space="preserve"> October 2021 to: </w:t>
      </w:r>
      <w:hyperlink r:id="rId15" w:history="1">
        <w:r w:rsidR="006E15E7" w:rsidRPr="006529B9">
          <w:rPr>
            <w:rStyle w:val="Hyperlink"/>
            <w:rFonts w:ascii="Arial" w:hAnsi="Arial" w:cs="Arial"/>
            <w:sz w:val="24"/>
            <w:szCs w:val="24"/>
          </w:rPr>
          <w:t>Housing@northofyne-ca.gov.uk</w:t>
        </w:r>
      </w:hyperlink>
      <w:r w:rsidR="006E15E7" w:rsidRPr="006529B9">
        <w:rPr>
          <w:rFonts w:ascii="Arial" w:hAnsi="Arial" w:cs="Arial"/>
          <w:sz w:val="24"/>
          <w:szCs w:val="24"/>
        </w:rPr>
        <w:t>.</w:t>
      </w:r>
    </w:p>
    <w:p w14:paraId="5C345819" w14:textId="77777777" w:rsidR="00CB2AC3" w:rsidRPr="006529B9" w:rsidRDefault="00CB2AC3" w:rsidP="00BF35FA">
      <w:pPr>
        <w:pStyle w:val="Default"/>
      </w:pPr>
    </w:p>
    <w:p w14:paraId="43D4C6AC" w14:textId="77673FE2" w:rsidR="00C84F38" w:rsidRPr="006529B9" w:rsidRDefault="00C84F38" w:rsidP="00A922E7">
      <w:pPr>
        <w:pStyle w:val="Default"/>
        <w:numPr>
          <w:ilvl w:val="0"/>
          <w:numId w:val="20"/>
        </w:numPr>
        <w:rPr>
          <w:b/>
          <w:bCs/>
          <w:u w:val="single"/>
        </w:rPr>
      </w:pPr>
      <w:r w:rsidRPr="006529B9">
        <w:rPr>
          <w:b/>
          <w:bCs/>
          <w:u w:val="single"/>
        </w:rPr>
        <w:t>Scoring Criteria</w:t>
      </w:r>
    </w:p>
    <w:p w14:paraId="35449079" w14:textId="77777777" w:rsidR="00AB4C3A" w:rsidRPr="006529B9" w:rsidRDefault="00AB4C3A" w:rsidP="00BF35FA">
      <w:pPr>
        <w:pStyle w:val="Default"/>
        <w:rPr>
          <w:b/>
          <w:bCs/>
          <w:u w:val="single"/>
        </w:rPr>
      </w:pPr>
    </w:p>
    <w:p w14:paraId="131222D0" w14:textId="42B5D980" w:rsidR="00C51613" w:rsidRPr="006529B9" w:rsidRDefault="005C0BBC" w:rsidP="00BF35FA">
      <w:pPr>
        <w:pStyle w:val="Default"/>
      </w:pPr>
      <w:r>
        <w:t>Proposals</w:t>
      </w:r>
      <w:r w:rsidR="00277511" w:rsidRPr="006529B9">
        <w:t xml:space="preserve"> will be assessed on </w:t>
      </w:r>
      <w:r w:rsidR="00AB4C3A" w:rsidRPr="006529B9">
        <w:t xml:space="preserve">the suitability of the scheme in relation to the Brownfield Housing Fund </w:t>
      </w:r>
      <w:r w:rsidR="00905573" w:rsidRPr="006529B9">
        <w:t xml:space="preserve">requirements </w:t>
      </w:r>
      <w:r w:rsidR="00AB4C3A" w:rsidRPr="006529B9">
        <w:t xml:space="preserve">and </w:t>
      </w:r>
      <w:r w:rsidR="00905573" w:rsidRPr="006529B9">
        <w:t xml:space="preserve">the </w:t>
      </w:r>
      <w:r w:rsidR="009553A5" w:rsidRPr="006529B9">
        <w:t xml:space="preserve">Green Book </w:t>
      </w:r>
      <w:r w:rsidR="00D275DB" w:rsidRPr="006529B9">
        <w:t>Business Case</w:t>
      </w:r>
      <w:r w:rsidR="00AB4C3A" w:rsidRPr="006529B9">
        <w:t xml:space="preserve">. </w:t>
      </w:r>
    </w:p>
    <w:p w14:paraId="79E01EA4" w14:textId="26046E05" w:rsidR="00B47413" w:rsidRPr="006529B9" w:rsidRDefault="00B47413" w:rsidP="00BF35FA">
      <w:pPr>
        <w:pStyle w:val="Default"/>
      </w:pPr>
    </w:p>
    <w:p w14:paraId="26DA4F58" w14:textId="025BB08B" w:rsidR="0014279C" w:rsidRPr="006529B9" w:rsidRDefault="00AB6BCC" w:rsidP="00BF35FA">
      <w:pPr>
        <w:pStyle w:val="Default"/>
      </w:pPr>
      <w:r w:rsidRPr="006529B9">
        <w:t xml:space="preserve">NTCA will use appointed consultants to carry out a gateway assessment of </w:t>
      </w:r>
      <w:r w:rsidR="002D15CD" w:rsidRPr="006529B9">
        <w:t xml:space="preserve">shortlisted applications. </w:t>
      </w:r>
      <w:r w:rsidR="006529B9" w:rsidRPr="006529B9">
        <w:t xml:space="preserve"> This is detailed as follows: </w:t>
      </w:r>
    </w:p>
    <w:p w14:paraId="21698775" w14:textId="687E6673" w:rsidR="00D275DB" w:rsidRPr="006529B9" w:rsidRDefault="00D275DB" w:rsidP="00BF35FA">
      <w:pPr>
        <w:pStyle w:val="Default"/>
      </w:pPr>
    </w:p>
    <w:p w14:paraId="225EA1BC" w14:textId="77777777" w:rsidR="00AB6BCC" w:rsidRPr="00AB6BCC" w:rsidRDefault="00AB6BCC" w:rsidP="00BF35FA">
      <w:pPr>
        <w:pStyle w:val="Default"/>
        <w:rPr>
          <w:color w:val="auto"/>
        </w:rPr>
      </w:pPr>
      <w:r w:rsidRPr="00AB6BCC">
        <w:rPr>
          <w:b/>
          <w:bCs/>
          <w:color w:val="auto"/>
        </w:rPr>
        <w:t>Information Collection</w:t>
      </w:r>
    </w:p>
    <w:p w14:paraId="236F5FFF" w14:textId="6569858B" w:rsidR="00AB6BCC" w:rsidRPr="00AB6BCC" w:rsidRDefault="006529B9" w:rsidP="00BF35FA">
      <w:pPr>
        <w:pStyle w:val="Default"/>
        <w:rPr>
          <w:color w:val="FF0000"/>
        </w:rPr>
      </w:pPr>
      <w:r w:rsidRPr="006529B9">
        <w:rPr>
          <w:color w:val="auto"/>
        </w:rPr>
        <w:t xml:space="preserve">The purpose of the </w:t>
      </w:r>
      <w:r w:rsidR="00354ACA">
        <w:rPr>
          <w:color w:val="auto"/>
        </w:rPr>
        <w:t>expression of interest</w:t>
      </w:r>
      <w:r w:rsidRPr="006529B9">
        <w:rPr>
          <w:color w:val="auto"/>
        </w:rPr>
        <w:t xml:space="preserve"> form is to</w:t>
      </w:r>
      <w:r w:rsidR="00AB6BCC" w:rsidRPr="00AB6BCC">
        <w:rPr>
          <w:color w:val="auto"/>
        </w:rPr>
        <w:t xml:space="preserve"> collect outline information for each scheme. This template is in line with the prioritisation framework and Green Book business case to allow a more robust scoring as described below</w:t>
      </w:r>
      <w:r w:rsidR="00AB6BCC" w:rsidRPr="00AB6BCC">
        <w:rPr>
          <w:color w:val="FF0000"/>
        </w:rPr>
        <w:t xml:space="preserve">. </w:t>
      </w:r>
    </w:p>
    <w:p w14:paraId="5476F5D6" w14:textId="77777777" w:rsidR="00E76D3A" w:rsidRDefault="00E76D3A" w:rsidP="00BF35FA">
      <w:pPr>
        <w:pStyle w:val="Default"/>
        <w:rPr>
          <w:b/>
          <w:bCs/>
          <w:color w:val="FF0000"/>
        </w:rPr>
      </w:pPr>
    </w:p>
    <w:p w14:paraId="02C2840B" w14:textId="1C6E7479" w:rsidR="00AB6BCC" w:rsidRPr="00AB6BCC" w:rsidRDefault="00AB6BCC" w:rsidP="00BF35FA">
      <w:pPr>
        <w:pStyle w:val="Default"/>
        <w:rPr>
          <w:b/>
          <w:bCs/>
          <w:color w:val="auto"/>
        </w:rPr>
      </w:pPr>
      <w:r w:rsidRPr="00AB6BCC">
        <w:rPr>
          <w:b/>
          <w:bCs/>
          <w:color w:val="auto"/>
        </w:rPr>
        <w:t>Gateway Criteria</w:t>
      </w:r>
    </w:p>
    <w:p w14:paraId="77662324" w14:textId="77777777" w:rsidR="00E76D3A" w:rsidRPr="00991D8C" w:rsidRDefault="00AB6BCC" w:rsidP="00BF35FA">
      <w:pPr>
        <w:pStyle w:val="Default"/>
        <w:rPr>
          <w:color w:val="auto"/>
        </w:rPr>
      </w:pPr>
      <w:r w:rsidRPr="00AB6BCC">
        <w:rPr>
          <w:color w:val="auto"/>
        </w:rPr>
        <w:t xml:space="preserve">In order each scheme to be scored it is required to pass all the gateway criteria which are based </w:t>
      </w:r>
      <w:r w:rsidR="00E76D3A" w:rsidRPr="00991D8C">
        <w:rPr>
          <w:color w:val="auto"/>
        </w:rPr>
        <w:t>on the fund requirements.</w:t>
      </w:r>
    </w:p>
    <w:p w14:paraId="7B505BA1" w14:textId="7A270CA6" w:rsidR="00AB6BCC" w:rsidRPr="00AB6BCC" w:rsidRDefault="00AB6BCC" w:rsidP="00BF35FA">
      <w:pPr>
        <w:pStyle w:val="Default"/>
        <w:rPr>
          <w:color w:val="auto"/>
        </w:rPr>
      </w:pPr>
      <w:r w:rsidRPr="00AB6BCC">
        <w:rPr>
          <w:color w:val="auto"/>
        </w:rPr>
        <w:t xml:space="preserve"> </w:t>
      </w:r>
      <w:r w:rsidR="005B4744" w:rsidRPr="00991D8C">
        <w:rPr>
          <w:color w:val="auto"/>
        </w:rPr>
        <w:t>This includes:</w:t>
      </w:r>
    </w:p>
    <w:p w14:paraId="54D83430" w14:textId="62BB8629" w:rsidR="00AB6BCC" w:rsidRPr="00AB6BCC" w:rsidRDefault="006270C1" w:rsidP="00BF35FA">
      <w:pPr>
        <w:pStyle w:val="Default"/>
        <w:numPr>
          <w:ilvl w:val="0"/>
          <w:numId w:val="18"/>
        </w:numPr>
        <w:rPr>
          <w:color w:val="auto"/>
        </w:rPr>
      </w:pPr>
      <w:r>
        <w:rPr>
          <w:color w:val="auto"/>
        </w:rPr>
        <w:t>Robust</w:t>
      </w:r>
      <w:r w:rsidR="00AB6BCC" w:rsidRPr="00AB6BCC">
        <w:rPr>
          <w:color w:val="auto"/>
        </w:rPr>
        <w:t xml:space="preserve"> evidence of market failure. </w:t>
      </w:r>
    </w:p>
    <w:p w14:paraId="0556FA38" w14:textId="0C73FC2C" w:rsidR="00AB6BCC" w:rsidRPr="00AB6BCC" w:rsidRDefault="00A307C7" w:rsidP="00BF35FA">
      <w:pPr>
        <w:pStyle w:val="Default"/>
        <w:numPr>
          <w:ilvl w:val="0"/>
          <w:numId w:val="18"/>
        </w:numPr>
        <w:rPr>
          <w:color w:val="auto"/>
        </w:rPr>
      </w:pPr>
      <w:r w:rsidRPr="00991D8C">
        <w:rPr>
          <w:color w:val="auto"/>
        </w:rPr>
        <w:t>An assessment of the scheme’s eligible costs</w:t>
      </w:r>
      <w:r w:rsidR="00AB6BCC" w:rsidRPr="00AB6BCC">
        <w:rPr>
          <w:color w:val="auto"/>
        </w:rPr>
        <w:t>.</w:t>
      </w:r>
    </w:p>
    <w:p w14:paraId="74C9F595" w14:textId="783E556C" w:rsidR="00AB6BCC" w:rsidRPr="00AB6BCC" w:rsidRDefault="006270C1" w:rsidP="00BF35FA">
      <w:pPr>
        <w:pStyle w:val="Default"/>
        <w:numPr>
          <w:ilvl w:val="0"/>
          <w:numId w:val="18"/>
        </w:numPr>
        <w:rPr>
          <w:color w:val="auto"/>
        </w:rPr>
      </w:pPr>
      <w:r>
        <w:rPr>
          <w:color w:val="auto"/>
        </w:rPr>
        <w:lastRenderedPageBreak/>
        <w:t>An i</w:t>
      </w:r>
      <w:r w:rsidR="00AB6BCC" w:rsidRPr="00AB6BCC">
        <w:rPr>
          <w:color w:val="auto"/>
        </w:rPr>
        <w:t xml:space="preserve">nitial BCR </w:t>
      </w:r>
      <w:r>
        <w:rPr>
          <w:color w:val="auto"/>
        </w:rPr>
        <w:t xml:space="preserve">calculation </w:t>
      </w:r>
      <w:r w:rsidR="00AB6BCC" w:rsidRPr="00AB6BCC">
        <w:rPr>
          <w:color w:val="auto"/>
        </w:rPr>
        <w:t xml:space="preserve">of at least 1. This is based on the ratio between the Land Value Uplift (LVU) and the public funding required. LVU captures the difference the existing use value and the value of land once the scheme is developed. </w:t>
      </w:r>
    </w:p>
    <w:p w14:paraId="02DF3AA9" w14:textId="12A5B851" w:rsidR="00AB6BCC" w:rsidRPr="00AB6BCC" w:rsidRDefault="00AB6BCC" w:rsidP="00BF35FA">
      <w:pPr>
        <w:pStyle w:val="Default"/>
        <w:numPr>
          <w:ilvl w:val="0"/>
          <w:numId w:val="18"/>
        </w:numPr>
        <w:rPr>
          <w:color w:val="auto"/>
        </w:rPr>
      </w:pPr>
      <w:r w:rsidRPr="00AB6BCC">
        <w:rPr>
          <w:color w:val="auto"/>
        </w:rPr>
        <w:t xml:space="preserve">BHF to be spent during the 5 year period with the development of the scheme also starting by March 2025. </w:t>
      </w:r>
    </w:p>
    <w:p w14:paraId="48DA1DAA" w14:textId="1EB44652" w:rsidR="00AB6BCC" w:rsidRDefault="00AB6BCC" w:rsidP="00BF35FA">
      <w:pPr>
        <w:pStyle w:val="Default"/>
        <w:numPr>
          <w:ilvl w:val="0"/>
          <w:numId w:val="18"/>
        </w:numPr>
        <w:rPr>
          <w:color w:val="auto"/>
        </w:rPr>
      </w:pPr>
      <w:r w:rsidRPr="00AB6BCC">
        <w:rPr>
          <w:color w:val="auto"/>
        </w:rPr>
        <w:t xml:space="preserve">Schemes that use private funding </w:t>
      </w:r>
      <w:r w:rsidR="00991D8C" w:rsidRPr="00991D8C">
        <w:rPr>
          <w:color w:val="auto"/>
        </w:rPr>
        <w:t>must also pass</w:t>
      </w:r>
      <w:r w:rsidRPr="00AB6BCC">
        <w:rPr>
          <w:color w:val="auto"/>
        </w:rPr>
        <w:t xml:space="preserve"> a </w:t>
      </w:r>
      <w:r w:rsidR="00A307C7" w:rsidRPr="00991D8C">
        <w:rPr>
          <w:color w:val="auto"/>
        </w:rPr>
        <w:t xml:space="preserve">Subsidy Control </w:t>
      </w:r>
      <w:r w:rsidRPr="00AB6BCC">
        <w:rPr>
          <w:color w:val="auto"/>
        </w:rPr>
        <w:t>test.</w:t>
      </w:r>
    </w:p>
    <w:p w14:paraId="04FA80B3" w14:textId="4E7EAA09" w:rsidR="00AA2ED0" w:rsidRDefault="00A82A15" w:rsidP="00BF35FA">
      <w:pPr>
        <w:pStyle w:val="Default"/>
        <w:numPr>
          <w:ilvl w:val="0"/>
          <w:numId w:val="18"/>
        </w:numPr>
        <w:rPr>
          <w:color w:val="auto"/>
        </w:rPr>
      </w:pPr>
      <w:r>
        <w:rPr>
          <w:color w:val="auto"/>
        </w:rPr>
        <w:t xml:space="preserve">An assessment of the scheme’s strategic fit </w:t>
      </w:r>
      <w:r w:rsidR="002D3B6E">
        <w:rPr>
          <w:color w:val="auto"/>
        </w:rPr>
        <w:t xml:space="preserve">(in conjunction with Local Authority Housing leads where necessary) </w:t>
      </w:r>
    </w:p>
    <w:p w14:paraId="07BDD052" w14:textId="17ED7F2E" w:rsidR="00826225" w:rsidRDefault="00826225" w:rsidP="00BF35FA">
      <w:pPr>
        <w:pStyle w:val="Default"/>
        <w:rPr>
          <w:color w:val="auto"/>
        </w:rPr>
      </w:pPr>
    </w:p>
    <w:p w14:paraId="0D34D3B1" w14:textId="5EA46E09" w:rsidR="00826225" w:rsidRPr="00AB6BCC" w:rsidRDefault="00826225" w:rsidP="00BF35FA">
      <w:pPr>
        <w:pStyle w:val="Default"/>
      </w:pPr>
      <w:r w:rsidRPr="006529B9">
        <w:t xml:space="preserve">Further questions and/or workshop sessions with </w:t>
      </w:r>
      <w:r w:rsidR="008903BE">
        <w:t>project sponsors</w:t>
      </w:r>
      <w:r w:rsidRPr="006529B9">
        <w:t xml:space="preserve">, consultants and local authorities may be held at this stage. </w:t>
      </w:r>
    </w:p>
    <w:p w14:paraId="72B0EC68" w14:textId="77777777" w:rsidR="00AB6BCC" w:rsidRPr="00AB6BCC" w:rsidRDefault="00AB6BCC" w:rsidP="00BF35FA">
      <w:pPr>
        <w:pStyle w:val="Default"/>
        <w:rPr>
          <w:color w:val="FF0000"/>
        </w:rPr>
      </w:pPr>
    </w:p>
    <w:p w14:paraId="086A46F9" w14:textId="77777777" w:rsidR="00AB6BCC" w:rsidRPr="00AB6BCC" w:rsidRDefault="00AB6BCC" w:rsidP="00BF35FA">
      <w:pPr>
        <w:pStyle w:val="Default"/>
        <w:rPr>
          <w:color w:val="auto"/>
        </w:rPr>
      </w:pPr>
      <w:r w:rsidRPr="00AB6BCC">
        <w:rPr>
          <w:b/>
          <w:bCs/>
          <w:color w:val="auto"/>
        </w:rPr>
        <w:t>Scoring and Weighting</w:t>
      </w:r>
    </w:p>
    <w:p w14:paraId="7031753A" w14:textId="4B665596" w:rsidR="00AB6BCC" w:rsidRPr="00AB6BCC" w:rsidRDefault="00AB6BCC" w:rsidP="00BF35FA">
      <w:pPr>
        <w:pStyle w:val="Default"/>
        <w:rPr>
          <w:color w:val="auto"/>
        </w:rPr>
      </w:pPr>
      <w:r w:rsidRPr="00AB6BCC">
        <w:rPr>
          <w:color w:val="auto"/>
        </w:rPr>
        <w:t xml:space="preserve">Schemes passing the gateway criteria are </w:t>
      </w:r>
      <w:r w:rsidR="00E030BB" w:rsidRPr="00E030BB">
        <w:rPr>
          <w:color w:val="auto"/>
        </w:rPr>
        <w:t>then scored as follows:</w:t>
      </w:r>
    </w:p>
    <w:p w14:paraId="346B29CF" w14:textId="2FEE38EE" w:rsidR="00AB6BCC" w:rsidRPr="00AB6BCC" w:rsidRDefault="00AB6BCC" w:rsidP="00354ACA">
      <w:pPr>
        <w:pStyle w:val="Default"/>
        <w:numPr>
          <w:ilvl w:val="0"/>
          <w:numId w:val="19"/>
        </w:numPr>
        <w:rPr>
          <w:color w:val="auto"/>
        </w:rPr>
      </w:pPr>
      <w:r w:rsidRPr="00AB6BCC">
        <w:rPr>
          <w:color w:val="auto"/>
        </w:rPr>
        <w:t>Schemes are scored against 35 questions covering elements under each of the five cases as stated in the Green Book Business Case guidance. Each question gets a low, (1) medium (5) or high (9) score. These scores are then weighted, based on their importance for the case in order to provide a single score for each case which varies from 1 to 9.</w:t>
      </w:r>
    </w:p>
    <w:p w14:paraId="0E2FA7DE" w14:textId="30363677" w:rsidR="00AB6BCC" w:rsidRPr="00AB6BCC" w:rsidRDefault="00AB6BCC" w:rsidP="00354ACA">
      <w:pPr>
        <w:pStyle w:val="Default"/>
        <w:numPr>
          <w:ilvl w:val="0"/>
          <w:numId w:val="19"/>
        </w:numPr>
        <w:rPr>
          <w:color w:val="auto"/>
        </w:rPr>
      </w:pPr>
      <w:r w:rsidRPr="00AB6BCC">
        <w:rPr>
          <w:color w:val="auto"/>
        </w:rPr>
        <w:t>The scores of each case are then aggregated to provide the Total Score for each scheme (1-45).</w:t>
      </w:r>
    </w:p>
    <w:p w14:paraId="5547B5EE" w14:textId="5E0D3A32" w:rsidR="00AB6BCC" w:rsidRDefault="00826225" w:rsidP="00354ACA">
      <w:pPr>
        <w:pStyle w:val="Default"/>
        <w:numPr>
          <w:ilvl w:val="0"/>
          <w:numId w:val="19"/>
        </w:numPr>
        <w:rPr>
          <w:color w:val="auto"/>
        </w:rPr>
      </w:pPr>
      <w:r w:rsidRPr="00AB6BCC">
        <w:rPr>
          <w:color w:val="auto"/>
        </w:rPr>
        <w:t>Finally,</w:t>
      </w:r>
      <w:r w:rsidR="00AB6BCC" w:rsidRPr="00AB6BCC">
        <w:rPr>
          <w:color w:val="auto"/>
        </w:rPr>
        <w:t xml:space="preserve"> the Total Score of each scheme is used alongside the schemes’ Initial BCR and the number of units to be delivered to provide the final weighted score with 1 being the highest.</w:t>
      </w:r>
    </w:p>
    <w:p w14:paraId="3C7E8581" w14:textId="5CD46A92" w:rsidR="00826225" w:rsidRDefault="00826225" w:rsidP="00BF35FA">
      <w:pPr>
        <w:pStyle w:val="Default"/>
        <w:rPr>
          <w:color w:val="auto"/>
        </w:rPr>
      </w:pPr>
    </w:p>
    <w:p w14:paraId="6CB01008" w14:textId="580E8FED" w:rsidR="00826225" w:rsidRPr="00AB6BCC" w:rsidRDefault="00826225" w:rsidP="00BF35FA">
      <w:pPr>
        <w:pStyle w:val="Default"/>
      </w:pPr>
      <w:r w:rsidRPr="006529B9">
        <w:t xml:space="preserve">Further questions and/or workshop sessions with </w:t>
      </w:r>
      <w:r w:rsidR="005E29F0">
        <w:t>project sponsors</w:t>
      </w:r>
      <w:r w:rsidRPr="006529B9">
        <w:t xml:space="preserve">, consultants and local authorities may be held at this stage. </w:t>
      </w:r>
    </w:p>
    <w:p w14:paraId="6CAD19C1" w14:textId="47C1F8EC" w:rsidR="00826225" w:rsidRDefault="00826225" w:rsidP="00BF35FA">
      <w:pPr>
        <w:pStyle w:val="Default"/>
        <w:rPr>
          <w:color w:val="auto"/>
        </w:rPr>
      </w:pPr>
    </w:p>
    <w:p w14:paraId="777760A7" w14:textId="6AAFABF4" w:rsidR="00826225" w:rsidRPr="00AB6BCC" w:rsidRDefault="00826225" w:rsidP="00A922E7">
      <w:pPr>
        <w:pStyle w:val="Default"/>
        <w:numPr>
          <w:ilvl w:val="0"/>
          <w:numId w:val="20"/>
        </w:numPr>
        <w:rPr>
          <w:b/>
          <w:bCs/>
          <w:color w:val="auto"/>
          <w:u w:val="single"/>
        </w:rPr>
      </w:pPr>
      <w:r w:rsidRPr="00BF35FA">
        <w:rPr>
          <w:b/>
          <w:bCs/>
          <w:color w:val="auto"/>
          <w:u w:val="single"/>
        </w:rPr>
        <w:t xml:space="preserve">Next Steps </w:t>
      </w:r>
    </w:p>
    <w:p w14:paraId="283125EC" w14:textId="2BC50ED1" w:rsidR="00D0502F" w:rsidRDefault="00D0502F" w:rsidP="00BF35FA">
      <w:pPr>
        <w:pStyle w:val="Default"/>
        <w:rPr>
          <w:color w:val="FF0000"/>
        </w:rPr>
      </w:pPr>
    </w:p>
    <w:p w14:paraId="186CE635" w14:textId="22D01680" w:rsidR="009111E7" w:rsidRDefault="007A3A40" w:rsidP="00BF35FA">
      <w:pPr>
        <w:spacing w:after="0" w:line="240" w:lineRule="auto"/>
        <w:rPr>
          <w:rFonts w:ascii="Arial" w:hAnsi="Arial" w:cs="Arial"/>
          <w:sz w:val="24"/>
          <w:szCs w:val="24"/>
        </w:rPr>
      </w:pPr>
      <w:r>
        <w:rPr>
          <w:rFonts w:ascii="Arial" w:hAnsi="Arial" w:cs="Arial"/>
          <w:sz w:val="24"/>
          <w:szCs w:val="24"/>
        </w:rPr>
        <w:t>S</w:t>
      </w:r>
      <w:r w:rsidR="00AE2B7D" w:rsidRPr="00BF35FA">
        <w:rPr>
          <w:rFonts w:ascii="Arial" w:hAnsi="Arial" w:cs="Arial"/>
          <w:sz w:val="24"/>
          <w:szCs w:val="24"/>
        </w:rPr>
        <w:t>chemes</w:t>
      </w:r>
      <w:r>
        <w:rPr>
          <w:rFonts w:ascii="Arial" w:hAnsi="Arial" w:cs="Arial"/>
          <w:sz w:val="24"/>
          <w:szCs w:val="24"/>
        </w:rPr>
        <w:t xml:space="preserve"> which pass the gateway process will be prioritised and</w:t>
      </w:r>
      <w:r w:rsidR="00AE2B7D" w:rsidRPr="00312CB5">
        <w:rPr>
          <w:rFonts w:ascii="Arial" w:hAnsi="Arial" w:cs="Arial"/>
          <w:sz w:val="24"/>
          <w:szCs w:val="24"/>
        </w:rPr>
        <w:t xml:space="preserve"> will be formally added to the brownfield </w:t>
      </w:r>
      <w:r w:rsidR="007D3F6A">
        <w:rPr>
          <w:rFonts w:ascii="Arial" w:hAnsi="Arial" w:cs="Arial"/>
          <w:sz w:val="24"/>
          <w:szCs w:val="24"/>
        </w:rPr>
        <w:t xml:space="preserve">housing </w:t>
      </w:r>
      <w:r w:rsidR="00212CB8">
        <w:rPr>
          <w:rFonts w:ascii="Arial" w:hAnsi="Arial" w:cs="Arial"/>
          <w:sz w:val="24"/>
          <w:szCs w:val="24"/>
        </w:rPr>
        <w:t xml:space="preserve">programme </w:t>
      </w:r>
      <w:r w:rsidR="00AE2B7D" w:rsidRPr="00312CB5">
        <w:rPr>
          <w:rFonts w:ascii="Arial" w:hAnsi="Arial" w:cs="Arial"/>
          <w:sz w:val="24"/>
          <w:szCs w:val="24"/>
        </w:rPr>
        <w:t xml:space="preserve">pipeline </w:t>
      </w:r>
      <w:r>
        <w:rPr>
          <w:rFonts w:ascii="Arial" w:hAnsi="Arial" w:cs="Arial"/>
          <w:sz w:val="24"/>
          <w:szCs w:val="24"/>
        </w:rPr>
        <w:t>which</w:t>
      </w:r>
      <w:r w:rsidR="00AE2B7D" w:rsidRPr="00312CB5">
        <w:rPr>
          <w:rFonts w:ascii="Arial" w:hAnsi="Arial" w:cs="Arial"/>
          <w:sz w:val="24"/>
          <w:szCs w:val="24"/>
        </w:rPr>
        <w:t xml:space="preserve"> </w:t>
      </w:r>
      <w:r w:rsidR="009111E7">
        <w:rPr>
          <w:rFonts w:ascii="Arial" w:hAnsi="Arial" w:cs="Arial"/>
          <w:sz w:val="24"/>
          <w:szCs w:val="24"/>
        </w:rPr>
        <w:t>the</w:t>
      </w:r>
      <w:r w:rsidR="00AE2B7D" w:rsidRPr="00BF35FA">
        <w:rPr>
          <w:rFonts w:ascii="Arial" w:hAnsi="Arial" w:cs="Arial"/>
          <w:sz w:val="24"/>
          <w:szCs w:val="24"/>
        </w:rPr>
        <w:t xml:space="preserve"> </w:t>
      </w:r>
      <w:r w:rsidR="00115EE5" w:rsidRPr="00312CB5">
        <w:rPr>
          <w:rFonts w:ascii="Arial" w:hAnsi="Arial" w:cs="Arial"/>
          <w:sz w:val="24"/>
          <w:szCs w:val="24"/>
        </w:rPr>
        <w:t xml:space="preserve">NTCA Investment Panel </w:t>
      </w:r>
      <w:r w:rsidR="00DD2C78" w:rsidRPr="00312CB5">
        <w:rPr>
          <w:rFonts w:ascii="Arial" w:hAnsi="Arial" w:cs="Arial"/>
          <w:sz w:val="24"/>
          <w:szCs w:val="24"/>
        </w:rPr>
        <w:t>and NTCA Housing and Land Board</w:t>
      </w:r>
      <w:r>
        <w:rPr>
          <w:rFonts w:ascii="Arial" w:hAnsi="Arial" w:cs="Arial"/>
          <w:sz w:val="24"/>
          <w:szCs w:val="24"/>
        </w:rPr>
        <w:t xml:space="preserve"> </w:t>
      </w:r>
      <w:r w:rsidR="009111E7">
        <w:rPr>
          <w:rFonts w:ascii="Arial" w:hAnsi="Arial" w:cs="Arial"/>
          <w:sz w:val="24"/>
          <w:szCs w:val="24"/>
        </w:rPr>
        <w:t>will consider</w:t>
      </w:r>
      <w:r w:rsidR="00DD2C78" w:rsidRPr="00BF35FA">
        <w:rPr>
          <w:rFonts w:ascii="Arial" w:hAnsi="Arial" w:cs="Arial"/>
          <w:sz w:val="24"/>
          <w:szCs w:val="24"/>
        </w:rPr>
        <w:t>.</w:t>
      </w:r>
      <w:r w:rsidR="00DD2C78" w:rsidRPr="00312CB5">
        <w:rPr>
          <w:rFonts w:ascii="Arial" w:hAnsi="Arial" w:cs="Arial"/>
          <w:sz w:val="24"/>
          <w:szCs w:val="24"/>
        </w:rPr>
        <w:t xml:space="preserve"> </w:t>
      </w:r>
      <w:r w:rsidR="009111E7">
        <w:rPr>
          <w:rFonts w:ascii="Arial" w:hAnsi="Arial" w:cs="Arial"/>
          <w:sz w:val="24"/>
          <w:szCs w:val="24"/>
        </w:rPr>
        <w:t xml:space="preserve">NTCA will </w:t>
      </w:r>
      <w:r w:rsidR="007360E4">
        <w:rPr>
          <w:rFonts w:ascii="Arial" w:hAnsi="Arial" w:cs="Arial"/>
          <w:sz w:val="24"/>
          <w:szCs w:val="24"/>
        </w:rPr>
        <w:t xml:space="preserve">notify project sponsors </w:t>
      </w:r>
      <w:r w:rsidR="009226C9">
        <w:rPr>
          <w:rFonts w:ascii="Arial" w:hAnsi="Arial" w:cs="Arial"/>
          <w:sz w:val="24"/>
          <w:szCs w:val="24"/>
        </w:rPr>
        <w:t xml:space="preserve">of the outcome </w:t>
      </w:r>
      <w:r w:rsidR="007360E4">
        <w:rPr>
          <w:rFonts w:ascii="Arial" w:hAnsi="Arial" w:cs="Arial"/>
          <w:sz w:val="24"/>
          <w:szCs w:val="24"/>
        </w:rPr>
        <w:t>by the end of December 2021</w:t>
      </w:r>
    </w:p>
    <w:p w14:paraId="2E3B0E06" w14:textId="77777777" w:rsidR="009111E7" w:rsidRDefault="009111E7" w:rsidP="00BF35FA">
      <w:pPr>
        <w:spacing w:after="0" w:line="240" w:lineRule="auto"/>
        <w:rPr>
          <w:rFonts w:ascii="Arial" w:hAnsi="Arial" w:cs="Arial"/>
          <w:sz w:val="24"/>
          <w:szCs w:val="24"/>
        </w:rPr>
      </w:pPr>
    </w:p>
    <w:p w14:paraId="69D542F3" w14:textId="7508BCB9" w:rsidR="009111E7" w:rsidRDefault="007D3F6A" w:rsidP="00BF35FA">
      <w:pPr>
        <w:spacing w:after="0" w:line="240" w:lineRule="auto"/>
        <w:rPr>
          <w:rFonts w:ascii="Arial" w:hAnsi="Arial" w:cs="Arial"/>
          <w:sz w:val="24"/>
          <w:szCs w:val="24"/>
        </w:rPr>
      </w:pPr>
      <w:r w:rsidRPr="00BF35FA">
        <w:rPr>
          <w:rFonts w:ascii="Arial" w:hAnsi="Arial" w:cs="Arial"/>
          <w:sz w:val="24"/>
          <w:szCs w:val="24"/>
        </w:rPr>
        <w:t xml:space="preserve">Schemes with the highest final weighted scores will be invited to progress to full business case. </w:t>
      </w:r>
      <w:r w:rsidR="00FE4A40" w:rsidRPr="00BF35FA">
        <w:rPr>
          <w:rFonts w:ascii="Arial" w:hAnsi="Arial" w:cs="Arial"/>
          <w:sz w:val="24"/>
          <w:szCs w:val="24"/>
        </w:rPr>
        <w:t xml:space="preserve">All </w:t>
      </w:r>
      <w:r w:rsidR="009226C9">
        <w:rPr>
          <w:rFonts w:ascii="Arial" w:hAnsi="Arial" w:cs="Arial"/>
          <w:sz w:val="24"/>
          <w:szCs w:val="24"/>
        </w:rPr>
        <w:t xml:space="preserve">project sponsors invited to </w:t>
      </w:r>
      <w:r w:rsidR="000A1CEA">
        <w:rPr>
          <w:rFonts w:ascii="Arial" w:hAnsi="Arial" w:cs="Arial"/>
          <w:sz w:val="24"/>
          <w:szCs w:val="24"/>
        </w:rPr>
        <w:t>full business case</w:t>
      </w:r>
      <w:r w:rsidR="009226C9">
        <w:rPr>
          <w:rFonts w:ascii="Arial" w:hAnsi="Arial" w:cs="Arial"/>
          <w:sz w:val="24"/>
          <w:szCs w:val="24"/>
        </w:rPr>
        <w:t xml:space="preserve"> </w:t>
      </w:r>
      <w:r w:rsidR="00FE4A40">
        <w:rPr>
          <w:rFonts w:ascii="Arial" w:hAnsi="Arial" w:cs="Arial"/>
          <w:sz w:val="24"/>
          <w:szCs w:val="24"/>
        </w:rPr>
        <w:t xml:space="preserve">will be required to submit subsidy control advice prior </w:t>
      </w:r>
      <w:r w:rsidR="000A1CEA">
        <w:rPr>
          <w:rFonts w:ascii="Arial" w:hAnsi="Arial" w:cs="Arial"/>
          <w:sz w:val="24"/>
          <w:szCs w:val="24"/>
        </w:rPr>
        <w:t>in advance of the completion of the business case.</w:t>
      </w:r>
    </w:p>
    <w:p w14:paraId="672A645B" w14:textId="2D5F873B" w:rsidR="00607118" w:rsidRPr="00344D07" w:rsidRDefault="00344D07" w:rsidP="00BF35FA">
      <w:pPr>
        <w:pStyle w:val="Default"/>
        <w:rPr>
          <w:color w:val="auto"/>
        </w:rPr>
      </w:pPr>
      <w:r w:rsidRPr="00BF35FA">
        <w:rPr>
          <w:color w:val="FF0000"/>
        </w:rPr>
        <w:t xml:space="preserve"> </w:t>
      </w:r>
    </w:p>
    <w:p w14:paraId="6C6A15A5" w14:textId="6A69A512" w:rsidR="00AB6BCC" w:rsidRPr="000E509C" w:rsidRDefault="000E509C" w:rsidP="00066504">
      <w:pPr>
        <w:pStyle w:val="Default"/>
        <w:numPr>
          <w:ilvl w:val="0"/>
          <w:numId w:val="20"/>
        </w:numPr>
        <w:rPr>
          <w:b/>
          <w:bCs/>
          <w:color w:val="auto"/>
          <w:u w:val="single"/>
        </w:rPr>
      </w:pPr>
      <w:r w:rsidRPr="000E509C">
        <w:rPr>
          <w:b/>
          <w:bCs/>
          <w:color w:val="auto"/>
          <w:u w:val="single"/>
        </w:rPr>
        <w:t>Indicative Timescales</w:t>
      </w:r>
    </w:p>
    <w:p w14:paraId="2A06B09B" w14:textId="336678E1" w:rsidR="00AB6BCC" w:rsidRDefault="00AB6BCC" w:rsidP="00BF35FA">
      <w:pPr>
        <w:pStyle w:val="Default"/>
        <w:rPr>
          <w:color w:val="FF0000"/>
          <w:u w:val="single"/>
        </w:rPr>
      </w:pPr>
    </w:p>
    <w:p w14:paraId="7D381605" w14:textId="3A216957" w:rsidR="006C0560" w:rsidRPr="006C0560" w:rsidRDefault="006C0560" w:rsidP="00BF35FA">
      <w:pPr>
        <w:pStyle w:val="Default"/>
        <w:rPr>
          <w:color w:val="auto"/>
        </w:rPr>
      </w:pPr>
      <w:r w:rsidRPr="006C0560">
        <w:rPr>
          <w:b/>
          <w:bCs/>
          <w:color w:val="auto"/>
        </w:rPr>
        <w:t xml:space="preserve">Call Opens </w:t>
      </w:r>
      <w:r w:rsidRPr="006C0560">
        <w:rPr>
          <w:color w:val="auto"/>
        </w:rPr>
        <w:t xml:space="preserve">- Monday </w:t>
      </w:r>
      <w:r w:rsidR="00294C02">
        <w:rPr>
          <w:color w:val="auto"/>
        </w:rPr>
        <w:t>13</w:t>
      </w:r>
      <w:r w:rsidRPr="00BF35FA">
        <w:rPr>
          <w:color w:val="auto"/>
          <w:vertAlign w:val="superscript"/>
        </w:rPr>
        <w:t>th</w:t>
      </w:r>
      <w:r w:rsidRPr="006C0560">
        <w:rPr>
          <w:color w:val="auto"/>
        </w:rPr>
        <w:t xml:space="preserve"> September 2021</w:t>
      </w:r>
    </w:p>
    <w:p w14:paraId="43331EF4" w14:textId="7A204950" w:rsidR="006C0560" w:rsidRDefault="006C0560" w:rsidP="00BF35FA">
      <w:pPr>
        <w:pStyle w:val="Default"/>
        <w:rPr>
          <w:color w:val="auto"/>
        </w:rPr>
      </w:pPr>
      <w:r>
        <w:rPr>
          <w:b/>
          <w:bCs/>
          <w:color w:val="auto"/>
        </w:rPr>
        <w:t xml:space="preserve">Call Closes </w:t>
      </w:r>
      <w:r w:rsidRPr="00777097">
        <w:rPr>
          <w:color w:val="auto"/>
        </w:rPr>
        <w:t>– Friday 15</w:t>
      </w:r>
      <w:r w:rsidRPr="00777097">
        <w:rPr>
          <w:color w:val="auto"/>
          <w:vertAlign w:val="superscript"/>
        </w:rPr>
        <w:t>th</w:t>
      </w:r>
      <w:r w:rsidRPr="00777097">
        <w:rPr>
          <w:color w:val="auto"/>
        </w:rPr>
        <w:t xml:space="preserve"> October 2021 at 23:</w:t>
      </w:r>
      <w:r w:rsidR="00777097" w:rsidRPr="00777097">
        <w:rPr>
          <w:color w:val="auto"/>
        </w:rPr>
        <w:t>59 hours</w:t>
      </w:r>
    </w:p>
    <w:p w14:paraId="161095F3" w14:textId="415A0335" w:rsidR="00826225" w:rsidRPr="00702472" w:rsidRDefault="00702472" w:rsidP="00BF35FA">
      <w:pPr>
        <w:pStyle w:val="Default"/>
        <w:rPr>
          <w:color w:val="auto"/>
        </w:rPr>
      </w:pPr>
      <w:r>
        <w:rPr>
          <w:b/>
          <w:bCs/>
          <w:color w:val="auto"/>
        </w:rPr>
        <w:t xml:space="preserve">Scoring </w:t>
      </w:r>
      <w:r w:rsidR="002B4792">
        <w:rPr>
          <w:b/>
          <w:bCs/>
          <w:color w:val="auto"/>
        </w:rPr>
        <w:t xml:space="preserve">– </w:t>
      </w:r>
      <w:r w:rsidR="002B4792" w:rsidRPr="002B4792">
        <w:rPr>
          <w:color w:val="auto"/>
        </w:rPr>
        <w:t>Commences Monday 18</w:t>
      </w:r>
      <w:r w:rsidR="002B4792" w:rsidRPr="002B4792">
        <w:rPr>
          <w:color w:val="auto"/>
          <w:vertAlign w:val="superscript"/>
        </w:rPr>
        <w:t>th</w:t>
      </w:r>
      <w:r w:rsidR="002B4792" w:rsidRPr="002B4792">
        <w:rPr>
          <w:color w:val="auto"/>
        </w:rPr>
        <w:t xml:space="preserve"> October 2021</w:t>
      </w:r>
    </w:p>
    <w:p w14:paraId="16E1FF61" w14:textId="147B623A" w:rsidR="000E509C" w:rsidRPr="002B4792" w:rsidRDefault="00BB5DBF" w:rsidP="00BF35FA">
      <w:pPr>
        <w:pStyle w:val="Default"/>
        <w:rPr>
          <w:color w:val="auto"/>
        </w:rPr>
      </w:pPr>
      <w:r>
        <w:rPr>
          <w:b/>
          <w:bCs/>
          <w:color w:val="auto"/>
        </w:rPr>
        <w:t>Project Sponsors</w:t>
      </w:r>
      <w:r w:rsidR="002B4792" w:rsidRPr="002B4792">
        <w:rPr>
          <w:b/>
          <w:bCs/>
          <w:color w:val="auto"/>
        </w:rPr>
        <w:t xml:space="preserve"> Notified </w:t>
      </w:r>
      <w:r w:rsidR="002B4792">
        <w:rPr>
          <w:b/>
          <w:bCs/>
          <w:color w:val="auto"/>
        </w:rPr>
        <w:t>–</w:t>
      </w:r>
      <w:r w:rsidR="002B4792" w:rsidRPr="002B4792">
        <w:rPr>
          <w:b/>
          <w:bCs/>
          <w:color w:val="auto"/>
        </w:rPr>
        <w:t xml:space="preserve"> </w:t>
      </w:r>
      <w:r w:rsidR="003D5950">
        <w:rPr>
          <w:color w:val="auto"/>
        </w:rPr>
        <w:t xml:space="preserve">By </w:t>
      </w:r>
      <w:r w:rsidR="002B4792">
        <w:rPr>
          <w:color w:val="auto"/>
        </w:rPr>
        <w:t>December 2021</w:t>
      </w:r>
    </w:p>
    <w:p w14:paraId="31EFA9AE" w14:textId="77777777" w:rsidR="002B4792" w:rsidRDefault="002B4792" w:rsidP="00BF35FA">
      <w:pPr>
        <w:pStyle w:val="Default"/>
        <w:rPr>
          <w:b/>
          <w:bCs/>
          <w:u w:val="single"/>
        </w:rPr>
      </w:pPr>
    </w:p>
    <w:p w14:paraId="5D74ECD8" w14:textId="77777777" w:rsidR="00294C02" w:rsidRDefault="00294C02" w:rsidP="00066504">
      <w:pPr>
        <w:pStyle w:val="Default"/>
        <w:rPr>
          <w:b/>
          <w:bCs/>
          <w:u w:val="single"/>
        </w:rPr>
      </w:pPr>
    </w:p>
    <w:p w14:paraId="60BA2831" w14:textId="77777777" w:rsidR="00440561" w:rsidRDefault="00440561" w:rsidP="00066504">
      <w:pPr>
        <w:pStyle w:val="Default"/>
        <w:rPr>
          <w:b/>
          <w:bCs/>
          <w:u w:val="single"/>
        </w:rPr>
      </w:pPr>
    </w:p>
    <w:p w14:paraId="2D219B58" w14:textId="77777777" w:rsidR="00440561" w:rsidRDefault="00440561" w:rsidP="00066504">
      <w:pPr>
        <w:pStyle w:val="Default"/>
        <w:rPr>
          <w:b/>
          <w:bCs/>
          <w:u w:val="single"/>
        </w:rPr>
      </w:pPr>
    </w:p>
    <w:p w14:paraId="30D7DC44" w14:textId="77777777" w:rsidR="00440561" w:rsidRDefault="00440561" w:rsidP="00066504">
      <w:pPr>
        <w:pStyle w:val="Default"/>
        <w:rPr>
          <w:b/>
          <w:bCs/>
          <w:u w:val="single"/>
        </w:rPr>
      </w:pPr>
    </w:p>
    <w:p w14:paraId="374B84C3" w14:textId="3730929A" w:rsidR="000E509C" w:rsidRDefault="000E509C" w:rsidP="00440561">
      <w:pPr>
        <w:pStyle w:val="Default"/>
        <w:numPr>
          <w:ilvl w:val="0"/>
          <w:numId w:val="20"/>
        </w:numPr>
        <w:rPr>
          <w:b/>
          <w:bCs/>
          <w:u w:val="single"/>
        </w:rPr>
      </w:pPr>
      <w:r w:rsidRPr="000E509C">
        <w:rPr>
          <w:b/>
          <w:bCs/>
          <w:u w:val="single"/>
        </w:rPr>
        <w:t xml:space="preserve">Other Information </w:t>
      </w:r>
    </w:p>
    <w:p w14:paraId="43027B9D" w14:textId="514D132C" w:rsidR="00016C27" w:rsidRDefault="00016C27" w:rsidP="00BF35FA">
      <w:pPr>
        <w:pStyle w:val="Default"/>
        <w:rPr>
          <w:b/>
          <w:bCs/>
          <w:u w:val="single"/>
        </w:rPr>
      </w:pPr>
    </w:p>
    <w:p w14:paraId="601DE988" w14:textId="4878B375" w:rsidR="003D5950" w:rsidRPr="006529B9" w:rsidRDefault="003D5950" w:rsidP="00BF35FA">
      <w:pPr>
        <w:pStyle w:val="Default"/>
      </w:pPr>
      <w:r w:rsidRPr="006529B9">
        <w:t xml:space="preserve">The acceptance of an </w:t>
      </w:r>
      <w:r w:rsidR="00DA1A72">
        <w:t>expression of interest form</w:t>
      </w:r>
      <w:r w:rsidRPr="006529B9">
        <w:t xml:space="preserve"> and an invitation to progress does not in any way indicate or constitute an offer of grant support.  Any costs incurred in submitting an application are at the applicant’s own risk. </w:t>
      </w:r>
    </w:p>
    <w:p w14:paraId="67F56049" w14:textId="77777777" w:rsidR="003D5950" w:rsidRDefault="003D5950" w:rsidP="00BF35FA">
      <w:pPr>
        <w:spacing w:after="0" w:line="240" w:lineRule="auto"/>
        <w:rPr>
          <w:rFonts w:ascii="Arial" w:hAnsi="Arial" w:cs="Arial"/>
          <w:sz w:val="24"/>
          <w:szCs w:val="24"/>
        </w:rPr>
      </w:pPr>
    </w:p>
    <w:p w14:paraId="5E6FB7AB" w14:textId="4DD3DF9D" w:rsidR="000E509C" w:rsidRPr="006529B9" w:rsidRDefault="003D5950" w:rsidP="00BF35FA">
      <w:pPr>
        <w:spacing w:after="0" w:line="240" w:lineRule="auto"/>
        <w:rPr>
          <w:rFonts w:ascii="Arial" w:hAnsi="Arial" w:cs="Arial"/>
          <w:sz w:val="24"/>
          <w:szCs w:val="24"/>
        </w:rPr>
      </w:pPr>
      <w:r>
        <w:rPr>
          <w:rFonts w:ascii="Arial" w:hAnsi="Arial" w:cs="Arial"/>
          <w:sz w:val="24"/>
          <w:szCs w:val="24"/>
        </w:rPr>
        <w:t>Successful</w:t>
      </w:r>
      <w:r w:rsidR="000E509C" w:rsidRPr="006529B9">
        <w:rPr>
          <w:rFonts w:ascii="Arial" w:hAnsi="Arial" w:cs="Arial"/>
          <w:sz w:val="24"/>
          <w:szCs w:val="24"/>
        </w:rPr>
        <w:t xml:space="preserve"> </w:t>
      </w:r>
      <w:r w:rsidR="008903BE">
        <w:rPr>
          <w:rFonts w:ascii="Arial" w:hAnsi="Arial" w:cs="Arial"/>
          <w:sz w:val="24"/>
          <w:szCs w:val="24"/>
        </w:rPr>
        <w:t>project sponsors</w:t>
      </w:r>
      <w:r w:rsidR="000E509C" w:rsidRPr="006529B9">
        <w:rPr>
          <w:rFonts w:ascii="Arial" w:hAnsi="Arial" w:cs="Arial"/>
          <w:sz w:val="24"/>
          <w:szCs w:val="24"/>
        </w:rPr>
        <w:t xml:space="preserve"> must be legally constituted and able to enter a binding contract with the NTCA and will carry the liability for ensuring that the terms of the Funding Agreement are met by all delivery partners. In the case of consortia or partnership applications, a lead organisation must be identified as the Applicant. It is this organisation that carries the responsibility and liability for carrying out the project. </w:t>
      </w:r>
    </w:p>
    <w:p w14:paraId="7EE5F388" w14:textId="77777777" w:rsidR="000E509C" w:rsidRPr="006529B9" w:rsidRDefault="000E509C" w:rsidP="00BF35FA">
      <w:pPr>
        <w:pStyle w:val="Default"/>
      </w:pPr>
    </w:p>
    <w:p w14:paraId="56BCB57F" w14:textId="77777777" w:rsidR="000E509C" w:rsidRPr="006529B9" w:rsidRDefault="000E509C" w:rsidP="00BF35FA">
      <w:pPr>
        <w:pStyle w:val="Default"/>
      </w:pPr>
      <w:r w:rsidRPr="006529B9">
        <w:t xml:space="preserve">NTCA funding is paid quarterly in arrears against actual project expenditure. Costs must be able to be fully evidenced through a robust audit trail and be necessary for delivering the scheme. </w:t>
      </w:r>
    </w:p>
    <w:p w14:paraId="208BA42D" w14:textId="77777777" w:rsidR="000E509C" w:rsidRPr="006529B9" w:rsidRDefault="000E509C" w:rsidP="00BF35FA">
      <w:pPr>
        <w:pStyle w:val="Default"/>
      </w:pPr>
    </w:p>
    <w:p w14:paraId="510DBDBA" w14:textId="77777777" w:rsidR="000E509C" w:rsidRPr="006529B9" w:rsidRDefault="000E509C" w:rsidP="00BF35FA">
      <w:pPr>
        <w:spacing w:after="0" w:line="240" w:lineRule="auto"/>
        <w:rPr>
          <w:rFonts w:ascii="Arial" w:hAnsi="Arial" w:cs="Arial"/>
          <w:sz w:val="24"/>
          <w:szCs w:val="24"/>
        </w:rPr>
      </w:pPr>
      <w:r w:rsidRPr="006529B9">
        <w:rPr>
          <w:rFonts w:ascii="Arial" w:hAnsi="Arial" w:cs="Arial"/>
          <w:sz w:val="24"/>
          <w:szCs w:val="24"/>
        </w:rPr>
        <w:t xml:space="preserve">The North of Tyne Combined Authority will take swift action against any recipients who have deliberately manipulated records or have committed fraud. Any beneficiaries caught falsifying their records to gain grant funding will face prosecution and any funding or grants paid in error will be subject to claw back. </w:t>
      </w:r>
    </w:p>
    <w:p w14:paraId="173468B5" w14:textId="77777777" w:rsidR="000E509C" w:rsidRPr="006529B9" w:rsidRDefault="000E509C" w:rsidP="00BF35FA">
      <w:pPr>
        <w:spacing w:after="0" w:line="240" w:lineRule="auto"/>
        <w:rPr>
          <w:rFonts w:ascii="Arial" w:hAnsi="Arial" w:cs="Arial"/>
          <w:color w:val="000000" w:themeColor="text1"/>
          <w:sz w:val="24"/>
          <w:szCs w:val="24"/>
        </w:rPr>
      </w:pPr>
    </w:p>
    <w:p w14:paraId="50A19CF4" w14:textId="77777777" w:rsidR="000E509C" w:rsidRPr="006529B9" w:rsidRDefault="000E509C" w:rsidP="00BF35FA">
      <w:pPr>
        <w:pStyle w:val="Default"/>
        <w:rPr>
          <w:u w:val="single"/>
        </w:rPr>
      </w:pPr>
    </w:p>
    <w:p w14:paraId="630F1521" w14:textId="77777777" w:rsidR="000E509C" w:rsidRPr="00BF35FA" w:rsidRDefault="000E509C" w:rsidP="00BF35FA">
      <w:pPr>
        <w:pStyle w:val="Default"/>
      </w:pPr>
    </w:p>
    <w:p w14:paraId="0EACB621" w14:textId="77777777" w:rsidR="00AB6BCC" w:rsidRPr="006529B9" w:rsidRDefault="00AB6BCC" w:rsidP="00BF35FA">
      <w:pPr>
        <w:pStyle w:val="Default"/>
        <w:rPr>
          <w:color w:val="FF0000"/>
        </w:rPr>
      </w:pPr>
    </w:p>
    <w:p w14:paraId="2A8BABA2" w14:textId="77777777" w:rsidR="00F75AA0" w:rsidRPr="006529B9" w:rsidRDefault="00F75AA0" w:rsidP="00BF35FA">
      <w:pPr>
        <w:pStyle w:val="Default"/>
        <w:rPr>
          <w:u w:val="single"/>
        </w:rPr>
      </w:pPr>
    </w:p>
    <w:p w14:paraId="45A0AFF6" w14:textId="408B3BD2" w:rsidR="00E80BD8" w:rsidRPr="00BF35FA" w:rsidRDefault="00E80BD8" w:rsidP="00BF35FA">
      <w:pPr>
        <w:pStyle w:val="Default"/>
      </w:pPr>
    </w:p>
    <w:p w14:paraId="3882BDC2" w14:textId="0AB6867C" w:rsidR="00E80BD8" w:rsidRPr="00BF35FA" w:rsidRDefault="00E80BD8" w:rsidP="00BF35FA">
      <w:pPr>
        <w:pStyle w:val="Default"/>
      </w:pPr>
    </w:p>
    <w:p w14:paraId="1751EFB5" w14:textId="3D65B01F" w:rsidR="00E80BD8" w:rsidRPr="00BF35FA" w:rsidRDefault="00E80BD8" w:rsidP="00BF35FA">
      <w:pPr>
        <w:pStyle w:val="Default"/>
      </w:pPr>
    </w:p>
    <w:p w14:paraId="0122660A" w14:textId="1FB139C5" w:rsidR="00E80BD8" w:rsidRPr="00BF35FA" w:rsidRDefault="00E80BD8" w:rsidP="00BF35FA">
      <w:pPr>
        <w:pStyle w:val="Default"/>
      </w:pPr>
    </w:p>
    <w:p w14:paraId="6D01ED84" w14:textId="7E01DA12" w:rsidR="00E80BD8" w:rsidRPr="00BF35FA" w:rsidRDefault="00E80BD8" w:rsidP="00BF35FA">
      <w:pPr>
        <w:pStyle w:val="Default"/>
      </w:pPr>
    </w:p>
    <w:p w14:paraId="2817E98A" w14:textId="3867167E" w:rsidR="00E80BD8" w:rsidRPr="00BF35FA" w:rsidRDefault="00E80BD8" w:rsidP="00BF35FA">
      <w:pPr>
        <w:pStyle w:val="Default"/>
      </w:pPr>
    </w:p>
    <w:p w14:paraId="65D6C4ED" w14:textId="7B4D9A2D" w:rsidR="00E80BD8" w:rsidRDefault="00E80BD8" w:rsidP="00066504">
      <w:pPr>
        <w:pStyle w:val="Default"/>
        <w:rPr>
          <w:rFonts w:asciiTheme="minorHAnsi" w:hAnsiTheme="minorHAnsi" w:cstheme="minorHAnsi"/>
        </w:rPr>
      </w:pPr>
    </w:p>
    <w:p w14:paraId="6B20A7A2" w14:textId="5ECBD248" w:rsidR="00E80BD8" w:rsidRDefault="00E80BD8" w:rsidP="00066504">
      <w:pPr>
        <w:pStyle w:val="Default"/>
        <w:rPr>
          <w:rFonts w:asciiTheme="minorHAnsi" w:hAnsiTheme="minorHAnsi" w:cstheme="minorHAnsi"/>
        </w:rPr>
      </w:pPr>
    </w:p>
    <w:p w14:paraId="4C4F0BAB" w14:textId="0F7F6E19" w:rsidR="00E80BD8" w:rsidRDefault="00E80BD8" w:rsidP="00066504">
      <w:pPr>
        <w:pStyle w:val="Default"/>
        <w:rPr>
          <w:rFonts w:asciiTheme="minorHAnsi" w:hAnsiTheme="minorHAnsi" w:cstheme="minorHAnsi"/>
        </w:rPr>
      </w:pPr>
    </w:p>
    <w:p w14:paraId="26AF79CB" w14:textId="77777777" w:rsidR="00E80BD8" w:rsidRDefault="00E80BD8" w:rsidP="00066504">
      <w:pPr>
        <w:pStyle w:val="Default"/>
        <w:rPr>
          <w:rFonts w:asciiTheme="minorHAnsi" w:hAnsiTheme="minorHAnsi" w:cstheme="minorHAnsi"/>
        </w:rPr>
      </w:pPr>
    </w:p>
    <w:p w14:paraId="39B6C4C5" w14:textId="77777777" w:rsidR="008A3DEE" w:rsidRPr="008A3DEE" w:rsidRDefault="008A3DEE" w:rsidP="00066504">
      <w:pPr>
        <w:pStyle w:val="Default"/>
        <w:rPr>
          <w:rFonts w:asciiTheme="minorHAnsi" w:hAnsiTheme="minorHAnsi" w:cstheme="minorHAnsi"/>
          <w:u w:val="single"/>
        </w:rPr>
      </w:pPr>
    </w:p>
    <w:p w14:paraId="0FE17408" w14:textId="572D0DC1" w:rsidR="00B534CA" w:rsidRDefault="00B534CA" w:rsidP="00066504">
      <w:pPr>
        <w:pStyle w:val="Default"/>
        <w:rPr>
          <w:rFonts w:asciiTheme="minorHAnsi" w:hAnsiTheme="minorHAnsi" w:cstheme="minorHAnsi"/>
          <w:u w:val="single"/>
        </w:rPr>
      </w:pPr>
    </w:p>
    <w:p w14:paraId="76757D73" w14:textId="77777777" w:rsidR="00B534CA" w:rsidRPr="00B534CA" w:rsidRDefault="00B534CA" w:rsidP="00066504">
      <w:pPr>
        <w:pStyle w:val="Default"/>
        <w:rPr>
          <w:rFonts w:asciiTheme="minorHAnsi" w:hAnsiTheme="minorHAnsi" w:cstheme="minorHAnsi"/>
          <w:u w:val="single"/>
        </w:rPr>
      </w:pPr>
    </w:p>
    <w:sectPr w:rsidR="00B534CA" w:rsidRPr="00B534CA">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DC91" w14:textId="77777777" w:rsidR="004C70BA" w:rsidRDefault="004C70BA" w:rsidP="0086647E">
      <w:pPr>
        <w:spacing w:after="0" w:line="240" w:lineRule="auto"/>
      </w:pPr>
      <w:r>
        <w:separator/>
      </w:r>
    </w:p>
  </w:endnote>
  <w:endnote w:type="continuationSeparator" w:id="0">
    <w:p w14:paraId="7A12070E" w14:textId="77777777" w:rsidR="004C70BA" w:rsidRDefault="004C70BA" w:rsidP="0086647E">
      <w:pPr>
        <w:spacing w:after="0" w:line="240" w:lineRule="auto"/>
      </w:pPr>
      <w:r>
        <w:continuationSeparator/>
      </w:r>
    </w:p>
  </w:endnote>
  <w:endnote w:type="continuationNotice" w:id="1">
    <w:p w14:paraId="0D885D77" w14:textId="77777777" w:rsidR="007C4EB1" w:rsidRDefault="007C4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M Sans">
    <w:altName w:val="Calibri"/>
    <w:charset w:val="00"/>
    <w:family w:val="auto"/>
    <w:pitch w:val="variable"/>
    <w:sig w:usb0="8000002F" w:usb1="4000204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73976"/>
      <w:docPartObj>
        <w:docPartGallery w:val="Page Numbers (Bottom of Page)"/>
        <w:docPartUnique/>
      </w:docPartObj>
    </w:sdtPr>
    <w:sdtEndPr>
      <w:rPr>
        <w:noProof/>
      </w:rPr>
    </w:sdtEndPr>
    <w:sdtContent>
      <w:p w14:paraId="2DDD41A2" w14:textId="520E0405" w:rsidR="00440561" w:rsidRDefault="00440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A13A7C" w14:textId="77777777" w:rsidR="00CC784C" w:rsidRDefault="00CC7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C939B" w14:textId="77777777" w:rsidR="004C70BA" w:rsidRDefault="004C70BA" w:rsidP="0086647E">
      <w:pPr>
        <w:spacing w:after="0" w:line="240" w:lineRule="auto"/>
      </w:pPr>
      <w:r>
        <w:separator/>
      </w:r>
    </w:p>
  </w:footnote>
  <w:footnote w:type="continuationSeparator" w:id="0">
    <w:p w14:paraId="309D20D5" w14:textId="77777777" w:rsidR="004C70BA" w:rsidRDefault="004C70BA" w:rsidP="0086647E">
      <w:pPr>
        <w:spacing w:after="0" w:line="240" w:lineRule="auto"/>
      </w:pPr>
      <w:r>
        <w:continuationSeparator/>
      </w:r>
    </w:p>
  </w:footnote>
  <w:footnote w:type="continuationNotice" w:id="1">
    <w:p w14:paraId="2B138CD6" w14:textId="77777777" w:rsidR="007C4EB1" w:rsidRDefault="007C4E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D4BC8" w14:textId="0D883D4A" w:rsidR="00CC784C" w:rsidRDefault="00CC7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704BE" w14:textId="3EA3FF33" w:rsidR="00CC784C" w:rsidRDefault="00CC7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227B" w14:textId="1EDFDF5A" w:rsidR="00CC784C" w:rsidRDefault="00CC7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CF9BBD"/>
    <w:multiLevelType w:val="hybridMultilevel"/>
    <w:tmpl w:val="39DECC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7B8C5"/>
    <w:multiLevelType w:val="hybridMultilevel"/>
    <w:tmpl w:val="5B683BD2"/>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961BAC"/>
    <w:multiLevelType w:val="hybridMultilevel"/>
    <w:tmpl w:val="9BE87E1E"/>
    <w:lvl w:ilvl="0" w:tplc="A78E6D20">
      <w:start w:val="1"/>
      <w:numFmt w:val="bullet"/>
      <w:lvlText w:val=""/>
      <w:lvlJc w:val="left"/>
      <w:pPr>
        <w:ind w:left="720" w:hanging="360"/>
      </w:pPr>
      <w:rPr>
        <w:rFonts w:ascii="Symbol" w:hAnsi="Symbol" w:hint="default"/>
      </w:rPr>
    </w:lvl>
    <w:lvl w:ilvl="1" w:tplc="EEE0B09C">
      <w:start w:val="1"/>
      <w:numFmt w:val="bullet"/>
      <w:lvlText w:val="o"/>
      <w:lvlJc w:val="left"/>
      <w:pPr>
        <w:ind w:left="1440" w:hanging="360"/>
      </w:pPr>
      <w:rPr>
        <w:rFonts w:ascii="Courier New" w:hAnsi="Courier New" w:hint="default"/>
      </w:rPr>
    </w:lvl>
    <w:lvl w:ilvl="2" w:tplc="F62EE172">
      <w:start w:val="1"/>
      <w:numFmt w:val="bullet"/>
      <w:lvlText w:val=""/>
      <w:lvlJc w:val="left"/>
      <w:pPr>
        <w:ind w:left="2160" w:hanging="360"/>
      </w:pPr>
      <w:rPr>
        <w:rFonts w:ascii="Wingdings" w:hAnsi="Wingdings" w:hint="default"/>
      </w:rPr>
    </w:lvl>
    <w:lvl w:ilvl="3" w:tplc="6D76A164">
      <w:start w:val="1"/>
      <w:numFmt w:val="bullet"/>
      <w:lvlText w:val=""/>
      <w:lvlJc w:val="left"/>
      <w:pPr>
        <w:ind w:left="2880" w:hanging="360"/>
      </w:pPr>
      <w:rPr>
        <w:rFonts w:ascii="Symbol" w:hAnsi="Symbol" w:hint="default"/>
      </w:rPr>
    </w:lvl>
    <w:lvl w:ilvl="4" w:tplc="E77C37BA">
      <w:start w:val="1"/>
      <w:numFmt w:val="bullet"/>
      <w:lvlText w:val="o"/>
      <w:lvlJc w:val="left"/>
      <w:pPr>
        <w:ind w:left="3600" w:hanging="360"/>
      </w:pPr>
      <w:rPr>
        <w:rFonts w:ascii="Courier New" w:hAnsi="Courier New" w:hint="default"/>
      </w:rPr>
    </w:lvl>
    <w:lvl w:ilvl="5" w:tplc="2830140A">
      <w:start w:val="1"/>
      <w:numFmt w:val="bullet"/>
      <w:lvlText w:val=""/>
      <w:lvlJc w:val="left"/>
      <w:pPr>
        <w:ind w:left="4320" w:hanging="360"/>
      </w:pPr>
      <w:rPr>
        <w:rFonts w:ascii="Wingdings" w:hAnsi="Wingdings" w:hint="default"/>
      </w:rPr>
    </w:lvl>
    <w:lvl w:ilvl="6" w:tplc="36CA2DC2">
      <w:start w:val="1"/>
      <w:numFmt w:val="bullet"/>
      <w:lvlText w:val=""/>
      <w:lvlJc w:val="left"/>
      <w:pPr>
        <w:ind w:left="5040" w:hanging="360"/>
      </w:pPr>
      <w:rPr>
        <w:rFonts w:ascii="Symbol" w:hAnsi="Symbol" w:hint="default"/>
      </w:rPr>
    </w:lvl>
    <w:lvl w:ilvl="7" w:tplc="C8307BD0">
      <w:start w:val="1"/>
      <w:numFmt w:val="bullet"/>
      <w:lvlText w:val="o"/>
      <w:lvlJc w:val="left"/>
      <w:pPr>
        <w:ind w:left="5760" w:hanging="360"/>
      </w:pPr>
      <w:rPr>
        <w:rFonts w:ascii="Courier New" w:hAnsi="Courier New" w:hint="default"/>
      </w:rPr>
    </w:lvl>
    <w:lvl w:ilvl="8" w:tplc="61DA4BBE">
      <w:start w:val="1"/>
      <w:numFmt w:val="bullet"/>
      <w:lvlText w:val=""/>
      <w:lvlJc w:val="left"/>
      <w:pPr>
        <w:ind w:left="6480" w:hanging="360"/>
      </w:pPr>
      <w:rPr>
        <w:rFonts w:ascii="Wingdings" w:hAnsi="Wingdings" w:hint="default"/>
      </w:rPr>
    </w:lvl>
  </w:abstractNum>
  <w:abstractNum w:abstractNumId="3" w15:restartNumberingAfterBreak="0">
    <w:nsid w:val="0D6A48DB"/>
    <w:multiLevelType w:val="hybridMultilevel"/>
    <w:tmpl w:val="6A84C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37450"/>
    <w:multiLevelType w:val="hybridMultilevel"/>
    <w:tmpl w:val="BE7AD88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914F1"/>
    <w:multiLevelType w:val="hybridMultilevel"/>
    <w:tmpl w:val="57D2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4CD62"/>
    <w:multiLevelType w:val="hybridMultilevel"/>
    <w:tmpl w:val="78D2E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BF3065"/>
    <w:multiLevelType w:val="hybridMultilevel"/>
    <w:tmpl w:val="C06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54177"/>
    <w:multiLevelType w:val="hybridMultilevel"/>
    <w:tmpl w:val="3388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43861"/>
    <w:multiLevelType w:val="hybridMultilevel"/>
    <w:tmpl w:val="5F06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AFD"/>
    <w:multiLevelType w:val="hybridMultilevel"/>
    <w:tmpl w:val="ED54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90113"/>
    <w:multiLevelType w:val="hybridMultilevel"/>
    <w:tmpl w:val="E416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EEDFB"/>
    <w:multiLevelType w:val="hybridMultilevel"/>
    <w:tmpl w:val="2140AF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7DD1D1C"/>
    <w:multiLevelType w:val="hybridMultilevel"/>
    <w:tmpl w:val="34D2D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CE049A"/>
    <w:multiLevelType w:val="hybridMultilevel"/>
    <w:tmpl w:val="6C9A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F000E0"/>
    <w:multiLevelType w:val="hybridMultilevel"/>
    <w:tmpl w:val="D8B6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06043D"/>
    <w:multiLevelType w:val="hybridMultilevel"/>
    <w:tmpl w:val="6E3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E4510"/>
    <w:multiLevelType w:val="hybridMultilevel"/>
    <w:tmpl w:val="917E271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0D570F"/>
    <w:multiLevelType w:val="hybridMultilevel"/>
    <w:tmpl w:val="3B38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CB34A6"/>
    <w:multiLevelType w:val="hybridMultilevel"/>
    <w:tmpl w:val="8C923064"/>
    <w:lvl w:ilvl="0" w:tplc="E6AC13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5"/>
  </w:num>
  <w:num w:numId="5">
    <w:abstractNumId w:val="8"/>
  </w:num>
  <w:num w:numId="6">
    <w:abstractNumId w:val="2"/>
  </w:num>
  <w:num w:numId="7">
    <w:abstractNumId w:val="15"/>
  </w:num>
  <w:num w:numId="8">
    <w:abstractNumId w:val="10"/>
  </w:num>
  <w:num w:numId="9">
    <w:abstractNumId w:val="7"/>
  </w:num>
  <w:num w:numId="10">
    <w:abstractNumId w:val="17"/>
  </w:num>
  <w:num w:numId="11">
    <w:abstractNumId w:val="4"/>
  </w:num>
  <w:num w:numId="12">
    <w:abstractNumId w:val="14"/>
  </w:num>
  <w:num w:numId="13">
    <w:abstractNumId w:val="18"/>
  </w:num>
  <w:num w:numId="14">
    <w:abstractNumId w:val="19"/>
  </w:num>
  <w:num w:numId="15">
    <w:abstractNumId w:val="0"/>
  </w:num>
  <w:num w:numId="16">
    <w:abstractNumId w:val="16"/>
  </w:num>
  <w:num w:numId="17">
    <w:abstractNumId w:val="1"/>
  </w:num>
  <w:num w:numId="18">
    <w:abstractNumId w:val="11"/>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D6"/>
    <w:rsid w:val="00016C27"/>
    <w:rsid w:val="00020EBD"/>
    <w:rsid w:val="00021FCA"/>
    <w:rsid w:val="00022797"/>
    <w:rsid w:val="00033059"/>
    <w:rsid w:val="00035E53"/>
    <w:rsid w:val="0004348A"/>
    <w:rsid w:val="00045F7B"/>
    <w:rsid w:val="0005497D"/>
    <w:rsid w:val="00066504"/>
    <w:rsid w:val="00067950"/>
    <w:rsid w:val="000700A8"/>
    <w:rsid w:val="00070EF5"/>
    <w:rsid w:val="000726C0"/>
    <w:rsid w:val="00074C47"/>
    <w:rsid w:val="0007716E"/>
    <w:rsid w:val="000870F7"/>
    <w:rsid w:val="0009571C"/>
    <w:rsid w:val="00096391"/>
    <w:rsid w:val="000A1CEA"/>
    <w:rsid w:val="000A27CB"/>
    <w:rsid w:val="000A50CE"/>
    <w:rsid w:val="000A7DAF"/>
    <w:rsid w:val="000B2C1E"/>
    <w:rsid w:val="000B5B66"/>
    <w:rsid w:val="000D26B2"/>
    <w:rsid w:val="000D55BC"/>
    <w:rsid w:val="000D66B3"/>
    <w:rsid w:val="000E05E9"/>
    <w:rsid w:val="000E4809"/>
    <w:rsid w:val="000E509C"/>
    <w:rsid w:val="000E68C5"/>
    <w:rsid w:val="000F142B"/>
    <w:rsid w:val="000F43B8"/>
    <w:rsid w:val="0010190E"/>
    <w:rsid w:val="0010625B"/>
    <w:rsid w:val="00115EE5"/>
    <w:rsid w:val="00136BE0"/>
    <w:rsid w:val="0014279C"/>
    <w:rsid w:val="0014491C"/>
    <w:rsid w:val="0014530E"/>
    <w:rsid w:val="00156B07"/>
    <w:rsid w:val="00170AB9"/>
    <w:rsid w:val="0017251B"/>
    <w:rsid w:val="00172CA2"/>
    <w:rsid w:val="00176430"/>
    <w:rsid w:val="0019571A"/>
    <w:rsid w:val="00196A97"/>
    <w:rsid w:val="001A470F"/>
    <w:rsid w:val="001A775A"/>
    <w:rsid w:val="001B4AF4"/>
    <w:rsid w:val="001C10F3"/>
    <w:rsid w:val="001C2C8F"/>
    <w:rsid w:val="001D1E1E"/>
    <w:rsid w:val="001D1F42"/>
    <w:rsid w:val="002016B9"/>
    <w:rsid w:val="00212CB8"/>
    <w:rsid w:val="002164C3"/>
    <w:rsid w:val="0022026C"/>
    <w:rsid w:val="00224D92"/>
    <w:rsid w:val="00225FBE"/>
    <w:rsid w:val="002361E0"/>
    <w:rsid w:val="00240D80"/>
    <w:rsid w:val="0024505C"/>
    <w:rsid w:val="0025333C"/>
    <w:rsid w:val="00253841"/>
    <w:rsid w:val="00254858"/>
    <w:rsid w:val="00254C18"/>
    <w:rsid w:val="00256ADF"/>
    <w:rsid w:val="0025782B"/>
    <w:rsid w:val="00274756"/>
    <w:rsid w:val="00276964"/>
    <w:rsid w:val="00277511"/>
    <w:rsid w:val="00286C81"/>
    <w:rsid w:val="00293F29"/>
    <w:rsid w:val="00294C02"/>
    <w:rsid w:val="00295469"/>
    <w:rsid w:val="002A1CF4"/>
    <w:rsid w:val="002A366F"/>
    <w:rsid w:val="002B4792"/>
    <w:rsid w:val="002C2171"/>
    <w:rsid w:val="002C7A7A"/>
    <w:rsid w:val="002D15CD"/>
    <w:rsid w:val="002D3B6E"/>
    <w:rsid w:val="002E00B2"/>
    <w:rsid w:val="002E3748"/>
    <w:rsid w:val="002E48AD"/>
    <w:rsid w:val="002E6235"/>
    <w:rsid w:val="002F0446"/>
    <w:rsid w:val="002F7D49"/>
    <w:rsid w:val="00312CB5"/>
    <w:rsid w:val="00320340"/>
    <w:rsid w:val="00337196"/>
    <w:rsid w:val="003438BA"/>
    <w:rsid w:val="00344D07"/>
    <w:rsid w:val="00354ACA"/>
    <w:rsid w:val="0035685D"/>
    <w:rsid w:val="00360DE5"/>
    <w:rsid w:val="00365CAF"/>
    <w:rsid w:val="00372088"/>
    <w:rsid w:val="003739B9"/>
    <w:rsid w:val="00381F65"/>
    <w:rsid w:val="00390E16"/>
    <w:rsid w:val="003A5FD8"/>
    <w:rsid w:val="003C3CAF"/>
    <w:rsid w:val="003D3F46"/>
    <w:rsid w:val="003D5950"/>
    <w:rsid w:val="003E49ED"/>
    <w:rsid w:val="003E7117"/>
    <w:rsid w:val="003F2309"/>
    <w:rsid w:val="00401E44"/>
    <w:rsid w:val="004027B1"/>
    <w:rsid w:val="00403A53"/>
    <w:rsid w:val="00403C8F"/>
    <w:rsid w:val="00403FE5"/>
    <w:rsid w:val="004145B0"/>
    <w:rsid w:val="00434A78"/>
    <w:rsid w:val="00440041"/>
    <w:rsid w:val="00440561"/>
    <w:rsid w:val="00442E13"/>
    <w:rsid w:val="00443DE2"/>
    <w:rsid w:val="00446217"/>
    <w:rsid w:val="00454E86"/>
    <w:rsid w:val="0045674B"/>
    <w:rsid w:val="00456A93"/>
    <w:rsid w:val="004635BC"/>
    <w:rsid w:val="00463CDF"/>
    <w:rsid w:val="00467460"/>
    <w:rsid w:val="00470151"/>
    <w:rsid w:val="00470549"/>
    <w:rsid w:val="00474F42"/>
    <w:rsid w:val="00491FB2"/>
    <w:rsid w:val="004A0B12"/>
    <w:rsid w:val="004B1553"/>
    <w:rsid w:val="004B3235"/>
    <w:rsid w:val="004B7E92"/>
    <w:rsid w:val="004B7EB6"/>
    <w:rsid w:val="004C47C0"/>
    <w:rsid w:val="004C70BA"/>
    <w:rsid w:val="004D781D"/>
    <w:rsid w:val="004E1D26"/>
    <w:rsid w:val="004E3F1B"/>
    <w:rsid w:val="004E65EE"/>
    <w:rsid w:val="004F2AC0"/>
    <w:rsid w:val="004F4959"/>
    <w:rsid w:val="0051704C"/>
    <w:rsid w:val="00520A19"/>
    <w:rsid w:val="005278CF"/>
    <w:rsid w:val="00537E98"/>
    <w:rsid w:val="005432F1"/>
    <w:rsid w:val="005501A6"/>
    <w:rsid w:val="00552343"/>
    <w:rsid w:val="00556631"/>
    <w:rsid w:val="005569AA"/>
    <w:rsid w:val="00560BE7"/>
    <w:rsid w:val="0057176C"/>
    <w:rsid w:val="00580109"/>
    <w:rsid w:val="0058694F"/>
    <w:rsid w:val="00587A72"/>
    <w:rsid w:val="005B3109"/>
    <w:rsid w:val="005B3752"/>
    <w:rsid w:val="005B4744"/>
    <w:rsid w:val="005C0BBC"/>
    <w:rsid w:val="005C16CB"/>
    <w:rsid w:val="005D0FEA"/>
    <w:rsid w:val="005E2114"/>
    <w:rsid w:val="005E29F0"/>
    <w:rsid w:val="005E6AC9"/>
    <w:rsid w:val="0060036F"/>
    <w:rsid w:val="00607118"/>
    <w:rsid w:val="0061022E"/>
    <w:rsid w:val="00612F1C"/>
    <w:rsid w:val="0061509C"/>
    <w:rsid w:val="006270C1"/>
    <w:rsid w:val="00636AC8"/>
    <w:rsid w:val="00637D27"/>
    <w:rsid w:val="006461A2"/>
    <w:rsid w:val="006529B9"/>
    <w:rsid w:val="0066210C"/>
    <w:rsid w:val="0067517C"/>
    <w:rsid w:val="00685C14"/>
    <w:rsid w:val="00685DB2"/>
    <w:rsid w:val="00690C74"/>
    <w:rsid w:val="00693F7D"/>
    <w:rsid w:val="006A1A74"/>
    <w:rsid w:val="006B6B28"/>
    <w:rsid w:val="006C0560"/>
    <w:rsid w:val="006D5BDC"/>
    <w:rsid w:val="006E15E7"/>
    <w:rsid w:val="006F179C"/>
    <w:rsid w:val="00702472"/>
    <w:rsid w:val="00702D42"/>
    <w:rsid w:val="00705027"/>
    <w:rsid w:val="00720F8A"/>
    <w:rsid w:val="00721FDA"/>
    <w:rsid w:val="00734BF2"/>
    <w:rsid w:val="007360E4"/>
    <w:rsid w:val="007374BE"/>
    <w:rsid w:val="00744A17"/>
    <w:rsid w:val="007541B6"/>
    <w:rsid w:val="00757FCB"/>
    <w:rsid w:val="007740A2"/>
    <w:rsid w:val="00775F45"/>
    <w:rsid w:val="00777097"/>
    <w:rsid w:val="00786724"/>
    <w:rsid w:val="007A1370"/>
    <w:rsid w:val="007A1EDA"/>
    <w:rsid w:val="007A3A40"/>
    <w:rsid w:val="007A566E"/>
    <w:rsid w:val="007B08C1"/>
    <w:rsid w:val="007B7995"/>
    <w:rsid w:val="007B7F4D"/>
    <w:rsid w:val="007C2FAF"/>
    <w:rsid w:val="007C4EB1"/>
    <w:rsid w:val="007C683F"/>
    <w:rsid w:val="007C7F6B"/>
    <w:rsid w:val="007D3F6A"/>
    <w:rsid w:val="007E1C0C"/>
    <w:rsid w:val="007E4D5B"/>
    <w:rsid w:val="007E7318"/>
    <w:rsid w:val="007F3F53"/>
    <w:rsid w:val="007F5853"/>
    <w:rsid w:val="008011C4"/>
    <w:rsid w:val="00815CCD"/>
    <w:rsid w:val="00817F7E"/>
    <w:rsid w:val="00826225"/>
    <w:rsid w:val="00826D58"/>
    <w:rsid w:val="00841CFE"/>
    <w:rsid w:val="00852B29"/>
    <w:rsid w:val="00852F83"/>
    <w:rsid w:val="00857473"/>
    <w:rsid w:val="008611B7"/>
    <w:rsid w:val="00861990"/>
    <w:rsid w:val="00864DE9"/>
    <w:rsid w:val="0086647E"/>
    <w:rsid w:val="00867A97"/>
    <w:rsid w:val="00873DD8"/>
    <w:rsid w:val="00874054"/>
    <w:rsid w:val="008760D5"/>
    <w:rsid w:val="00881094"/>
    <w:rsid w:val="008825FA"/>
    <w:rsid w:val="00887DC8"/>
    <w:rsid w:val="008903BE"/>
    <w:rsid w:val="008A3DEE"/>
    <w:rsid w:val="008B0756"/>
    <w:rsid w:val="008B1FD4"/>
    <w:rsid w:val="008E11E1"/>
    <w:rsid w:val="008E53EE"/>
    <w:rsid w:val="008E6DFB"/>
    <w:rsid w:val="00902109"/>
    <w:rsid w:val="00905573"/>
    <w:rsid w:val="009109C2"/>
    <w:rsid w:val="00910A2C"/>
    <w:rsid w:val="009111E7"/>
    <w:rsid w:val="00911DD6"/>
    <w:rsid w:val="00913B7B"/>
    <w:rsid w:val="00916BE3"/>
    <w:rsid w:val="00922443"/>
    <w:rsid w:val="009226C9"/>
    <w:rsid w:val="0092297D"/>
    <w:rsid w:val="0093086A"/>
    <w:rsid w:val="00946036"/>
    <w:rsid w:val="00954590"/>
    <w:rsid w:val="009553A5"/>
    <w:rsid w:val="00957E4F"/>
    <w:rsid w:val="00960AD2"/>
    <w:rsid w:val="009723F0"/>
    <w:rsid w:val="0097780F"/>
    <w:rsid w:val="00990705"/>
    <w:rsid w:val="00991D8C"/>
    <w:rsid w:val="0099768C"/>
    <w:rsid w:val="009A08BB"/>
    <w:rsid w:val="009A3869"/>
    <w:rsid w:val="009B15C1"/>
    <w:rsid w:val="009B791F"/>
    <w:rsid w:val="009B7C59"/>
    <w:rsid w:val="009E7D36"/>
    <w:rsid w:val="00A0207D"/>
    <w:rsid w:val="00A13D9B"/>
    <w:rsid w:val="00A17383"/>
    <w:rsid w:val="00A26301"/>
    <w:rsid w:val="00A307C7"/>
    <w:rsid w:val="00A3112E"/>
    <w:rsid w:val="00A450B5"/>
    <w:rsid w:val="00A52AD0"/>
    <w:rsid w:val="00A6011C"/>
    <w:rsid w:val="00A6579F"/>
    <w:rsid w:val="00A82779"/>
    <w:rsid w:val="00A82A15"/>
    <w:rsid w:val="00A922E7"/>
    <w:rsid w:val="00AA2ED0"/>
    <w:rsid w:val="00AA608A"/>
    <w:rsid w:val="00AB00E4"/>
    <w:rsid w:val="00AB1896"/>
    <w:rsid w:val="00AB4C3A"/>
    <w:rsid w:val="00AB6BCC"/>
    <w:rsid w:val="00AC6491"/>
    <w:rsid w:val="00AD189A"/>
    <w:rsid w:val="00AD292E"/>
    <w:rsid w:val="00AD43DE"/>
    <w:rsid w:val="00AE23A6"/>
    <w:rsid w:val="00AE2B7D"/>
    <w:rsid w:val="00AF0CCB"/>
    <w:rsid w:val="00AF6516"/>
    <w:rsid w:val="00AF6A3C"/>
    <w:rsid w:val="00B074FA"/>
    <w:rsid w:val="00B14815"/>
    <w:rsid w:val="00B27DFB"/>
    <w:rsid w:val="00B306F7"/>
    <w:rsid w:val="00B41655"/>
    <w:rsid w:val="00B4330E"/>
    <w:rsid w:val="00B45787"/>
    <w:rsid w:val="00B47413"/>
    <w:rsid w:val="00B534CA"/>
    <w:rsid w:val="00B57944"/>
    <w:rsid w:val="00B64895"/>
    <w:rsid w:val="00B760F2"/>
    <w:rsid w:val="00B7641E"/>
    <w:rsid w:val="00B844B5"/>
    <w:rsid w:val="00B95133"/>
    <w:rsid w:val="00B95F01"/>
    <w:rsid w:val="00BA74F1"/>
    <w:rsid w:val="00BB521E"/>
    <w:rsid w:val="00BB5DBF"/>
    <w:rsid w:val="00BB7C48"/>
    <w:rsid w:val="00BC6ADE"/>
    <w:rsid w:val="00BD05F4"/>
    <w:rsid w:val="00BD32CE"/>
    <w:rsid w:val="00BD6651"/>
    <w:rsid w:val="00BD7110"/>
    <w:rsid w:val="00BE2D38"/>
    <w:rsid w:val="00BF35FA"/>
    <w:rsid w:val="00C27898"/>
    <w:rsid w:val="00C41711"/>
    <w:rsid w:val="00C41DDC"/>
    <w:rsid w:val="00C41F68"/>
    <w:rsid w:val="00C422C9"/>
    <w:rsid w:val="00C4647E"/>
    <w:rsid w:val="00C51613"/>
    <w:rsid w:val="00C544F1"/>
    <w:rsid w:val="00C66F66"/>
    <w:rsid w:val="00C7044F"/>
    <w:rsid w:val="00C72BCA"/>
    <w:rsid w:val="00C75E8C"/>
    <w:rsid w:val="00C835DB"/>
    <w:rsid w:val="00C84F38"/>
    <w:rsid w:val="00CA3003"/>
    <w:rsid w:val="00CA503C"/>
    <w:rsid w:val="00CA6434"/>
    <w:rsid w:val="00CA78B9"/>
    <w:rsid w:val="00CA78F7"/>
    <w:rsid w:val="00CB2AC3"/>
    <w:rsid w:val="00CC784C"/>
    <w:rsid w:val="00CE1292"/>
    <w:rsid w:val="00CE28D6"/>
    <w:rsid w:val="00CE59EB"/>
    <w:rsid w:val="00CE5BC9"/>
    <w:rsid w:val="00D0502F"/>
    <w:rsid w:val="00D051D3"/>
    <w:rsid w:val="00D155EC"/>
    <w:rsid w:val="00D216DD"/>
    <w:rsid w:val="00D2599F"/>
    <w:rsid w:val="00D263DB"/>
    <w:rsid w:val="00D275DB"/>
    <w:rsid w:val="00D31ADC"/>
    <w:rsid w:val="00D344BB"/>
    <w:rsid w:val="00D34EFC"/>
    <w:rsid w:val="00D366C4"/>
    <w:rsid w:val="00D444C3"/>
    <w:rsid w:val="00D47C82"/>
    <w:rsid w:val="00D6138C"/>
    <w:rsid w:val="00D65FBD"/>
    <w:rsid w:val="00D82070"/>
    <w:rsid w:val="00D977B1"/>
    <w:rsid w:val="00DA1A72"/>
    <w:rsid w:val="00DA5B5F"/>
    <w:rsid w:val="00DB0B53"/>
    <w:rsid w:val="00DB2430"/>
    <w:rsid w:val="00DB3BC3"/>
    <w:rsid w:val="00DC66A7"/>
    <w:rsid w:val="00DC781C"/>
    <w:rsid w:val="00DD2C78"/>
    <w:rsid w:val="00DD3CB4"/>
    <w:rsid w:val="00DD6CFA"/>
    <w:rsid w:val="00DD75D7"/>
    <w:rsid w:val="00DE5D50"/>
    <w:rsid w:val="00DF68EB"/>
    <w:rsid w:val="00E030BB"/>
    <w:rsid w:val="00E07580"/>
    <w:rsid w:val="00E10FAA"/>
    <w:rsid w:val="00E11282"/>
    <w:rsid w:val="00E146AF"/>
    <w:rsid w:val="00E25467"/>
    <w:rsid w:val="00E30E25"/>
    <w:rsid w:val="00E35482"/>
    <w:rsid w:val="00E37CB2"/>
    <w:rsid w:val="00E42B1F"/>
    <w:rsid w:val="00E547E0"/>
    <w:rsid w:val="00E6016C"/>
    <w:rsid w:val="00E6268A"/>
    <w:rsid w:val="00E7138A"/>
    <w:rsid w:val="00E71C49"/>
    <w:rsid w:val="00E71EAC"/>
    <w:rsid w:val="00E73720"/>
    <w:rsid w:val="00E76D3A"/>
    <w:rsid w:val="00E7792C"/>
    <w:rsid w:val="00E80BD8"/>
    <w:rsid w:val="00E85280"/>
    <w:rsid w:val="00E929EE"/>
    <w:rsid w:val="00EA0147"/>
    <w:rsid w:val="00EA633B"/>
    <w:rsid w:val="00EB12BF"/>
    <w:rsid w:val="00EB7A5A"/>
    <w:rsid w:val="00ED33DA"/>
    <w:rsid w:val="00ED3568"/>
    <w:rsid w:val="00ED6749"/>
    <w:rsid w:val="00EE4285"/>
    <w:rsid w:val="00F1132E"/>
    <w:rsid w:val="00F17EB3"/>
    <w:rsid w:val="00F40CF9"/>
    <w:rsid w:val="00F42FF9"/>
    <w:rsid w:val="00F610EB"/>
    <w:rsid w:val="00F66EA2"/>
    <w:rsid w:val="00F701D3"/>
    <w:rsid w:val="00F75AA0"/>
    <w:rsid w:val="00F75B9E"/>
    <w:rsid w:val="00F84BC3"/>
    <w:rsid w:val="00F868D7"/>
    <w:rsid w:val="00F91F4C"/>
    <w:rsid w:val="00FA28F5"/>
    <w:rsid w:val="00FA34F9"/>
    <w:rsid w:val="00FD01BA"/>
    <w:rsid w:val="00FE4A40"/>
    <w:rsid w:val="00FF2F61"/>
    <w:rsid w:val="00FF3C4D"/>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99C9C1"/>
  <w15:chartTrackingRefBased/>
  <w15:docId w15:val="{3CBE302E-8E66-449E-9DD1-30506C42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430"/>
    <w:pPr>
      <w:ind w:left="720"/>
      <w:contextualSpacing/>
    </w:pPr>
  </w:style>
  <w:style w:type="paragraph" w:styleId="BalloonText">
    <w:name w:val="Balloon Text"/>
    <w:basedOn w:val="Normal"/>
    <w:link w:val="BalloonTextChar"/>
    <w:uiPriority w:val="99"/>
    <w:semiHidden/>
    <w:unhideWhenUsed/>
    <w:rsid w:val="008B0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756"/>
    <w:rPr>
      <w:rFonts w:ascii="Segoe UI" w:hAnsi="Segoe UI" w:cs="Segoe UI"/>
      <w:sz w:val="18"/>
      <w:szCs w:val="18"/>
    </w:rPr>
  </w:style>
  <w:style w:type="paragraph" w:customStyle="1" w:styleId="Default">
    <w:name w:val="Default"/>
    <w:rsid w:val="008825F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C2FAF"/>
    <w:rPr>
      <w:color w:val="0563C1" w:themeColor="hyperlink"/>
      <w:u w:val="single"/>
    </w:rPr>
  </w:style>
  <w:style w:type="paragraph" w:styleId="Header">
    <w:name w:val="header"/>
    <w:basedOn w:val="Normal"/>
    <w:link w:val="HeaderChar"/>
    <w:uiPriority w:val="99"/>
    <w:unhideWhenUsed/>
    <w:rsid w:val="00866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47E"/>
  </w:style>
  <w:style w:type="paragraph" w:styleId="Footer">
    <w:name w:val="footer"/>
    <w:basedOn w:val="Normal"/>
    <w:link w:val="FooterChar"/>
    <w:uiPriority w:val="99"/>
    <w:unhideWhenUsed/>
    <w:rsid w:val="00866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47E"/>
  </w:style>
  <w:style w:type="character" w:customStyle="1" w:styleId="normaltextrun">
    <w:name w:val="normaltextrun"/>
    <w:rsid w:val="004145B0"/>
    <w:rPr>
      <w:lang w:val="en-US"/>
    </w:rPr>
  </w:style>
  <w:style w:type="character" w:styleId="UnresolvedMention">
    <w:name w:val="Unresolved Mention"/>
    <w:basedOn w:val="DefaultParagraphFont"/>
    <w:uiPriority w:val="99"/>
    <w:semiHidden/>
    <w:unhideWhenUsed/>
    <w:rsid w:val="00067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8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using@northoftyne-ca.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ousing@northofyne-ca.gov.u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ousing@northoftyne-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C5E0D666793478C7B9DAFD5815059" ma:contentTypeVersion="6" ma:contentTypeDescription="Create a new document." ma:contentTypeScope="" ma:versionID="3512399dc930e05c7ebc0957f3fd24cc">
  <xsd:schema xmlns:xsd="http://www.w3.org/2001/XMLSchema" xmlns:xs="http://www.w3.org/2001/XMLSchema" xmlns:p="http://schemas.microsoft.com/office/2006/metadata/properties" xmlns:ns2="f16558ae-3155-4f7f-8c52-de37a55da6fd" xmlns:ns3="3c50ed21-b481-4537-80a4-0b79690bd913" targetNamespace="http://schemas.microsoft.com/office/2006/metadata/properties" ma:root="true" ma:fieldsID="fcc7cc2e184e33a45ac1fd152dbcb18e" ns2:_="" ns3:_="">
    <xsd:import namespace="f16558ae-3155-4f7f-8c52-de37a55da6fd"/>
    <xsd:import namespace="3c50ed21-b481-4537-80a4-0b79690bd9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558ae-3155-4f7f-8c52-de37a55da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50ed21-b481-4537-80a4-0b79690bd9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c50ed21-b481-4537-80a4-0b79690bd913">
      <UserInfo>
        <DisplayName>Antoniou, Maria (North Of Tyne)</DisplayName>
        <AccountId>18</AccountId>
        <AccountType/>
      </UserInfo>
    </SharedWithUsers>
  </documentManagement>
</p:properties>
</file>

<file path=customXml/itemProps1.xml><?xml version="1.0" encoding="utf-8"?>
<ds:datastoreItem xmlns:ds="http://schemas.openxmlformats.org/officeDocument/2006/customXml" ds:itemID="{D09F2BAB-C58A-46A0-9320-BD7382B7254D}">
  <ds:schemaRefs>
    <ds:schemaRef ds:uri="http://schemas.microsoft.com/sharepoint/v3/contenttype/forms"/>
  </ds:schemaRefs>
</ds:datastoreItem>
</file>

<file path=customXml/itemProps2.xml><?xml version="1.0" encoding="utf-8"?>
<ds:datastoreItem xmlns:ds="http://schemas.openxmlformats.org/officeDocument/2006/customXml" ds:itemID="{5C46F27C-15B3-4AE1-9B9C-323CF4458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558ae-3155-4f7f-8c52-de37a55da6fd"/>
    <ds:schemaRef ds:uri="3c50ed21-b481-4537-80a4-0b79690bd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3884E7-C8B3-44CB-899C-CCCA480C831A}">
  <ds:schemaRefs>
    <ds:schemaRef ds:uri="http://schemas.openxmlformats.org/officeDocument/2006/bibliography"/>
  </ds:schemaRefs>
</ds:datastoreItem>
</file>

<file path=customXml/itemProps4.xml><?xml version="1.0" encoding="utf-8"?>
<ds:datastoreItem xmlns:ds="http://schemas.openxmlformats.org/officeDocument/2006/customXml" ds:itemID="{FF97DCBB-7556-4FD1-A1DE-4631D422A353}">
  <ds:schemaRefs>
    <ds:schemaRef ds:uri="http://schemas.microsoft.com/office/2006/metadata/properties"/>
    <ds:schemaRef ds:uri="http://schemas.microsoft.com/office/infopath/2007/PartnerControls"/>
    <ds:schemaRef ds:uri="3c50ed21-b481-4537-80a4-0b79690bd913"/>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Links>
    <vt:vector size="18" baseType="variant">
      <vt:variant>
        <vt:i4>2424860</vt:i4>
      </vt:variant>
      <vt:variant>
        <vt:i4>6</vt:i4>
      </vt:variant>
      <vt:variant>
        <vt:i4>0</vt:i4>
      </vt:variant>
      <vt:variant>
        <vt:i4>5</vt:i4>
      </vt:variant>
      <vt:variant>
        <vt:lpwstr>mailto:Housing@northofyne-ca.gov.uk</vt:lpwstr>
      </vt:variant>
      <vt:variant>
        <vt:lpwstr/>
      </vt:variant>
      <vt:variant>
        <vt:i4>1572926</vt:i4>
      </vt:variant>
      <vt:variant>
        <vt:i4>3</vt:i4>
      </vt:variant>
      <vt:variant>
        <vt:i4>0</vt:i4>
      </vt:variant>
      <vt:variant>
        <vt:i4>5</vt:i4>
      </vt:variant>
      <vt:variant>
        <vt:lpwstr>mailto:Housing@northoftyne-ca.gov.uk</vt:lpwstr>
      </vt:variant>
      <vt:variant>
        <vt:lpwstr/>
      </vt:variant>
      <vt:variant>
        <vt:i4>1572926</vt:i4>
      </vt:variant>
      <vt:variant>
        <vt:i4>0</vt:i4>
      </vt:variant>
      <vt:variant>
        <vt:i4>0</vt:i4>
      </vt:variant>
      <vt:variant>
        <vt:i4>5</vt:i4>
      </vt:variant>
      <vt:variant>
        <vt:lpwstr>mailto:Housing@northoftyne-ca.gov.uk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Rebecca (North Of Tyne)</dc:creator>
  <cp:keywords/>
  <dc:description/>
  <cp:lastModifiedBy>Rebecca</cp:lastModifiedBy>
  <cp:revision>346</cp:revision>
  <dcterms:created xsi:type="dcterms:W3CDTF">2021-08-19T09:08:00Z</dcterms:created>
  <dcterms:modified xsi:type="dcterms:W3CDTF">2021-09-09T16:49:00Z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0x010100B15C5E0D666793478C7B9DAFD5815059</vt:lpwstr>
  </property>
</Properties>
</file>