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2B3" w14:textId="4D839402" w:rsidR="00A71F7B" w:rsidRDefault="00A71F7B" w:rsidP="00A71F7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63A3F60" w14:textId="5A5F4ED7" w:rsidR="00A71F7B" w:rsidRDefault="00A71F7B" w:rsidP="00A71F7B">
      <w:pPr>
        <w:pStyle w:val="paragraph"/>
        <w:spacing w:before="0" w:beforeAutospacing="0" w:after="0" w:afterAutospacing="0"/>
        <w:jc w:val="both"/>
        <w:textAlignment w:val="baseline"/>
        <w:rPr>
          <w:rFonts w:ascii="Segoe UI" w:hAnsi="Segoe UI" w:cs="Segoe UI"/>
          <w:sz w:val="18"/>
          <w:szCs w:val="18"/>
        </w:rPr>
      </w:pPr>
      <w:r w:rsidRPr="00A71F7B">
        <w:rPr>
          <w:rStyle w:val="eop"/>
          <w:rFonts w:ascii="Arial" w:hAnsi="Arial" w:cs="Arial"/>
          <w:noProof/>
          <w:sz w:val="22"/>
          <w:szCs w:val="22"/>
        </w:rPr>
        <mc:AlternateContent>
          <mc:Choice Requires="wps">
            <w:drawing>
              <wp:anchor distT="45720" distB="45720" distL="114300" distR="114300" simplePos="0" relativeHeight="251661312" behindDoc="0" locked="0" layoutInCell="1" allowOverlap="1" wp14:anchorId="15607C2E" wp14:editId="092ABCF4">
                <wp:simplePos x="0" y="0"/>
                <wp:positionH relativeFrom="column">
                  <wp:posOffset>1721485</wp:posOffset>
                </wp:positionH>
                <wp:positionV relativeFrom="paragraph">
                  <wp:posOffset>183515</wp:posOffset>
                </wp:positionV>
                <wp:extent cx="4025265" cy="756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756285"/>
                        </a:xfrm>
                        <a:prstGeom prst="rect">
                          <a:avLst/>
                        </a:prstGeom>
                        <a:solidFill>
                          <a:srgbClr val="FFFFFF"/>
                        </a:solidFill>
                        <a:ln w="9525">
                          <a:noFill/>
                          <a:miter lim="800000"/>
                          <a:headEnd/>
                          <a:tailEnd/>
                        </a:ln>
                      </wps:spPr>
                      <wps:txbx>
                        <w:txbxContent>
                          <w:p w14:paraId="06F85B08" w14:textId="77777777" w:rsidR="00700C49" w:rsidRPr="00700C49" w:rsidRDefault="00700C49" w:rsidP="00700C49">
                            <w:pPr>
                              <w:spacing w:after="0" w:line="240" w:lineRule="auto"/>
                              <w:rPr>
                                <w:rFonts w:ascii="Arial" w:hAnsi="Arial" w:cs="Arial"/>
                                <w:b/>
                                <w:bCs/>
                                <w:sz w:val="36"/>
                                <w:szCs w:val="36"/>
                              </w:rPr>
                            </w:pPr>
                            <w:r w:rsidRPr="00700C49">
                              <w:rPr>
                                <w:rFonts w:ascii="Arial" w:hAnsi="Arial" w:cs="Arial"/>
                                <w:b/>
                                <w:bCs/>
                                <w:sz w:val="36"/>
                                <w:szCs w:val="36"/>
                              </w:rPr>
                              <w:t>Kickstart Gateway – Core Offer: Call for Proposals</w:t>
                            </w:r>
                          </w:p>
                          <w:p w14:paraId="41C13B09" w14:textId="57F90316" w:rsidR="00700C49" w:rsidRPr="00270891" w:rsidRDefault="00700C49">
                            <w:pPr>
                              <w:rPr>
                                <w:rFonts w:ascii="Arial" w:hAnsi="Arial" w:cs="Arial"/>
                                <w:b/>
                                <w:bC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7C2E" id="_x0000_t202" coordsize="21600,21600" o:spt="202" path="m,l,21600r21600,l21600,xe">
                <v:stroke joinstyle="miter"/>
                <v:path gradientshapeok="t" o:connecttype="rect"/>
              </v:shapetype>
              <v:shape id="Text Box 2" o:spid="_x0000_s1026" type="#_x0000_t202" style="position:absolute;left:0;text-align:left;margin-left:135.55pt;margin-top:14.45pt;width:316.95pt;height:5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V8IQIAAB0EAAAOAAAAZHJzL2Uyb0RvYy54bWysU8GO2yAQvVfqPyDujR0rTrJWnNU221SV&#10;tttKu/0AgnGMCgwFEjv9+g44m03bW1UOiGFmHm/eDKvbQStyFM5LMDWdTnJKhOHQSLOv6bfn7bsl&#10;JT4w0zAFRtT0JDy9Xb99s+ptJQroQDXCEQQxvuptTbsQbJVlnndCMz8BKww6W3CaBTTdPmsc6xFd&#10;q6zI83nWg2usAy68x9v70UnXCb9tBQ9f2taLQFRNkVtIu0v7Lu7ZesWqvWO2k/xMg/0DC82kwUcv&#10;UPcsMHJw8i8oLbkDD22YcNAZtK3kItWA1UzzP6p56pgVqRYUx9uLTP7/wfLH41dHZFPTYrqgxDCN&#10;TXoWQyDvYSBF1Ke3vsKwJ4uBYcBr7HOq1dsH4N89MbDpmNmLO+eg7wRrkN80ZmZXqSOOjyC7/jM0&#10;+Aw7BEhAQ+t0FA/lIIiOfTpdehOpcLyc5UVZzEtKOPoW5bxYlukJVr1kW+fDRwGaxENNHfY+obPj&#10;gw+RDateQuJjHpRstlKpZLj9bqMcOTKck21aZ/TfwpQhfU1vyqJMyAZifhohLQPOsZK6pss8rpjO&#10;qqjGB9Okc2BSjWdkosxZnqjIqE0YdgMGRs120JxQKAfjvOL/wkMH7iclPc5qTf2PA3OCEvXJoNg3&#10;09ksDncyZuWiQMNde3bXHmY4QtU0UDIeNyF9iMjXwB02pZVJr1cmZ644g0nG83+JQ35tp6jXX73+&#10;BQAA//8DAFBLAwQUAAYACAAAACEAu3pfXN4AAAAKAQAADwAAAGRycy9kb3ducmV2LnhtbEyPy07D&#10;MBBF90j8gzWV2CDqpGqbB3EqQAKx7eMDnHiaRI3HUew26d8zrGA3ozm6c26xm20vbjj6zpGCeBmB&#10;QKqd6ahRcDp+vqQgfNBkdO8IFdzRw658fCh0btxEe7wdQiM4hHyuFbQhDLmUvm7Rar90AxLfzm60&#10;OvA6NtKMeuJw28tVFG2l1R3xh1YP+NFifTlcrYLz9/S8yabqK5yS/Xr7rrukcnelnhbz2yuIgHP4&#10;g+FXn9WhZKfKXcl40StYJXHMKA9pBoKBLNpwuYrJdRqBLAv5v0L5AwAA//8DAFBLAQItABQABgAI&#10;AAAAIQC2gziS/gAAAOEBAAATAAAAAAAAAAAAAAAAAAAAAABbQ29udGVudF9UeXBlc10ueG1sUEsB&#10;Ai0AFAAGAAgAAAAhADj9If/WAAAAlAEAAAsAAAAAAAAAAAAAAAAALwEAAF9yZWxzLy5yZWxzUEsB&#10;Ai0AFAAGAAgAAAAhAHfWdXwhAgAAHQQAAA4AAAAAAAAAAAAAAAAALgIAAGRycy9lMm9Eb2MueG1s&#10;UEsBAi0AFAAGAAgAAAAhALt6X1zeAAAACgEAAA8AAAAAAAAAAAAAAAAAewQAAGRycy9kb3ducmV2&#10;LnhtbFBLBQYAAAAABAAEAPMAAACGBQAAAAA=&#10;" stroked="f">
                <v:textbox>
                  <w:txbxContent>
                    <w:p w14:paraId="06F85B08" w14:textId="77777777" w:rsidR="00700C49" w:rsidRPr="00700C49" w:rsidRDefault="00700C49" w:rsidP="00700C49">
                      <w:pPr>
                        <w:spacing w:after="0" w:line="240" w:lineRule="auto"/>
                        <w:rPr>
                          <w:rFonts w:ascii="Arial" w:hAnsi="Arial" w:cs="Arial"/>
                          <w:b/>
                          <w:bCs/>
                          <w:sz w:val="36"/>
                          <w:szCs w:val="36"/>
                        </w:rPr>
                      </w:pPr>
                      <w:r w:rsidRPr="00700C49">
                        <w:rPr>
                          <w:rFonts w:ascii="Arial" w:hAnsi="Arial" w:cs="Arial"/>
                          <w:b/>
                          <w:bCs/>
                          <w:sz w:val="36"/>
                          <w:szCs w:val="36"/>
                        </w:rPr>
                        <w:t>Kickstart Gateway – Core Offer: Call for Proposals</w:t>
                      </w:r>
                    </w:p>
                    <w:p w14:paraId="41C13B09" w14:textId="57F90316" w:rsidR="00700C49" w:rsidRPr="00270891" w:rsidRDefault="00700C49">
                      <w:pPr>
                        <w:rPr>
                          <w:rFonts w:ascii="Arial" w:hAnsi="Arial" w:cs="Arial"/>
                          <w:b/>
                          <w:bCs/>
                          <w:sz w:val="40"/>
                          <w:szCs w:val="40"/>
                        </w:rPr>
                      </w:pPr>
                    </w:p>
                  </w:txbxContent>
                </v:textbox>
                <w10:wrap type="square"/>
              </v:shape>
            </w:pict>
          </mc:Fallback>
        </mc:AlternateContent>
      </w:r>
      <w:r>
        <w:rPr>
          <w:rFonts w:ascii="Batang" w:eastAsia="Batang" w:hAnsi="Batang"/>
          <w:b/>
          <w:noProof/>
          <w:sz w:val="20"/>
          <w:szCs w:val="22"/>
        </w:rPr>
        <w:drawing>
          <wp:inline distT="0" distB="0" distL="0" distR="0" wp14:anchorId="03AA9D48" wp14:editId="7D45E9A5">
            <wp:extent cx="926275" cy="93485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452" cy="938058"/>
                    </a:xfrm>
                    <a:prstGeom prst="rect">
                      <a:avLst/>
                    </a:prstGeom>
                    <a:noFill/>
                    <a:ln>
                      <a:noFill/>
                    </a:ln>
                  </pic:spPr>
                </pic:pic>
              </a:graphicData>
            </a:graphic>
          </wp:inline>
        </w:drawing>
      </w:r>
      <w:r>
        <w:rPr>
          <w:rStyle w:val="eop"/>
          <w:rFonts w:ascii="Arial" w:hAnsi="Arial" w:cs="Arial"/>
          <w:sz w:val="22"/>
          <w:szCs w:val="22"/>
        </w:rPr>
        <w:t> </w:t>
      </w:r>
    </w:p>
    <w:p w14:paraId="2208BA1D" w14:textId="0266F112" w:rsidR="00A71F7B" w:rsidRPr="00A71F7B" w:rsidRDefault="00A71F7B" w:rsidP="00A71F7B">
      <w:pPr>
        <w:pStyle w:val="paragraph"/>
        <w:spacing w:before="0" w:beforeAutospacing="0" w:after="0" w:afterAutospacing="0"/>
        <w:ind w:left="3675"/>
        <w:jc w:val="both"/>
        <w:textAlignment w:val="baseline"/>
        <w:rPr>
          <w:rFonts w:ascii="Segoe UI" w:hAnsi="Segoe UI" w:cs="Segoe UI"/>
          <w:sz w:val="18"/>
          <w:szCs w:val="18"/>
        </w:rPr>
      </w:pPr>
      <w:r>
        <w:rPr>
          <w:rStyle w:val="eop"/>
          <w:rFonts w:ascii="Arial" w:hAnsi="Arial" w:cs="Arial"/>
          <w:sz w:val="22"/>
          <w:szCs w:val="22"/>
        </w:rPr>
        <w:t> </w:t>
      </w:r>
    </w:p>
    <w:p w14:paraId="3DDBA21E" w14:textId="7C247CF2" w:rsidR="009D5A8B" w:rsidRDefault="009D5A8B" w:rsidP="00A71F7B">
      <w:pPr>
        <w:spacing w:after="0" w:line="240" w:lineRule="auto"/>
        <w:jc w:val="both"/>
        <w:rPr>
          <w:rFonts w:ascii="Arial" w:eastAsia="Batang" w:hAnsi="Arial" w:cs="Arial"/>
          <w:sz w:val="24"/>
          <w:szCs w:val="24"/>
        </w:rPr>
      </w:pPr>
    </w:p>
    <w:p w14:paraId="67B466CE"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Introduction</w:t>
      </w:r>
    </w:p>
    <w:p w14:paraId="0ED8D597" w14:textId="77777777" w:rsidR="00700C49" w:rsidRPr="00AA6889" w:rsidRDefault="00700C49" w:rsidP="00700C49">
      <w:pPr>
        <w:spacing w:after="0" w:line="240" w:lineRule="auto"/>
        <w:rPr>
          <w:rFonts w:ascii="Arial" w:hAnsi="Arial" w:cs="Arial"/>
        </w:rPr>
      </w:pPr>
      <w:r w:rsidRPr="00AA6889">
        <w:rPr>
          <w:rFonts w:ascii="Arial" w:hAnsi="Arial" w:cs="Arial"/>
        </w:rPr>
        <w:t xml:space="preserve">The purpose of this call definition document is to provide potential applicants with the </w:t>
      </w:r>
    </w:p>
    <w:p w14:paraId="2F86B2C9" w14:textId="77777777" w:rsidR="00700C49" w:rsidRPr="00AA6889" w:rsidRDefault="00700C49" w:rsidP="00700C49">
      <w:pPr>
        <w:spacing w:after="0" w:line="240" w:lineRule="auto"/>
        <w:rPr>
          <w:rFonts w:ascii="Arial" w:hAnsi="Arial" w:cs="Arial"/>
        </w:rPr>
      </w:pPr>
      <w:r w:rsidRPr="00AA6889">
        <w:rPr>
          <w:rFonts w:ascii="Arial" w:hAnsi="Arial" w:cs="Arial"/>
        </w:rPr>
        <w:t>information needed to apply to become the NTCA’s Kickstart Core Offer Delivery Partner. It is expected that a preferred delivery organisation will be appointed following this single stage application process.</w:t>
      </w:r>
    </w:p>
    <w:p w14:paraId="5D8593F2" w14:textId="77777777" w:rsidR="00700C49" w:rsidRPr="00AA6889" w:rsidRDefault="00700C49" w:rsidP="00700C49">
      <w:pPr>
        <w:spacing w:after="0" w:line="240" w:lineRule="auto"/>
        <w:rPr>
          <w:rFonts w:ascii="Arial" w:hAnsi="Arial" w:cs="Arial"/>
        </w:rPr>
      </w:pPr>
    </w:p>
    <w:p w14:paraId="68899D54" w14:textId="77777777" w:rsidR="00700C49" w:rsidRPr="00AA6889" w:rsidRDefault="00700C49" w:rsidP="00700C49">
      <w:pPr>
        <w:spacing w:after="0" w:line="240" w:lineRule="auto"/>
        <w:rPr>
          <w:rFonts w:ascii="Arial" w:hAnsi="Arial" w:cs="Arial"/>
        </w:rPr>
      </w:pPr>
      <w:r w:rsidRPr="00AA6889">
        <w:rPr>
          <w:rFonts w:ascii="Arial" w:hAnsi="Arial" w:cs="Arial"/>
          <w:color w:val="000000"/>
          <w:shd w:val="clear" w:color="auto" w:fill="FFFFFF"/>
        </w:rPr>
        <w:t>T</w:t>
      </w:r>
      <w:r w:rsidRPr="00AA6889">
        <w:rPr>
          <w:rFonts w:ascii="Arial" w:hAnsi="Arial" w:cs="Arial"/>
        </w:rPr>
        <w:t xml:space="preserve">his document sets out the parameters for the Call and explains the application process, </w:t>
      </w:r>
    </w:p>
    <w:p w14:paraId="0265875F" w14:textId="77777777" w:rsidR="00700C49" w:rsidRPr="00AA6889" w:rsidRDefault="00700C49" w:rsidP="00700C49">
      <w:pPr>
        <w:spacing w:after="0" w:line="240" w:lineRule="auto"/>
        <w:rPr>
          <w:rFonts w:ascii="Arial" w:hAnsi="Arial" w:cs="Arial"/>
        </w:rPr>
      </w:pPr>
      <w:r w:rsidRPr="00AA6889">
        <w:rPr>
          <w:rFonts w:ascii="Arial" w:hAnsi="Arial" w:cs="Arial"/>
        </w:rPr>
        <w:t>applicant eligibility conditions and the indicative timetable.</w:t>
      </w:r>
    </w:p>
    <w:p w14:paraId="0C06F18D" w14:textId="77777777" w:rsidR="00700C49" w:rsidRPr="00AA6889" w:rsidRDefault="00700C49" w:rsidP="00700C49">
      <w:pPr>
        <w:spacing w:after="0" w:line="240" w:lineRule="auto"/>
        <w:rPr>
          <w:rFonts w:ascii="Arial" w:hAnsi="Arial" w:cs="Arial"/>
        </w:rPr>
      </w:pPr>
    </w:p>
    <w:p w14:paraId="016D5DE2" w14:textId="77777777" w:rsidR="00700C49" w:rsidRPr="00AA6889" w:rsidRDefault="00700C49" w:rsidP="00700C49">
      <w:pPr>
        <w:spacing w:after="0" w:line="240" w:lineRule="auto"/>
        <w:rPr>
          <w:rFonts w:ascii="Arial" w:hAnsi="Arial" w:cs="Arial"/>
        </w:rPr>
      </w:pPr>
      <w:r w:rsidRPr="00AA6889">
        <w:rPr>
          <w:rFonts w:ascii="Arial" w:hAnsi="Arial" w:cs="Arial"/>
        </w:rPr>
        <w:t>This Call has been launched by North of Tyne Combined Authority (NTCA) to support our role as a Kickstart Gateway.</w:t>
      </w:r>
    </w:p>
    <w:p w14:paraId="5BB75F49" w14:textId="77777777" w:rsidR="00700C49" w:rsidRPr="00AA6889" w:rsidRDefault="00700C49" w:rsidP="00700C49">
      <w:pPr>
        <w:spacing w:after="0" w:line="240" w:lineRule="auto"/>
        <w:rPr>
          <w:rFonts w:ascii="Arial" w:hAnsi="Arial" w:cs="Arial"/>
        </w:rPr>
      </w:pPr>
    </w:p>
    <w:p w14:paraId="24CF6D4F"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Background and Strategic Context</w:t>
      </w:r>
    </w:p>
    <w:p w14:paraId="44A13C6D"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In July 2</w:t>
      </w:r>
      <w:r w:rsidRPr="00AA6889">
        <w:rPr>
          <w:rFonts w:ascii="Arial" w:hAnsi="Arial" w:cs="Arial"/>
          <w:color w:val="000000"/>
          <w:shd w:val="clear" w:color="auto" w:fill="FFFFFF"/>
        </w:rPr>
        <w:t xml:space="preserve">020 </w:t>
      </w:r>
      <w:r w:rsidRPr="00AA6889">
        <w:rPr>
          <w:rFonts w:ascii="Arial" w:hAnsi="Arial" w:cs="Arial"/>
          <w:color w:val="000000"/>
          <w:shd w:val="clear" w:color="auto" w:fill="FFFFFF"/>
          <w:lang w:eastAsia="en-GB"/>
        </w:rPr>
        <w:t xml:space="preserve">the Chancellor announced a ‘Plan for Jobs’ the second part of a three-phase </w:t>
      </w:r>
    </w:p>
    <w:p w14:paraId="7897FB6F"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national approach to secure the UK’s economic recovery from coronavirus. These measures are designed to help protect jobs in the longer term and specifically focus on supporting </w:t>
      </w:r>
    </w:p>
    <w:p w14:paraId="7995C95B"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young people including through the Kickstart Scheme, investment in Apprenticeships and Traineeships. </w:t>
      </w:r>
    </w:p>
    <w:p w14:paraId="025AA7F7" w14:textId="77777777" w:rsidR="00700C49" w:rsidRPr="00AA6889" w:rsidRDefault="00700C49" w:rsidP="00700C49">
      <w:pPr>
        <w:spacing w:after="0" w:line="240" w:lineRule="auto"/>
        <w:rPr>
          <w:rFonts w:ascii="Arial" w:hAnsi="Arial" w:cs="Arial"/>
        </w:rPr>
      </w:pPr>
    </w:p>
    <w:p w14:paraId="6AEA649A"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The national Kickstart Scheme provides funding to create new job placements for 16 to 24-</w:t>
      </w:r>
    </w:p>
    <w:p w14:paraId="3D2258CA"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year olds on Universal Credit. Employers of all sizes can apply for funding which covers:</w:t>
      </w:r>
    </w:p>
    <w:p w14:paraId="69B51D10"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 </w:t>
      </w:r>
    </w:p>
    <w:p w14:paraId="6428ED4A" w14:textId="77777777" w:rsidR="00700C49" w:rsidRPr="00AA6889" w:rsidRDefault="00700C49" w:rsidP="00700C49">
      <w:pPr>
        <w:numPr>
          <w:ilvl w:val="0"/>
          <w:numId w:val="36"/>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100% of the National Minimum Wage (or the National Living Wage depending on the age of the participant) for 25 hours per week for a total of 6 months </w:t>
      </w:r>
    </w:p>
    <w:p w14:paraId="1124211A" w14:textId="77777777" w:rsidR="00700C49" w:rsidRPr="00AA6889" w:rsidRDefault="00700C49" w:rsidP="00700C49">
      <w:pPr>
        <w:numPr>
          <w:ilvl w:val="0"/>
          <w:numId w:val="36"/>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associated employer National Insurance contributions employer minimum automatic </w:t>
      </w:r>
    </w:p>
    <w:p w14:paraId="3216A788" w14:textId="77777777" w:rsidR="00700C49" w:rsidRPr="00AA6889" w:rsidRDefault="00700C49" w:rsidP="00700C49">
      <w:pPr>
        <w:numPr>
          <w:ilvl w:val="0"/>
          <w:numId w:val="36"/>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enrolment contributions </w:t>
      </w:r>
    </w:p>
    <w:p w14:paraId="2A25D204" w14:textId="77777777" w:rsidR="00700C49" w:rsidRPr="00AA6889" w:rsidRDefault="00700C49" w:rsidP="00700C49">
      <w:pPr>
        <w:autoSpaceDE w:val="0"/>
        <w:autoSpaceDN w:val="0"/>
        <w:adjustRightInd w:val="0"/>
        <w:spacing w:after="0" w:line="240" w:lineRule="auto"/>
        <w:rPr>
          <w:rFonts w:ascii="Arial" w:hAnsi="Arial" w:cs="Arial"/>
          <w:color w:val="000000"/>
          <w:shd w:val="clear" w:color="auto" w:fill="FFFFFF"/>
          <w:lang w:eastAsia="en-GB"/>
        </w:rPr>
      </w:pPr>
    </w:p>
    <w:p w14:paraId="07F6B37B" w14:textId="77777777" w:rsidR="00700C49" w:rsidRPr="00AA6889" w:rsidRDefault="00700C49" w:rsidP="00700C49">
      <w:pPr>
        <w:spacing w:after="0" w:line="240" w:lineRule="auto"/>
        <w:rPr>
          <w:rFonts w:ascii="Arial" w:hAnsi="Arial" w:cs="Arial"/>
        </w:rPr>
      </w:pPr>
      <w:r w:rsidRPr="00AA6889">
        <w:rPr>
          <w:rFonts w:ascii="Arial" w:hAnsi="Arial" w:cs="Arial"/>
        </w:rPr>
        <w:t xml:space="preserve">NTCA’s ambition for Kickstart is to work with employers to create good quality placements in </w:t>
      </w:r>
    </w:p>
    <w:p w14:paraId="1E5028DD" w14:textId="77777777" w:rsidR="00700C49" w:rsidRPr="00AA6889" w:rsidRDefault="00700C49" w:rsidP="00700C49">
      <w:pPr>
        <w:spacing w:after="0" w:line="240" w:lineRule="auto"/>
        <w:rPr>
          <w:rFonts w:ascii="Arial" w:hAnsi="Arial" w:cs="Arial"/>
        </w:rPr>
      </w:pPr>
      <w:r w:rsidRPr="00AA6889">
        <w:rPr>
          <w:rFonts w:ascii="Arial" w:hAnsi="Arial" w:cs="Arial"/>
        </w:rPr>
        <w:t xml:space="preserve">line with the expectations of the NTCA Good Work Pledge. Ensuring that both the young </w:t>
      </w:r>
    </w:p>
    <w:p w14:paraId="043C5C16" w14:textId="77777777" w:rsidR="00700C49" w:rsidRPr="00AA6889" w:rsidRDefault="00700C49" w:rsidP="00700C49">
      <w:pPr>
        <w:spacing w:after="0" w:line="240" w:lineRule="auto"/>
        <w:rPr>
          <w:rFonts w:ascii="Arial" w:hAnsi="Arial" w:cs="Arial"/>
        </w:rPr>
      </w:pPr>
      <w:r w:rsidRPr="00AA6889">
        <w:rPr>
          <w:rFonts w:ascii="Arial" w:hAnsi="Arial" w:cs="Arial"/>
        </w:rPr>
        <w:t xml:space="preserve">person and the employer gain a positive experience from Kickstart is the core objective of our approach. </w:t>
      </w:r>
    </w:p>
    <w:p w14:paraId="1AA57B81" w14:textId="77777777" w:rsidR="00700C49" w:rsidRPr="00AA6889" w:rsidRDefault="00700C49" w:rsidP="00700C49">
      <w:pPr>
        <w:spacing w:after="0" w:line="240" w:lineRule="auto"/>
        <w:rPr>
          <w:rFonts w:ascii="Arial" w:hAnsi="Arial" w:cs="Arial"/>
        </w:rPr>
      </w:pPr>
    </w:p>
    <w:p w14:paraId="597FD097"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NTCA’s Kickstart programme is now live, with a cohort of placements agreed and young </w:t>
      </w:r>
    </w:p>
    <w:p w14:paraId="17720AB3"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people starting in the roles we have created. Our delivery is iterative, and we are continuing </w:t>
      </w:r>
    </w:p>
    <w:p w14:paraId="0D112057"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to adjust our approach and processes in line with the evolving role of a Gateway, as set by </w:t>
      </w:r>
    </w:p>
    <w:p w14:paraId="65125CA1"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Department for Work and Pensions (DWP). We are using our experience of delivery and </w:t>
      </w:r>
    </w:p>
    <w:p w14:paraId="0C788115"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feedback from stakeholders to inform our resourcing needs. In addition, we have undertaken </w:t>
      </w:r>
    </w:p>
    <w:p w14:paraId="05FCA806" w14:textId="77777777" w:rsidR="00700C49" w:rsidRPr="00AA6889" w:rsidRDefault="00700C49" w:rsidP="00700C49">
      <w:pPr>
        <w:spacing w:after="0" w:line="240" w:lineRule="auto"/>
        <w:ind w:left="720" w:hanging="720"/>
        <w:textAlignment w:val="baseline"/>
        <w:rPr>
          <w:rFonts w:ascii="Arial" w:hAnsi="Arial" w:cs="Arial"/>
        </w:rPr>
      </w:pPr>
      <w:r w:rsidRPr="00AA6889">
        <w:rPr>
          <w:rFonts w:ascii="Arial" w:hAnsi="Arial" w:cs="Arial"/>
        </w:rPr>
        <w:t xml:space="preserve">some modelling to understand potential future resource requirements to ensure NTCA’s </w:t>
      </w:r>
    </w:p>
    <w:p w14:paraId="48C693CB" w14:textId="77777777" w:rsidR="00700C49" w:rsidRPr="00AA6889" w:rsidRDefault="00700C49" w:rsidP="00700C49">
      <w:pPr>
        <w:spacing w:after="0" w:line="240" w:lineRule="auto"/>
        <w:rPr>
          <w:rFonts w:ascii="Arial" w:hAnsi="Arial" w:cs="Arial"/>
        </w:rPr>
      </w:pPr>
      <w:r w:rsidRPr="00AA6889">
        <w:rPr>
          <w:rFonts w:ascii="Arial" w:hAnsi="Arial" w:cs="Arial"/>
        </w:rPr>
        <w:t xml:space="preserve">Gateway is effectively resourced and able to play an active and scalable role in our economic recovery. </w:t>
      </w:r>
    </w:p>
    <w:p w14:paraId="0520B3A2" w14:textId="77777777" w:rsidR="00700C49" w:rsidRPr="00AA6889" w:rsidRDefault="00700C49" w:rsidP="00700C49">
      <w:pPr>
        <w:spacing w:after="0" w:line="240" w:lineRule="auto"/>
        <w:rPr>
          <w:rFonts w:ascii="Arial" w:hAnsi="Arial" w:cs="Arial"/>
          <w:color w:val="FF0000"/>
        </w:rPr>
      </w:pPr>
    </w:p>
    <w:p w14:paraId="5297FC02"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 xml:space="preserve">Delivery Requirement </w:t>
      </w:r>
    </w:p>
    <w:p w14:paraId="744D3D96" w14:textId="7D27D9A6" w:rsidR="00700C49" w:rsidRPr="00AA6889" w:rsidRDefault="00700C49" w:rsidP="00700C49">
      <w:pPr>
        <w:spacing w:after="0" w:line="240" w:lineRule="auto"/>
        <w:rPr>
          <w:rFonts w:ascii="Arial" w:hAnsi="Arial" w:cs="Arial"/>
        </w:rPr>
      </w:pPr>
      <w:r w:rsidRPr="00AA6889">
        <w:rPr>
          <w:rFonts w:ascii="Arial" w:hAnsi="Arial" w:cs="Arial"/>
        </w:rPr>
        <w:t xml:space="preserve">Fundamental to our role as Kickstart Gateway is ensuring that that the </w:t>
      </w:r>
      <w:proofErr w:type="gramStart"/>
      <w:r w:rsidRPr="00AA6889">
        <w:rPr>
          <w:rFonts w:ascii="Arial" w:hAnsi="Arial" w:cs="Arial"/>
        </w:rPr>
        <w:t>employers</w:t>
      </w:r>
      <w:proofErr w:type="gramEnd"/>
      <w:r w:rsidRPr="00AA6889">
        <w:rPr>
          <w:rFonts w:ascii="Arial" w:hAnsi="Arial" w:cs="Arial"/>
        </w:rPr>
        <w:t xml:space="preserve"> we </w:t>
      </w:r>
    </w:p>
    <w:p w14:paraId="5240A3D8" w14:textId="77777777" w:rsidR="00700C49" w:rsidRPr="00AA6889" w:rsidRDefault="00700C49" w:rsidP="00700C49">
      <w:pPr>
        <w:spacing w:after="0" w:line="240" w:lineRule="auto"/>
        <w:rPr>
          <w:rFonts w:ascii="Arial" w:hAnsi="Arial" w:cs="Arial"/>
        </w:rPr>
      </w:pPr>
      <w:r w:rsidRPr="00AA6889">
        <w:rPr>
          <w:rFonts w:ascii="Arial" w:hAnsi="Arial" w:cs="Arial"/>
        </w:rPr>
        <w:t xml:space="preserve">engage with create good quality placements and that the young people benefiting from them gain a positive outcome from their placement. </w:t>
      </w:r>
    </w:p>
    <w:p w14:paraId="14DA7528" w14:textId="77777777" w:rsidR="00700C49" w:rsidRPr="00AA6889" w:rsidRDefault="00700C49" w:rsidP="00700C49">
      <w:pPr>
        <w:spacing w:after="0" w:line="240" w:lineRule="auto"/>
        <w:rPr>
          <w:rFonts w:ascii="Arial" w:hAnsi="Arial" w:cs="Arial"/>
        </w:rPr>
      </w:pPr>
    </w:p>
    <w:p w14:paraId="1BCD3149" w14:textId="77777777" w:rsidR="00700C49" w:rsidRPr="00AA6889" w:rsidRDefault="00700C49" w:rsidP="00700C49">
      <w:pPr>
        <w:spacing w:after="0" w:line="240" w:lineRule="auto"/>
        <w:rPr>
          <w:rFonts w:ascii="Arial" w:hAnsi="Arial" w:cs="Arial"/>
        </w:rPr>
      </w:pPr>
      <w:r w:rsidRPr="00AA6889">
        <w:rPr>
          <w:rFonts w:ascii="Arial" w:hAnsi="Arial" w:cs="Arial"/>
        </w:rPr>
        <w:t>This Call seeks to bring forward innovative proposals for an organisation to</w:t>
      </w:r>
      <w:r w:rsidRPr="00AA6889">
        <w:rPr>
          <w:rFonts w:ascii="Arial" w:hAnsi="Arial" w:cs="Arial"/>
          <w:b/>
          <w:bCs/>
        </w:rPr>
        <w:t xml:space="preserve"> deliver</w:t>
      </w:r>
      <w:r w:rsidRPr="00AA6889">
        <w:rPr>
          <w:rFonts w:ascii="Arial" w:hAnsi="Arial" w:cs="Arial"/>
        </w:rPr>
        <w:t xml:space="preserve"> this </w:t>
      </w:r>
      <w:r w:rsidRPr="00AA6889">
        <w:rPr>
          <w:rFonts w:ascii="Arial" w:hAnsi="Arial" w:cs="Arial"/>
          <w:b/>
          <w:bCs/>
        </w:rPr>
        <w:t>core offer</w:t>
      </w:r>
      <w:r w:rsidRPr="00AA6889">
        <w:rPr>
          <w:rFonts w:ascii="Arial" w:hAnsi="Arial" w:cs="Arial"/>
        </w:rPr>
        <w:t xml:space="preserve">. </w:t>
      </w:r>
    </w:p>
    <w:p w14:paraId="29E88860" w14:textId="77777777" w:rsidR="00700C49" w:rsidRPr="00AA6889" w:rsidRDefault="00700C49" w:rsidP="00700C49">
      <w:pPr>
        <w:spacing w:after="0" w:line="240" w:lineRule="auto"/>
        <w:rPr>
          <w:rFonts w:ascii="Arial" w:hAnsi="Arial" w:cs="Arial"/>
        </w:rPr>
      </w:pPr>
    </w:p>
    <w:p w14:paraId="58C48FF5" w14:textId="4600879D" w:rsidR="00700C49" w:rsidRPr="00AA6889" w:rsidRDefault="00700C49" w:rsidP="00700C49">
      <w:pPr>
        <w:spacing w:after="0" w:line="240" w:lineRule="auto"/>
        <w:rPr>
          <w:rFonts w:ascii="Arial" w:hAnsi="Arial" w:cs="Arial"/>
        </w:rPr>
      </w:pPr>
      <w:r w:rsidRPr="00AA6889">
        <w:rPr>
          <w:rFonts w:ascii="Arial" w:hAnsi="Arial" w:cs="Arial"/>
        </w:rPr>
        <w:t xml:space="preserve">We are seeking proposals which are based on the experience of the applicant and have deliberately not set out a prescriptive model. </w:t>
      </w:r>
      <w:r w:rsidR="007D4444" w:rsidRPr="00AA6889">
        <w:rPr>
          <w:rFonts w:ascii="Arial" w:hAnsi="Arial" w:cs="Arial"/>
        </w:rPr>
        <w:t>However w</w:t>
      </w:r>
      <w:r w:rsidRPr="00AA6889">
        <w:rPr>
          <w:rFonts w:ascii="Arial" w:hAnsi="Arial" w:cs="Arial"/>
        </w:rPr>
        <w:t>e would expect elements of the ‘core offer’ of support to have the following characteristics – though it is for the applicant to propose how they would deliver this and this will be a key part of the quality assessment of proposals.</w:t>
      </w:r>
    </w:p>
    <w:p w14:paraId="07D395FB" w14:textId="77777777" w:rsidR="00700C49" w:rsidRPr="00AA6889" w:rsidRDefault="00700C49" w:rsidP="00700C49">
      <w:pPr>
        <w:spacing w:after="0" w:line="240" w:lineRule="auto"/>
        <w:rPr>
          <w:rFonts w:ascii="Arial" w:hAnsi="Arial" w:cs="Arial"/>
        </w:rPr>
      </w:pPr>
    </w:p>
    <w:p w14:paraId="5B2D67D8" w14:textId="77777777" w:rsidR="00700C49" w:rsidRPr="00AA6889" w:rsidRDefault="00700C49" w:rsidP="00700C49">
      <w:pPr>
        <w:numPr>
          <w:ilvl w:val="0"/>
          <w:numId w:val="39"/>
        </w:numPr>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Building of effective relationships through regular interventions with young people and employers over the lifetime of the placement. </w:t>
      </w:r>
    </w:p>
    <w:p w14:paraId="77F5A301"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Brokering and facilitating additional support that maybe required where issues and gaps arise. </w:t>
      </w:r>
    </w:p>
    <w:p w14:paraId="257B5FE4"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Gathering data and insights, which will inform the ongoing development of the Kickstart scheme. </w:t>
      </w:r>
    </w:p>
    <w:p w14:paraId="091A717E"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Methods of service delivery that will reduce interruption to the young person and employers and maximise availability of timely support.</w:t>
      </w:r>
    </w:p>
    <w:p w14:paraId="5680A313"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Maintain longer term post-placement engagement should the young person request it. </w:t>
      </w:r>
    </w:p>
    <w:p w14:paraId="1FFCE180"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Link to local provision with young people both during and post placement to ensure smooth handovers, customer service and successful employment post Kickstart. </w:t>
      </w:r>
    </w:p>
    <w:p w14:paraId="4363BDEC"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Reduce the risk of performance loss and disruption caused by a young person’s possible early abandonment of opportunities by providing a mediation solution.</w:t>
      </w:r>
    </w:p>
    <w:p w14:paraId="6479D914" w14:textId="77777777" w:rsidR="00700C49" w:rsidRPr="00AA6889" w:rsidRDefault="00700C49" w:rsidP="00700C49">
      <w:pPr>
        <w:numPr>
          <w:ilvl w:val="0"/>
          <w:numId w:val="37"/>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Integrate with the NTCA team responsible for this project – forming part of an extended virtual team with regular communication and coordination. </w:t>
      </w:r>
    </w:p>
    <w:p w14:paraId="3189C602" w14:textId="77777777" w:rsidR="00700C49" w:rsidRPr="00AA6889" w:rsidRDefault="00700C49" w:rsidP="00700C49">
      <w:pPr>
        <w:spacing w:after="0" w:line="240" w:lineRule="auto"/>
        <w:rPr>
          <w:rFonts w:ascii="Arial" w:hAnsi="Arial" w:cs="Arial"/>
        </w:rPr>
      </w:pPr>
    </w:p>
    <w:p w14:paraId="0D7E0A3B" w14:textId="555725FC" w:rsidR="00700C49" w:rsidRPr="00AA6889" w:rsidRDefault="00700C49" w:rsidP="00700C49">
      <w:pPr>
        <w:spacing w:after="0" w:line="240" w:lineRule="auto"/>
        <w:rPr>
          <w:rFonts w:ascii="Arial" w:hAnsi="Arial" w:cs="Arial"/>
        </w:rPr>
      </w:pPr>
      <w:r w:rsidRPr="00AA6889">
        <w:rPr>
          <w:rFonts w:ascii="Arial" w:hAnsi="Arial" w:cs="Arial"/>
        </w:rPr>
        <w:t xml:space="preserve">We expect that this programme will be required to support up to 750 young people and </w:t>
      </w:r>
      <w:r w:rsidR="00E27304" w:rsidRPr="00AA6889">
        <w:rPr>
          <w:rFonts w:ascii="Arial" w:hAnsi="Arial" w:cs="Arial"/>
        </w:rPr>
        <w:t xml:space="preserve">up to </w:t>
      </w:r>
      <w:r w:rsidR="000647C9" w:rsidRPr="00AA6889">
        <w:rPr>
          <w:rFonts w:ascii="Arial" w:hAnsi="Arial" w:cs="Arial"/>
        </w:rPr>
        <w:t xml:space="preserve">15 employers </w:t>
      </w:r>
      <w:r w:rsidR="00E27304" w:rsidRPr="00AA6889">
        <w:rPr>
          <w:rFonts w:ascii="Arial" w:hAnsi="Arial" w:cs="Arial"/>
        </w:rPr>
        <w:t>per month - throughout</w:t>
      </w:r>
      <w:r w:rsidRPr="00AA6889">
        <w:rPr>
          <w:rFonts w:ascii="Arial" w:hAnsi="Arial" w:cs="Arial"/>
        </w:rPr>
        <w:t xml:space="preserve"> the lifetime of the Kickstart programme. </w:t>
      </w:r>
    </w:p>
    <w:p w14:paraId="375B2232" w14:textId="77777777" w:rsidR="00700C49" w:rsidRPr="00AA6889" w:rsidRDefault="00700C49" w:rsidP="00700C49">
      <w:pPr>
        <w:spacing w:after="0" w:line="240" w:lineRule="auto"/>
        <w:rPr>
          <w:rFonts w:ascii="Arial" w:hAnsi="Arial" w:cs="Arial"/>
        </w:rPr>
      </w:pPr>
    </w:p>
    <w:p w14:paraId="3E3BAACF" w14:textId="77777777" w:rsidR="00700C49" w:rsidRPr="00AA6889" w:rsidRDefault="00700C49" w:rsidP="00700C49">
      <w:pPr>
        <w:spacing w:after="0" w:line="240" w:lineRule="auto"/>
        <w:rPr>
          <w:rFonts w:ascii="Arial" w:hAnsi="Arial" w:cs="Arial"/>
        </w:rPr>
      </w:pPr>
      <w:r w:rsidRPr="00AA6889">
        <w:rPr>
          <w:rFonts w:ascii="Arial" w:hAnsi="Arial" w:cs="Arial"/>
        </w:rPr>
        <w:t xml:space="preserve">Delivery is expected to commence in June 2021 – where there will be an anticipated caseload of 60 young people with which to immediately engage – with capacity required to be responsive to the further rollout and scaling of the programme. </w:t>
      </w:r>
    </w:p>
    <w:p w14:paraId="1214AE74" w14:textId="77777777" w:rsidR="00700C49" w:rsidRPr="00AA6889" w:rsidRDefault="00700C49" w:rsidP="00700C49">
      <w:pPr>
        <w:spacing w:after="0" w:line="240" w:lineRule="auto"/>
        <w:rPr>
          <w:rFonts w:ascii="Arial" w:hAnsi="Arial" w:cs="Arial"/>
        </w:rPr>
      </w:pPr>
    </w:p>
    <w:p w14:paraId="3E755728" w14:textId="77777777" w:rsidR="00700C49" w:rsidRPr="00AA6889" w:rsidRDefault="00700C49" w:rsidP="00700C49">
      <w:pPr>
        <w:spacing w:after="0" w:line="240" w:lineRule="auto"/>
        <w:rPr>
          <w:rFonts w:ascii="Arial" w:hAnsi="Arial" w:cs="Arial"/>
        </w:rPr>
      </w:pPr>
      <w:r w:rsidRPr="00AA6889">
        <w:rPr>
          <w:rFonts w:ascii="Arial" w:hAnsi="Arial" w:cs="Arial"/>
        </w:rPr>
        <w:t xml:space="preserve">DWP currently anticipate that the final placements on Kickstart will be approved in December 2021 and will continue for a six-month period. </w:t>
      </w:r>
    </w:p>
    <w:p w14:paraId="4FFE4517" w14:textId="77777777" w:rsidR="00700C49" w:rsidRPr="00AA6889" w:rsidRDefault="00700C49" w:rsidP="00700C49">
      <w:pPr>
        <w:spacing w:after="0" w:line="240" w:lineRule="auto"/>
        <w:rPr>
          <w:rFonts w:ascii="Arial" w:hAnsi="Arial" w:cs="Arial"/>
        </w:rPr>
      </w:pPr>
    </w:p>
    <w:p w14:paraId="68AD64E9"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Summary of Call Parameters</w:t>
      </w:r>
    </w:p>
    <w:p w14:paraId="5F052B84" w14:textId="77777777" w:rsidR="00700C49" w:rsidRPr="00AA6889" w:rsidRDefault="00700C49" w:rsidP="00700C49">
      <w:pPr>
        <w:spacing w:after="0" w:line="240" w:lineRule="auto"/>
        <w:rPr>
          <w:rFonts w:ascii="Arial" w:hAnsi="Arial" w:cs="Arial"/>
          <w:b/>
          <w:bCs/>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677"/>
      </w:tblGrid>
      <w:tr w:rsidR="00700C49" w:rsidRPr="00AA6889" w14:paraId="08CD121E" w14:textId="77777777" w:rsidTr="00700C49">
        <w:trPr>
          <w:trHeight w:val="670"/>
        </w:trPr>
        <w:tc>
          <w:tcPr>
            <w:tcW w:w="1299" w:type="pct"/>
            <w:tcBorders>
              <w:top w:val="single" w:sz="4" w:space="0" w:color="auto"/>
              <w:left w:val="single" w:sz="4" w:space="0" w:color="auto"/>
              <w:bottom w:val="single" w:sz="4" w:space="0" w:color="auto"/>
              <w:right w:val="single" w:sz="4" w:space="0" w:color="auto"/>
            </w:tcBorders>
          </w:tcPr>
          <w:p w14:paraId="64633DDE" w14:textId="77777777" w:rsidR="00700C49" w:rsidRPr="00AA6889" w:rsidRDefault="00700C49" w:rsidP="00700C49">
            <w:pPr>
              <w:spacing w:after="0" w:line="240" w:lineRule="auto"/>
              <w:rPr>
                <w:rFonts w:ascii="Arial" w:hAnsi="Arial" w:cs="Arial"/>
                <w:b/>
                <w:bCs/>
              </w:rPr>
            </w:pPr>
            <w:bookmarkStart w:id="0" w:name="_Hlk3993158"/>
            <w:r w:rsidRPr="00AA6889">
              <w:rPr>
                <w:rFonts w:ascii="Arial" w:hAnsi="Arial" w:cs="Arial"/>
                <w:b/>
                <w:bCs/>
              </w:rPr>
              <w:t>Dates</w:t>
            </w:r>
          </w:p>
        </w:tc>
        <w:tc>
          <w:tcPr>
            <w:tcW w:w="3701" w:type="pct"/>
            <w:tcBorders>
              <w:top w:val="single" w:sz="4" w:space="0" w:color="auto"/>
              <w:left w:val="single" w:sz="4" w:space="0" w:color="auto"/>
              <w:bottom w:val="single" w:sz="4" w:space="0" w:color="auto"/>
              <w:right w:val="single" w:sz="4" w:space="0" w:color="auto"/>
            </w:tcBorders>
          </w:tcPr>
          <w:p w14:paraId="4E496276" w14:textId="77777777" w:rsidR="00700C49" w:rsidRPr="00AA6889" w:rsidRDefault="00700C49" w:rsidP="00700C49">
            <w:pPr>
              <w:spacing w:after="0" w:line="240" w:lineRule="auto"/>
              <w:rPr>
                <w:rFonts w:ascii="Arial" w:hAnsi="Arial" w:cs="Arial"/>
              </w:rPr>
            </w:pPr>
            <w:r w:rsidRPr="00AA6889">
              <w:rPr>
                <w:rFonts w:ascii="Arial" w:hAnsi="Arial" w:cs="Arial"/>
              </w:rPr>
              <w:t>The Call will be open from the 26</w:t>
            </w:r>
            <w:r w:rsidRPr="00AA6889">
              <w:rPr>
                <w:rFonts w:ascii="Arial" w:hAnsi="Arial" w:cs="Arial"/>
                <w:vertAlign w:val="superscript"/>
              </w:rPr>
              <w:t>th</w:t>
            </w:r>
            <w:r w:rsidRPr="00AA6889">
              <w:rPr>
                <w:rFonts w:ascii="Arial" w:hAnsi="Arial" w:cs="Arial"/>
              </w:rPr>
              <w:t xml:space="preserve"> April 2021 and a delivery </w:t>
            </w:r>
          </w:p>
          <w:p w14:paraId="70532986" w14:textId="77777777" w:rsidR="00700C49" w:rsidRPr="00AA6889" w:rsidRDefault="00700C49" w:rsidP="00700C49">
            <w:pPr>
              <w:spacing w:after="0" w:line="240" w:lineRule="auto"/>
              <w:rPr>
                <w:rFonts w:ascii="Arial" w:hAnsi="Arial" w:cs="Arial"/>
              </w:rPr>
            </w:pPr>
            <w:r w:rsidRPr="00AA6889">
              <w:rPr>
                <w:rFonts w:ascii="Arial" w:hAnsi="Arial" w:cs="Arial"/>
              </w:rPr>
              <w:t>organisation expected to be appointed and ready to launch by 1</w:t>
            </w:r>
            <w:r w:rsidRPr="00AA6889">
              <w:rPr>
                <w:rFonts w:ascii="Arial" w:hAnsi="Arial" w:cs="Arial"/>
                <w:vertAlign w:val="superscript"/>
              </w:rPr>
              <w:t>st</w:t>
            </w:r>
            <w:r w:rsidRPr="00AA6889">
              <w:rPr>
                <w:rFonts w:ascii="Arial" w:hAnsi="Arial" w:cs="Arial"/>
              </w:rPr>
              <w:t xml:space="preserve"> June 2021. </w:t>
            </w:r>
          </w:p>
          <w:p w14:paraId="416CDFA8" w14:textId="77777777" w:rsidR="00700C49" w:rsidRPr="00AA6889" w:rsidRDefault="00700C49" w:rsidP="00700C49">
            <w:pPr>
              <w:spacing w:after="0" w:line="240" w:lineRule="auto"/>
              <w:rPr>
                <w:rFonts w:ascii="Arial" w:hAnsi="Arial" w:cs="Arial"/>
              </w:rPr>
            </w:pPr>
          </w:p>
        </w:tc>
      </w:tr>
      <w:tr w:rsidR="00700C49" w:rsidRPr="00AA6889" w14:paraId="57A3C003" w14:textId="77777777" w:rsidTr="00700C49">
        <w:trPr>
          <w:trHeight w:val="670"/>
        </w:trPr>
        <w:tc>
          <w:tcPr>
            <w:tcW w:w="1299" w:type="pct"/>
            <w:tcBorders>
              <w:top w:val="single" w:sz="4" w:space="0" w:color="auto"/>
              <w:left w:val="single" w:sz="4" w:space="0" w:color="auto"/>
              <w:bottom w:val="single" w:sz="4" w:space="0" w:color="auto"/>
              <w:right w:val="single" w:sz="4" w:space="0" w:color="auto"/>
            </w:tcBorders>
            <w:hideMark/>
          </w:tcPr>
          <w:p w14:paraId="3E3CB375"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Indicative Fund </w:t>
            </w:r>
          </w:p>
          <w:p w14:paraId="39BD6FF0" w14:textId="77777777" w:rsidR="00700C49" w:rsidRPr="00AA6889" w:rsidRDefault="00700C49" w:rsidP="00700C49">
            <w:pPr>
              <w:spacing w:after="0" w:line="240" w:lineRule="auto"/>
              <w:rPr>
                <w:rFonts w:ascii="Arial" w:hAnsi="Arial" w:cs="Arial"/>
                <w:b/>
                <w:bCs/>
              </w:rPr>
            </w:pPr>
            <w:r w:rsidRPr="00AA6889">
              <w:rPr>
                <w:rFonts w:ascii="Arial" w:hAnsi="Arial" w:cs="Arial"/>
                <w:b/>
                <w:bCs/>
              </w:rPr>
              <w:t>Allocation</w:t>
            </w:r>
          </w:p>
        </w:tc>
        <w:tc>
          <w:tcPr>
            <w:tcW w:w="3701" w:type="pct"/>
            <w:tcBorders>
              <w:top w:val="single" w:sz="4" w:space="0" w:color="auto"/>
              <w:left w:val="single" w:sz="4" w:space="0" w:color="auto"/>
              <w:bottom w:val="single" w:sz="4" w:space="0" w:color="auto"/>
              <w:right w:val="single" w:sz="4" w:space="0" w:color="auto"/>
            </w:tcBorders>
            <w:hideMark/>
          </w:tcPr>
          <w:p w14:paraId="337C1B43" w14:textId="77777777" w:rsidR="00700C49" w:rsidRPr="00AA6889" w:rsidRDefault="00700C49" w:rsidP="00700C49">
            <w:pPr>
              <w:spacing w:after="0" w:line="240" w:lineRule="auto"/>
              <w:rPr>
                <w:rFonts w:ascii="Arial" w:hAnsi="Arial" w:cs="Arial"/>
              </w:rPr>
            </w:pPr>
            <w:r w:rsidRPr="00AA6889">
              <w:rPr>
                <w:rFonts w:ascii="Arial" w:hAnsi="Arial" w:cs="Arial"/>
              </w:rPr>
              <w:t>£105,000 is available and we expect to appoint a single applicant to deliver the programme. NTCA reserves the right to decrease or increase the indicative allocation or support more proposals subject to the volume and quality of proposals received.</w:t>
            </w:r>
          </w:p>
          <w:p w14:paraId="3B2EA159" w14:textId="77777777" w:rsidR="00700C49" w:rsidRPr="00AA6889" w:rsidRDefault="00700C49" w:rsidP="00700C49">
            <w:pPr>
              <w:spacing w:after="0" w:line="240" w:lineRule="auto"/>
              <w:rPr>
                <w:rFonts w:ascii="Arial" w:hAnsi="Arial" w:cs="Arial"/>
              </w:rPr>
            </w:pPr>
          </w:p>
          <w:p w14:paraId="06F09C2B" w14:textId="77777777" w:rsidR="00700C49" w:rsidRPr="00AA6889" w:rsidRDefault="00700C49" w:rsidP="00700C49">
            <w:pPr>
              <w:spacing w:after="0" w:line="240" w:lineRule="auto"/>
              <w:rPr>
                <w:rFonts w:ascii="Arial" w:hAnsi="Arial" w:cs="Arial"/>
              </w:rPr>
            </w:pPr>
          </w:p>
        </w:tc>
      </w:tr>
      <w:tr w:rsidR="00700C49" w:rsidRPr="00AA6889" w14:paraId="4438A079" w14:textId="77777777" w:rsidTr="00700C49">
        <w:trPr>
          <w:trHeight w:val="525"/>
        </w:trPr>
        <w:tc>
          <w:tcPr>
            <w:tcW w:w="1299" w:type="pct"/>
            <w:tcBorders>
              <w:top w:val="single" w:sz="4" w:space="0" w:color="auto"/>
              <w:left w:val="single" w:sz="4" w:space="0" w:color="auto"/>
              <w:bottom w:val="single" w:sz="4" w:space="0" w:color="auto"/>
              <w:right w:val="single" w:sz="4" w:space="0" w:color="auto"/>
            </w:tcBorders>
            <w:hideMark/>
          </w:tcPr>
          <w:p w14:paraId="400A1B3E"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Applications </w:t>
            </w:r>
          </w:p>
        </w:tc>
        <w:tc>
          <w:tcPr>
            <w:tcW w:w="3701" w:type="pct"/>
            <w:tcBorders>
              <w:top w:val="single" w:sz="4" w:space="0" w:color="auto"/>
              <w:left w:val="single" w:sz="4" w:space="0" w:color="auto"/>
              <w:bottom w:val="single" w:sz="4" w:space="0" w:color="auto"/>
              <w:right w:val="single" w:sz="4" w:space="0" w:color="auto"/>
            </w:tcBorders>
          </w:tcPr>
          <w:p w14:paraId="5EC3DF6E" w14:textId="77777777" w:rsidR="00700C49" w:rsidRPr="00AA6889" w:rsidRDefault="00700C49" w:rsidP="00700C49">
            <w:pPr>
              <w:spacing w:after="0" w:line="240" w:lineRule="auto"/>
              <w:rPr>
                <w:rFonts w:ascii="Arial" w:hAnsi="Arial" w:cs="Arial"/>
              </w:rPr>
            </w:pPr>
            <w:r w:rsidRPr="00AA6889">
              <w:rPr>
                <w:rFonts w:ascii="Arial" w:hAnsi="Arial" w:cs="Arial"/>
              </w:rPr>
              <w:t xml:space="preserve">Applicants are expected to submit proposals which set out clearly a proposed delivery model, underpinning rationale and expected impact. </w:t>
            </w:r>
          </w:p>
          <w:p w14:paraId="1B5F6ADC" w14:textId="77777777" w:rsidR="00700C49" w:rsidRPr="00AA6889" w:rsidRDefault="00700C49" w:rsidP="00700C49">
            <w:pPr>
              <w:spacing w:after="0" w:line="240" w:lineRule="auto"/>
              <w:rPr>
                <w:rFonts w:ascii="Arial" w:hAnsi="Arial" w:cs="Arial"/>
              </w:rPr>
            </w:pPr>
          </w:p>
          <w:p w14:paraId="4A7D4E7B" w14:textId="633187FF" w:rsidR="00700C49" w:rsidRPr="00AA6889" w:rsidRDefault="00700C49" w:rsidP="00700C49">
            <w:pPr>
              <w:spacing w:after="0" w:line="240" w:lineRule="auto"/>
              <w:rPr>
                <w:rFonts w:ascii="Arial" w:hAnsi="Arial" w:cs="Arial"/>
              </w:rPr>
            </w:pPr>
            <w:r w:rsidRPr="00AA6889">
              <w:rPr>
                <w:rFonts w:ascii="Arial" w:hAnsi="Arial" w:cs="Arial"/>
              </w:rPr>
              <w:t>While additionality is a general principle for NTCA investment, proposals should not be reliant on other sources of funding or activity funded elsewhere to be viable.</w:t>
            </w:r>
          </w:p>
        </w:tc>
      </w:tr>
      <w:tr w:rsidR="00700C49" w:rsidRPr="00AA6889" w14:paraId="39A7EAA1" w14:textId="77777777" w:rsidTr="00700C49">
        <w:trPr>
          <w:trHeight w:val="220"/>
        </w:trPr>
        <w:tc>
          <w:tcPr>
            <w:tcW w:w="1299" w:type="pct"/>
            <w:tcBorders>
              <w:top w:val="single" w:sz="4" w:space="0" w:color="auto"/>
              <w:left w:val="single" w:sz="4" w:space="0" w:color="auto"/>
              <w:bottom w:val="single" w:sz="4" w:space="0" w:color="auto"/>
              <w:right w:val="single" w:sz="4" w:space="0" w:color="auto"/>
            </w:tcBorders>
            <w:hideMark/>
          </w:tcPr>
          <w:p w14:paraId="4B7108FD" w14:textId="77777777" w:rsidR="00700C49" w:rsidRPr="00AA6889" w:rsidRDefault="00700C49" w:rsidP="00700C49">
            <w:pPr>
              <w:spacing w:after="0" w:line="240" w:lineRule="auto"/>
              <w:rPr>
                <w:rFonts w:ascii="Arial" w:hAnsi="Arial" w:cs="Arial"/>
                <w:b/>
                <w:bCs/>
              </w:rPr>
            </w:pPr>
            <w:r w:rsidRPr="00AA6889">
              <w:rPr>
                <w:rFonts w:ascii="Arial" w:hAnsi="Arial" w:cs="Arial"/>
                <w:b/>
                <w:bCs/>
              </w:rPr>
              <w:lastRenderedPageBreak/>
              <w:t xml:space="preserve">Geographical </w:t>
            </w:r>
          </w:p>
          <w:p w14:paraId="4A72B33E"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Scope </w:t>
            </w:r>
          </w:p>
        </w:tc>
        <w:tc>
          <w:tcPr>
            <w:tcW w:w="3701" w:type="pct"/>
            <w:tcBorders>
              <w:top w:val="single" w:sz="4" w:space="0" w:color="auto"/>
              <w:left w:val="single" w:sz="4" w:space="0" w:color="auto"/>
              <w:bottom w:val="single" w:sz="4" w:space="0" w:color="auto"/>
              <w:right w:val="single" w:sz="4" w:space="0" w:color="auto"/>
            </w:tcBorders>
          </w:tcPr>
          <w:p w14:paraId="2D53297E" w14:textId="77777777" w:rsidR="00700C49" w:rsidRPr="00AA6889" w:rsidRDefault="00700C49" w:rsidP="00700C49">
            <w:pPr>
              <w:spacing w:after="0" w:line="240" w:lineRule="auto"/>
              <w:rPr>
                <w:rFonts w:ascii="Arial" w:hAnsi="Arial" w:cs="Arial"/>
              </w:rPr>
            </w:pPr>
            <w:r w:rsidRPr="00AA6889">
              <w:rPr>
                <w:rFonts w:ascii="Arial" w:hAnsi="Arial" w:cs="Arial"/>
              </w:rPr>
              <w:t xml:space="preserve">All interventions should be focused on activity and outputs within the North of Tyne area and be delivered to any young person or employer in the NTCA area regardless of their location. </w:t>
            </w:r>
          </w:p>
          <w:p w14:paraId="6A6B83B0" w14:textId="77777777" w:rsidR="00700C49" w:rsidRPr="00AA6889" w:rsidRDefault="00700C49" w:rsidP="00700C49">
            <w:pPr>
              <w:spacing w:after="0" w:line="240" w:lineRule="auto"/>
              <w:rPr>
                <w:rFonts w:ascii="Arial" w:hAnsi="Arial" w:cs="Arial"/>
              </w:rPr>
            </w:pPr>
          </w:p>
        </w:tc>
      </w:tr>
      <w:tr w:rsidR="00700C49" w:rsidRPr="00AA6889" w14:paraId="57A95FE3" w14:textId="77777777" w:rsidTr="00700C49">
        <w:trPr>
          <w:trHeight w:val="220"/>
        </w:trPr>
        <w:tc>
          <w:tcPr>
            <w:tcW w:w="1299" w:type="pct"/>
            <w:tcBorders>
              <w:top w:val="single" w:sz="4" w:space="0" w:color="auto"/>
              <w:left w:val="single" w:sz="4" w:space="0" w:color="auto"/>
              <w:bottom w:val="single" w:sz="4" w:space="0" w:color="auto"/>
              <w:right w:val="single" w:sz="4" w:space="0" w:color="auto"/>
            </w:tcBorders>
            <w:hideMark/>
          </w:tcPr>
          <w:p w14:paraId="79E0E758"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Deadlines </w:t>
            </w:r>
          </w:p>
        </w:tc>
        <w:tc>
          <w:tcPr>
            <w:tcW w:w="3701" w:type="pct"/>
            <w:tcBorders>
              <w:top w:val="single" w:sz="4" w:space="0" w:color="auto"/>
              <w:left w:val="single" w:sz="4" w:space="0" w:color="auto"/>
              <w:bottom w:val="single" w:sz="4" w:space="0" w:color="auto"/>
              <w:right w:val="single" w:sz="4" w:space="0" w:color="auto"/>
            </w:tcBorders>
            <w:hideMark/>
          </w:tcPr>
          <w:p w14:paraId="44181866" w14:textId="5A003480" w:rsidR="00700C49" w:rsidRPr="00AA6889" w:rsidRDefault="00700C49" w:rsidP="00700C49">
            <w:pPr>
              <w:spacing w:after="0" w:line="240" w:lineRule="auto"/>
              <w:rPr>
                <w:rFonts w:ascii="Arial" w:hAnsi="Arial" w:cs="Arial"/>
              </w:rPr>
            </w:pPr>
            <w:r w:rsidRPr="00AA6889">
              <w:rPr>
                <w:rFonts w:ascii="Arial" w:hAnsi="Arial" w:cs="Arial"/>
              </w:rPr>
              <w:t xml:space="preserve">For this specific call, applications will be assessed following closure of the call. Applications received after the published call close date will not be considered. The deadline for </w:t>
            </w:r>
            <w:r w:rsidR="007D6316">
              <w:rPr>
                <w:rFonts w:ascii="Arial" w:hAnsi="Arial" w:cs="Arial"/>
              </w:rPr>
              <w:t>p</w:t>
            </w:r>
            <w:r w:rsidR="007D6316" w:rsidRPr="00AA6889">
              <w:rPr>
                <w:rFonts w:ascii="Arial" w:hAnsi="Arial" w:cs="Arial"/>
              </w:rPr>
              <w:t xml:space="preserve">roposals </w:t>
            </w:r>
            <w:r w:rsidRPr="00AA6889">
              <w:rPr>
                <w:rFonts w:ascii="Arial" w:hAnsi="Arial" w:cs="Arial"/>
              </w:rPr>
              <w:t>is 16</w:t>
            </w:r>
            <w:r w:rsidRPr="00AA6889">
              <w:rPr>
                <w:rFonts w:ascii="Arial" w:hAnsi="Arial" w:cs="Arial"/>
                <w:vertAlign w:val="superscript"/>
              </w:rPr>
              <w:t>th</w:t>
            </w:r>
            <w:r w:rsidRPr="00AA6889">
              <w:rPr>
                <w:rFonts w:ascii="Arial" w:hAnsi="Arial" w:cs="Arial"/>
              </w:rPr>
              <w:t xml:space="preserve"> May 2021.</w:t>
            </w:r>
          </w:p>
          <w:p w14:paraId="6B6CDD97" w14:textId="77777777" w:rsidR="00700C49" w:rsidRPr="00AA6889" w:rsidRDefault="00700C49" w:rsidP="00700C49">
            <w:pPr>
              <w:spacing w:after="0" w:line="240" w:lineRule="auto"/>
              <w:rPr>
                <w:rFonts w:ascii="Arial" w:hAnsi="Arial" w:cs="Arial"/>
              </w:rPr>
            </w:pPr>
          </w:p>
          <w:p w14:paraId="4A7DD035" w14:textId="77777777" w:rsidR="00700C49" w:rsidRPr="00AA6889" w:rsidRDefault="00700C49" w:rsidP="00700C49">
            <w:pPr>
              <w:spacing w:after="0" w:line="240" w:lineRule="auto"/>
              <w:rPr>
                <w:rFonts w:ascii="Arial" w:hAnsi="Arial" w:cs="Arial"/>
              </w:rPr>
            </w:pPr>
          </w:p>
        </w:tc>
      </w:tr>
      <w:tr w:rsidR="00700C49" w:rsidRPr="00AA6889" w14:paraId="2C742CE9" w14:textId="77777777" w:rsidTr="00700C49">
        <w:trPr>
          <w:trHeight w:val="220"/>
        </w:trPr>
        <w:tc>
          <w:tcPr>
            <w:tcW w:w="1299" w:type="pct"/>
            <w:tcBorders>
              <w:top w:val="single" w:sz="4" w:space="0" w:color="auto"/>
              <w:left w:val="single" w:sz="4" w:space="0" w:color="auto"/>
              <w:bottom w:val="single" w:sz="4" w:space="0" w:color="auto"/>
              <w:right w:val="single" w:sz="4" w:space="0" w:color="auto"/>
            </w:tcBorders>
            <w:hideMark/>
          </w:tcPr>
          <w:p w14:paraId="17D0711E"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Application </w:t>
            </w:r>
          </w:p>
          <w:p w14:paraId="329043B9"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selection </w:t>
            </w:r>
          </w:p>
        </w:tc>
        <w:tc>
          <w:tcPr>
            <w:tcW w:w="3701" w:type="pct"/>
            <w:tcBorders>
              <w:top w:val="single" w:sz="4" w:space="0" w:color="auto"/>
              <w:left w:val="single" w:sz="4" w:space="0" w:color="auto"/>
              <w:bottom w:val="single" w:sz="4" w:space="0" w:color="auto"/>
              <w:right w:val="single" w:sz="4" w:space="0" w:color="auto"/>
            </w:tcBorders>
            <w:hideMark/>
          </w:tcPr>
          <w:p w14:paraId="6382D00B" w14:textId="77777777" w:rsidR="00700C49" w:rsidRPr="00AA6889" w:rsidRDefault="00700C49" w:rsidP="00700C49">
            <w:pPr>
              <w:spacing w:after="0" w:line="240" w:lineRule="auto"/>
              <w:rPr>
                <w:rFonts w:ascii="Arial" w:hAnsi="Arial" w:cs="Arial"/>
              </w:rPr>
            </w:pPr>
            <w:r w:rsidRPr="00AA6889">
              <w:rPr>
                <w:rFonts w:ascii="Arial" w:hAnsi="Arial" w:cs="Arial"/>
              </w:rPr>
              <w:t>All applications will be scored in line with the NTCA assessment criteria included below.</w:t>
            </w:r>
          </w:p>
        </w:tc>
      </w:tr>
      <w:tr w:rsidR="00700C49" w:rsidRPr="00AA6889" w14:paraId="032797B7" w14:textId="77777777" w:rsidTr="00700C49">
        <w:trPr>
          <w:trHeight w:val="39"/>
        </w:trPr>
        <w:tc>
          <w:tcPr>
            <w:tcW w:w="1299" w:type="pct"/>
            <w:tcBorders>
              <w:top w:val="single" w:sz="4" w:space="0" w:color="auto"/>
              <w:left w:val="single" w:sz="4" w:space="0" w:color="auto"/>
              <w:bottom w:val="single" w:sz="4" w:space="0" w:color="auto"/>
              <w:right w:val="single" w:sz="4" w:space="0" w:color="auto"/>
            </w:tcBorders>
            <w:hideMark/>
          </w:tcPr>
          <w:p w14:paraId="7FEBA43B"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Procurement </w:t>
            </w:r>
          </w:p>
        </w:tc>
        <w:tc>
          <w:tcPr>
            <w:tcW w:w="3701" w:type="pct"/>
            <w:tcBorders>
              <w:top w:val="single" w:sz="4" w:space="0" w:color="auto"/>
              <w:left w:val="single" w:sz="4" w:space="0" w:color="auto"/>
              <w:bottom w:val="single" w:sz="4" w:space="0" w:color="auto"/>
              <w:right w:val="single" w:sz="4" w:space="0" w:color="auto"/>
            </w:tcBorders>
            <w:hideMark/>
          </w:tcPr>
          <w:p w14:paraId="0E08777A" w14:textId="77777777" w:rsidR="00700C49" w:rsidRPr="00AA6889" w:rsidRDefault="00700C49" w:rsidP="00700C49">
            <w:pPr>
              <w:spacing w:after="0" w:line="240" w:lineRule="auto"/>
              <w:rPr>
                <w:rFonts w:ascii="Arial" w:hAnsi="Arial" w:cs="Arial"/>
              </w:rPr>
            </w:pPr>
            <w:r w:rsidRPr="00AA6889">
              <w:rPr>
                <w:rFonts w:ascii="Arial" w:hAnsi="Arial" w:cs="Arial"/>
              </w:rPr>
              <w:t>Applications must demonstrate that the project will follow national procurement regulations (where applicable), and procurement proposed to be undertaken achieve best value for money for public funds.</w:t>
            </w:r>
          </w:p>
          <w:p w14:paraId="75DC4986" w14:textId="77777777" w:rsidR="00700C49" w:rsidRPr="00AA6889" w:rsidRDefault="00700C49" w:rsidP="00700C49">
            <w:pPr>
              <w:spacing w:after="0" w:line="240" w:lineRule="auto"/>
              <w:rPr>
                <w:rFonts w:ascii="Arial" w:hAnsi="Arial" w:cs="Arial"/>
              </w:rPr>
            </w:pPr>
          </w:p>
          <w:p w14:paraId="1EFDA174" w14:textId="77777777" w:rsidR="00700C49" w:rsidRPr="00AA6889" w:rsidRDefault="00700C49" w:rsidP="00700C49">
            <w:pPr>
              <w:spacing w:after="0" w:line="240" w:lineRule="auto"/>
              <w:rPr>
                <w:rFonts w:ascii="Arial" w:hAnsi="Arial" w:cs="Arial"/>
              </w:rPr>
            </w:pPr>
          </w:p>
        </w:tc>
      </w:tr>
      <w:tr w:rsidR="00700C49" w:rsidRPr="00AA6889" w14:paraId="5BF3B22B" w14:textId="77777777" w:rsidTr="00700C49">
        <w:trPr>
          <w:trHeight w:val="39"/>
        </w:trPr>
        <w:tc>
          <w:tcPr>
            <w:tcW w:w="1299" w:type="pct"/>
            <w:tcBorders>
              <w:top w:val="single" w:sz="4" w:space="0" w:color="auto"/>
              <w:left w:val="single" w:sz="4" w:space="0" w:color="auto"/>
              <w:bottom w:val="single" w:sz="4" w:space="0" w:color="auto"/>
              <w:right w:val="single" w:sz="4" w:space="0" w:color="auto"/>
            </w:tcBorders>
          </w:tcPr>
          <w:p w14:paraId="20F40047" w14:textId="77777777" w:rsidR="00700C49" w:rsidRPr="00AA6889" w:rsidRDefault="00700C49" w:rsidP="00700C49">
            <w:pPr>
              <w:spacing w:after="0" w:line="240" w:lineRule="auto"/>
              <w:rPr>
                <w:rFonts w:ascii="Arial" w:hAnsi="Arial" w:cs="Arial"/>
                <w:b/>
                <w:bCs/>
              </w:rPr>
            </w:pPr>
            <w:r w:rsidRPr="00AA6889">
              <w:rPr>
                <w:rFonts w:ascii="Arial" w:hAnsi="Arial" w:cs="Arial"/>
                <w:b/>
                <w:bCs/>
              </w:rPr>
              <w:t>Eligible expenditure</w:t>
            </w:r>
          </w:p>
          <w:p w14:paraId="4BBB717F" w14:textId="77777777" w:rsidR="00700C49" w:rsidRPr="00AA6889" w:rsidRDefault="00700C49" w:rsidP="00700C49">
            <w:pPr>
              <w:spacing w:after="0" w:line="240" w:lineRule="auto"/>
              <w:rPr>
                <w:rFonts w:ascii="Arial" w:hAnsi="Arial" w:cs="Arial"/>
                <w:b/>
                <w:bCs/>
              </w:rPr>
            </w:pPr>
          </w:p>
        </w:tc>
        <w:tc>
          <w:tcPr>
            <w:tcW w:w="3701" w:type="pct"/>
            <w:tcBorders>
              <w:top w:val="single" w:sz="4" w:space="0" w:color="auto"/>
              <w:left w:val="single" w:sz="4" w:space="0" w:color="auto"/>
              <w:bottom w:val="single" w:sz="4" w:space="0" w:color="auto"/>
              <w:right w:val="single" w:sz="4" w:space="0" w:color="auto"/>
            </w:tcBorders>
          </w:tcPr>
          <w:p w14:paraId="70FDED79" w14:textId="77777777" w:rsidR="00700C49" w:rsidRPr="00AA6889" w:rsidRDefault="00700C49" w:rsidP="00700C49">
            <w:pPr>
              <w:spacing w:after="0" w:line="240" w:lineRule="auto"/>
              <w:rPr>
                <w:rFonts w:ascii="Arial" w:hAnsi="Arial" w:cs="Arial"/>
              </w:rPr>
            </w:pPr>
            <w:r w:rsidRPr="00AA6889">
              <w:rPr>
                <w:rFonts w:ascii="Arial" w:hAnsi="Arial" w:cs="Arial"/>
              </w:rPr>
              <w:t>NTCA funding is paid quarterly in arrears against actual project expenditure. Costs must be able to be fully evidenced through a robust audit trail and be necessary for delivering project activity.</w:t>
            </w:r>
          </w:p>
          <w:p w14:paraId="588C4114" w14:textId="77777777" w:rsidR="00700C49" w:rsidRPr="00AA6889" w:rsidRDefault="00700C49" w:rsidP="00700C49">
            <w:pPr>
              <w:spacing w:after="0" w:line="240" w:lineRule="auto"/>
              <w:rPr>
                <w:rFonts w:ascii="Arial" w:hAnsi="Arial" w:cs="Arial"/>
              </w:rPr>
            </w:pPr>
          </w:p>
          <w:p w14:paraId="17A97B81" w14:textId="77777777" w:rsidR="00700C49" w:rsidRPr="00AA6889" w:rsidRDefault="00700C49" w:rsidP="00700C49">
            <w:pPr>
              <w:spacing w:after="0" w:line="240" w:lineRule="auto"/>
              <w:rPr>
                <w:rFonts w:ascii="Arial" w:hAnsi="Arial" w:cs="Arial"/>
              </w:rPr>
            </w:pPr>
            <w:r w:rsidRPr="00AA6889">
              <w:rPr>
                <w:rFonts w:ascii="Arial" w:hAnsi="Arial" w:cs="Arial"/>
              </w:rPr>
              <w:t xml:space="preserve">Costs can include a flat rate overhead of 15% against direct staff </w:t>
            </w:r>
            <w:proofErr w:type="gramStart"/>
            <w:r w:rsidRPr="00AA6889">
              <w:rPr>
                <w:rFonts w:ascii="Arial" w:hAnsi="Arial" w:cs="Arial"/>
              </w:rPr>
              <w:t>costs, and</w:t>
            </w:r>
            <w:proofErr w:type="gramEnd"/>
            <w:r w:rsidRPr="00AA6889">
              <w:rPr>
                <w:rFonts w:ascii="Arial" w:hAnsi="Arial" w:cs="Arial"/>
              </w:rPr>
              <w:t xml:space="preserve"> must be included in the overall funding available. </w:t>
            </w:r>
          </w:p>
        </w:tc>
      </w:tr>
      <w:tr w:rsidR="00700C49" w:rsidRPr="00AA6889" w14:paraId="1331D516" w14:textId="77777777" w:rsidTr="00700C49">
        <w:trPr>
          <w:trHeight w:val="39"/>
        </w:trPr>
        <w:tc>
          <w:tcPr>
            <w:tcW w:w="1299" w:type="pct"/>
            <w:tcBorders>
              <w:top w:val="single" w:sz="4" w:space="0" w:color="auto"/>
              <w:left w:val="single" w:sz="4" w:space="0" w:color="auto"/>
              <w:bottom w:val="single" w:sz="4" w:space="0" w:color="auto"/>
              <w:right w:val="single" w:sz="4" w:space="0" w:color="auto"/>
            </w:tcBorders>
          </w:tcPr>
          <w:p w14:paraId="2F06FF34" w14:textId="77777777" w:rsidR="00700C49" w:rsidRPr="00AA6889" w:rsidRDefault="00700C49" w:rsidP="00700C49">
            <w:pPr>
              <w:spacing w:after="0" w:line="240" w:lineRule="auto"/>
              <w:rPr>
                <w:rFonts w:ascii="Arial" w:hAnsi="Arial" w:cs="Arial"/>
                <w:b/>
                <w:bCs/>
              </w:rPr>
            </w:pPr>
            <w:r w:rsidRPr="00AA6889">
              <w:rPr>
                <w:rFonts w:ascii="Arial" w:hAnsi="Arial" w:cs="Arial"/>
                <w:b/>
                <w:bCs/>
              </w:rPr>
              <w:t xml:space="preserve">Eligible </w:t>
            </w:r>
          </w:p>
          <w:p w14:paraId="3A7930BA" w14:textId="77777777" w:rsidR="00700C49" w:rsidRPr="00AA6889" w:rsidRDefault="00700C49" w:rsidP="00700C49">
            <w:pPr>
              <w:spacing w:after="0" w:line="240" w:lineRule="auto"/>
              <w:rPr>
                <w:rFonts w:ascii="Arial" w:hAnsi="Arial" w:cs="Arial"/>
                <w:b/>
                <w:bCs/>
              </w:rPr>
            </w:pPr>
            <w:r w:rsidRPr="00AA6889">
              <w:rPr>
                <w:rFonts w:ascii="Arial" w:hAnsi="Arial" w:cs="Arial"/>
                <w:b/>
                <w:bCs/>
              </w:rPr>
              <w:t>Applicants</w:t>
            </w:r>
          </w:p>
        </w:tc>
        <w:tc>
          <w:tcPr>
            <w:tcW w:w="3701" w:type="pct"/>
            <w:tcBorders>
              <w:top w:val="single" w:sz="4" w:space="0" w:color="auto"/>
              <w:left w:val="single" w:sz="4" w:space="0" w:color="auto"/>
              <w:bottom w:val="single" w:sz="4" w:space="0" w:color="auto"/>
              <w:right w:val="single" w:sz="4" w:space="0" w:color="auto"/>
            </w:tcBorders>
          </w:tcPr>
          <w:p w14:paraId="564F2A4F" w14:textId="77777777" w:rsidR="00700C49" w:rsidRPr="00AA6889" w:rsidRDefault="00700C49" w:rsidP="00700C49">
            <w:pPr>
              <w:spacing w:after="0" w:line="240" w:lineRule="auto"/>
              <w:rPr>
                <w:rFonts w:ascii="Arial" w:hAnsi="Arial" w:cs="Arial"/>
              </w:rPr>
            </w:pPr>
            <w:r w:rsidRPr="00AA6889">
              <w:rPr>
                <w:rFonts w:ascii="Arial" w:hAnsi="Arial" w:cs="Arial"/>
              </w:rPr>
              <w:t xml:space="preserve">Applicants must be legally constituted at the point of signing a Funding Agreement and be able to enter into a legally binding Funding Agreement. The Applicant will be the organisation that, if the application is successful, </w:t>
            </w:r>
            <w:proofErr w:type="gramStart"/>
            <w:r w:rsidRPr="00AA6889">
              <w:rPr>
                <w:rFonts w:ascii="Arial" w:hAnsi="Arial" w:cs="Arial"/>
              </w:rPr>
              <w:t>enters into</w:t>
            </w:r>
            <w:proofErr w:type="gramEnd"/>
            <w:r w:rsidRPr="00AA6889">
              <w:rPr>
                <w:rFonts w:ascii="Arial" w:hAnsi="Arial" w:cs="Arial"/>
              </w:rPr>
              <w:t xml:space="preserve"> a contract with the NTCA and therefore carries the liability for ensuring that the terms of the </w:t>
            </w:r>
          </w:p>
          <w:p w14:paraId="3616F144" w14:textId="4E37EC98" w:rsidR="00700C49" w:rsidRDefault="00700C49" w:rsidP="00700C49">
            <w:pPr>
              <w:spacing w:after="0" w:line="240" w:lineRule="auto"/>
              <w:rPr>
                <w:rFonts w:ascii="Arial" w:hAnsi="Arial" w:cs="Arial"/>
              </w:rPr>
            </w:pPr>
            <w:r w:rsidRPr="00AA6889">
              <w:rPr>
                <w:rFonts w:ascii="Arial" w:hAnsi="Arial" w:cs="Arial"/>
              </w:rPr>
              <w:t>Funding Agreement are met by them and to all delivery partners.</w:t>
            </w:r>
          </w:p>
          <w:p w14:paraId="527C624D" w14:textId="08D41112" w:rsidR="00E209ED" w:rsidRDefault="00E209ED" w:rsidP="00700C49">
            <w:pPr>
              <w:spacing w:after="0" w:line="240" w:lineRule="auto"/>
              <w:rPr>
                <w:rFonts w:ascii="Arial" w:hAnsi="Arial" w:cs="Arial"/>
              </w:rPr>
            </w:pPr>
          </w:p>
          <w:p w14:paraId="4A9FA4FF" w14:textId="69E0DC63" w:rsidR="00E209ED" w:rsidRPr="00AA6889" w:rsidRDefault="00E209ED" w:rsidP="00700C49">
            <w:pPr>
              <w:spacing w:after="0" w:line="240" w:lineRule="auto"/>
              <w:rPr>
                <w:rFonts w:ascii="Arial" w:hAnsi="Arial" w:cs="Arial"/>
              </w:rPr>
            </w:pPr>
            <w:r>
              <w:rPr>
                <w:rFonts w:ascii="Arial" w:hAnsi="Arial" w:cs="Arial"/>
              </w:rPr>
              <w:t xml:space="preserve">Applicants will be asked to provide documentation to allow NTCA to undertake financial due diligence prior to </w:t>
            </w:r>
            <w:proofErr w:type="gramStart"/>
            <w:r>
              <w:rPr>
                <w:rFonts w:ascii="Arial" w:hAnsi="Arial" w:cs="Arial"/>
              </w:rPr>
              <w:t>entering into</w:t>
            </w:r>
            <w:proofErr w:type="gramEnd"/>
            <w:r>
              <w:rPr>
                <w:rFonts w:ascii="Arial" w:hAnsi="Arial" w:cs="Arial"/>
              </w:rPr>
              <w:t xml:space="preserve"> a contract. </w:t>
            </w:r>
          </w:p>
          <w:p w14:paraId="29328C01" w14:textId="77777777" w:rsidR="00700C49" w:rsidRPr="00AA6889" w:rsidRDefault="00700C49" w:rsidP="00700C49">
            <w:pPr>
              <w:spacing w:after="0" w:line="240" w:lineRule="auto"/>
              <w:rPr>
                <w:rFonts w:ascii="Arial" w:hAnsi="Arial" w:cs="Arial"/>
              </w:rPr>
            </w:pPr>
          </w:p>
        </w:tc>
      </w:tr>
      <w:bookmarkEnd w:id="0"/>
    </w:tbl>
    <w:p w14:paraId="79C874D8" w14:textId="77777777" w:rsidR="00700C49" w:rsidRPr="00AA6889" w:rsidRDefault="00700C49" w:rsidP="00700C49">
      <w:pPr>
        <w:spacing w:after="0" w:line="240" w:lineRule="auto"/>
        <w:rPr>
          <w:rFonts w:ascii="Arial" w:hAnsi="Arial" w:cs="Arial"/>
        </w:rPr>
      </w:pPr>
    </w:p>
    <w:p w14:paraId="1A378A17"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Assessment Criteria</w:t>
      </w:r>
    </w:p>
    <w:p w14:paraId="5FB96580" w14:textId="77777777" w:rsidR="00700C49" w:rsidRPr="00AA6889" w:rsidRDefault="00700C49" w:rsidP="00700C49">
      <w:pPr>
        <w:spacing w:after="0" w:line="240" w:lineRule="auto"/>
        <w:rPr>
          <w:rFonts w:ascii="Arial" w:hAnsi="Arial" w:cs="Arial"/>
        </w:rPr>
      </w:pPr>
    </w:p>
    <w:p w14:paraId="6677D4D6" w14:textId="77777777" w:rsidR="00700C49" w:rsidRPr="00AA6889" w:rsidRDefault="00700C49" w:rsidP="00700C49">
      <w:pPr>
        <w:spacing w:after="0" w:line="240" w:lineRule="auto"/>
        <w:rPr>
          <w:rFonts w:ascii="Arial" w:hAnsi="Arial" w:cs="Arial"/>
        </w:rPr>
      </w:pPr>
      <w:r w:rsidRPr="00AA6889">
        <w:rPr>
          <w:rFonts w:ascii="Arial" w:hAnsi="Arial" w:cs="Arial"/>
        </w:rPr>
        <w:t>Applications will be scored against the following criteria.</w:t>
      </w:r>
    </w:p>
    <w:p w14:paraId="1E2D00D1" w14:textId="77777777" w:rsidR="00700C49" w:rsidRPr="00AA6889" w:rsidRDefault="00700C49" w:rsidP="00700C49">
      <w:pPr>
        <w:spacing w:after="0" w:line="240" w:lineRule="auto"/>
        <w:rPr>
          <w:rFonts w:ascii="Arial" w:hAnsi="Arial" w:cs="Arial"/>
        </w:rPr>
      </w:pPr>
    </w:p>
    <w:tbl>
      <w:tblPr>
        <w:tblStyle w:val="TableGrid11"/>
        <w:tblW w:w="5000" w:type="pct"/>
        <w:tblInd w:w="-113" w:type="dxa"/>
        <w:tblLook w:val="04A0" w:firstRow="1" w:lastRow="0" w:firstColumn="1" w:lastColumn="0" w:noHBand="0" w:noVBand="1"/>
      </w:tblPr>
      <w:tblGrid>
        <w:gridCol w:w="2431"/>
        <w:gridCol w:w="4744"/>
        <w:gridCol w:w="1841"/>
      </w:tblGrid>
      <w:tr w:rsidR="00700C49" w:rsidRPr="00AA6889" w14:paraId="010A595E" w14:textId="77777777" w:rsidTr="00700C49">
        <w:tc>
          <w:tcPr>
            <w:tcW w:w="1348" w:type="pct"/>
            <w:shd w:val="clear" w:color="auto" w:fill="D0CECE" w:themeFill="background2" w:themeFillShade="E6"/>
          </w:tcPr>
          <w:p w14:paraId="3F851B0E" w14:textId="77777777" w:rsidR="00700C49" w:rsidRPr="00AA6889" w:rsidRDefault="00700C49" w:rsidP="00700C49">
            <w:pPr>
              <w:rPr>
                <w:rFonts w:ascii="Arial" w:hAnsi="Arial" w:cs="Arial"/>
                <w:b/>
                <w:bCs/>
              </w:rPr>
            </w:pPr>
            <w:r w:rsidRPr="00AA6889">
              <w:rPr>
                <w:rFonts w:ascii="Arial" w:hAnsi="Arial" w:cs="Arial"/>
                <w:b/>
                <w:bCs/>
              </w:rPr>
              <w:t>Criteria</w:t>
            </w:r>
          </w:p>
        </w:tc>
        <w:tc>
          <w:tcPr>
            <w:tcW w:w="2631" w:type="pct"/>
            <w:shd w:val="clear" w:color="auto" w:fill="D0CECE" w:themeFill="background2" w:themeFillShade="E6"/>
          </w:tcPr>
          <w:p w14:paraId="706BCCB6" w14:textId="77777777" w:rsidR="00700C49" w:rsidRPr="00AA6889" w:rsidRDefault="00700C49" w:rsidP="00700C49">
            <w:pPr>
              <w:rPr>
                <w:rFonts w:ascii="Arial" w:hAnsi="Arial" w:cs="Arial"/>
                <w:b/>
                <w:bCs/>
              </w:rPr>
            </w:pPr>
            <w:r w:rsidRPr="00AA6889">
              <w:rPr>
                <w:rFonts w:ascii="Arial" w:hAnsi="Arial" w:cs="Arial"/>
                <w:b/>
                <w:bCs/>
              </w:rPr>
              <w:t>Consideration</w:t>
            </w:r>
          </w:p>
        </w:tc>
        <w:tc>
          <w:tcPr>
            <w:tcW w:w="1021" w:type="pct"/>
            <w:shd w:val="clear" w:color="auto" w:fill="D0CECE" w:themeFill="background2" w:themeFillShade="E6"/>
          </w:tcPr>
          <w:p w14:paraId="72996025" w14:textId="77777777" w:rsidR="00700C49" w:rsidRPr="00AA6889" w:rsidRDefault="00700C49" w:rsidP="00700C49">
            <w:pPr>
              <w:rPr>
                <w:rFonts w:ascii="Arial" w:hAnsi="Arial" w:cs="Arial"/>
                <w:b/>
                <w:bCs/>
              </w:rPr>
            </w:pPr>
            <w:r w:rsidRPr="00AA6889">
              <w:rPr>
                <w:rFonts w:ascii="Arial" w:hAnsi="Arial" w:cs="Arial"/>
                <w:b/>
                <w:bCs/>
              </w:rPr>
              <w:t>Available marks</w:t>
            </w:r>
          </w:p>
        </w:tc>
      </w:tr>
      <w:tr w:rsidR="00700C49" w:rsidRPr="00AA6889" w14:paraId="612A52B4" w14:textId="77777777" w:rsidTr="00700C49">
        <w:trPr>
          <w:trHeight w:val="1457"/>
        </w:trPr>
        <w:tc>
          <w:tcPr>
            <w:tcW w:w="1348" w:type="pct"/>
          </w:tcPr>
          <w:p w14:paraId="05130A3F" w14:textId="74E0F856" w:rsidR="00700C49" w:rsidRPr="00AA6889" w:rsidRDefault="00700C49" w:rsidP="00700C49">
            <w:pPr>
              <w:rPr>
                <w:rFonts w:ascii="Arial" w:hAnsi="Arial" w:cs="Arial"/>
                <w:b/>
                <w:bCs/>
              </w:rPr>
            </w:pPr>
            <w:r w:rsidRPr="00AA6889">
              <w:rPr>
                <w:rFonts w:ascii="Arial" w:hAnsi="Arial" w:cs="Arial"/>
                <w:b/>
                <w:bCs/>
              </w:rPr>
              <w:t>Strategic Fit</w:t>
            </w:r>
            <w:r w:rsidR="00E87B18">
              <w:rPr>
                <w:rFonts w:ascii="Arial" w:hAnsi="Arial" w:cs="Arial"/>
                <w:b/>
                <w:bCs/>
              </w:rPr>
              <w:t xml:space="preserve"> with NTCA vision</w:t>
            </w:r>
          </w:p>
        </w:tc>
        <w:tc>
          <w:tcPr>
            <w:tcW w:w="2631" w:type="pct"/>
          </w:tcPr>
          <w:p w14:paraId="467CD4F9" w14:textId="77777777" w:rsidR="00700C49" w:rsidRPr="00041DA2" w:rsidRDefault="00700C49" w:rsidP="00041DA2">
            <w:pPr>
              <w:pStyle w:val="ListParagraph"/>
              <w:numPr>
                <w:ilvl w:val="0"/>
                <w:numId w:val="40"/>
              </w:numPr>
              <w:spacing w:after="0" w:line="240" w:lineRule="auto"/>
              <w:rPr>
                <w:rFonts w:ascii="Arial" w:hAnsi="Arial" w:cs="Arial"/>
              </w:rPr>
            </w:pPr>
            <w:r w:rsidRPr="00041DA2">
              <w:rPr>
                <w:rFonts w:ascii="Arial" w:hAnsi="Arial" w:cs="Arial"/>
              </w:rPr>
              <w:t xml:space="preserve">The proposal is developed in adherence with the overarching principles for the call and where appropriate evidence is provided in relation to stakeholder support, value added, etc. </w:t>
            </w:r>
          </w:p>
          <w:p w14:paraId="3E0341BC" w14:textId="77777777" w:rsidR="00700C49" w:rsidRPr="00AA6889" w:rsidRDefault="00700C49" w:rsidP="00700C49">
            <w:pPr>
              <w:rPr>
                <w:rFonts w:ascii="Arial" w:hAnsi="Arial" w:cs="Arial"/>
              </w:rPr>
            </w:pPr>
          </w:p>
        </w:tc>
        <w:tc>
          <w:tcPr>
            <w:tcW w:w="1021" w:type="pct"/>
            <w:vAlign w:val="center"/>
          </w:tcPr>
          <w:p w14:paraId="1DFDABC1" w14:textId="77777777" w:rsidR="00700C49" w:rsidRPr="00AA6889" w:rsidRDefault="00700C49" w:rsidP="00700C49">
            <w:pPr>
              <w:ind w:left="720"/>
              <w:rPr>
                <w:rFonts w:ascii="Arial" w:hAnsi="Arial" w:cs="Arial"/>
              </w:rPr>
            </w:pPr>
          </w:p>
          <w:p w14:paraId="27B2D884" w14:textId="7B738315" w:rsidR="00700C49" w:rsidRPr="00AA6889" w:rsidRDefault="00700C49" w:rsidP="00700C49">
            <w:pPr>
              <w:rPr>
                <w:rFonts w:ascii="Arial" w:hAnsi="Arial" w:cs="Arial"/>
              </w:rPr>
            </w:pPr>
            <w:r w:rsidRPr="00AA6889">
              <w:rPr>
                <w:rFonts w:ascii="Arial" w:hAnsi="Arial" w:cs="Arial"/>
              </w:rPr>
              <w:t xml:space="preserve">Pass </w:t>
            </w:r>
            <w:r w:rsidR="0060707B">
              <w:rPr>
                <w:rFonts w:ascii="Arial" w:hAnsi="Arial" w:cs="Arial"/>
              </w:rPr>
              <w:t xml:space="preserve">(10-15) </w:t>
            </w:r>
            <w:r w:rsidRPr="00AA6889">
              <w:rPr>
                <w:rFonts w:ascii="Arial" w:hAnsi="Arial" w:cs="Arial"/>
              </w:rPr>
              <w:t>or Fail</w:t>
            </w:r>
          </w:p>
          <w:p w14:paraId="13290BC9" w14:textId="77777777" w:rsidR="00700C49" w:rsidRPr="00AA6889" w:rsidRDefault="00700C49" w:rsidP="00700C49">
            <w:pPr>
              <w:ind w:left="720"/>
              <w:rPr>
                <w:rFonts w:ascii="Arial" w:hAnsi="Arial" w:cs="Arial"/>
              </w:rPr>
            </w:pPr>
          </w:p>
          <w:p w14:paraId="28B5CA9B" w14:textId="77777777" w:rsidR="00700C49" w:rsidRPr="00AA6889" w:rsidRDefault="00700C49" w:rsidP="00700C49">
            <w:pPr>
              <w:ind w:left="720"/>
              <w:rPr>
                <w:rFonts w:ascii="Arial" w:hAnsi="Arial" w:cs="Arial"/>
              </w:rPr>
            </w:pPr>
          </w:p>
        </w:tc>
      </w:tr>
      <w:tr w:rsidR="00700C49" w:rsidRPr="00AA6889" w14:paraId="696428A3" w14:textId="77777777" w:rsidTr="00700C49">
        <w:tc>
          <w:tcPr>
            <w:tcW w:w="1348" w:type="pct"/>
          </w:tcPr>
          <w:p w14:paraId="2FB3BEA6" w14:textId="3009A502" w:rsidR="00700C49" w:rsidRPr="00AA6889" w:rsidRDefault="00BC3C8F" w:rsidP="00700C49">
            <w:pPr>
              <w:rPr>
                <w:rFonts w:ascii="Arial" w:hAnsi="Arial" w:cs="Arial"/>
                <w:b/>
                <w:bCs/>
              </w:rPr>
            </w:pPr>
            <w:r>
              <w:rPr>
                <w:rFonts w:ascii="Arial" w:hAnsi="Arial" w:cs="Arial"/>
                <w:b/>
                <w:bCs/>
              </w:rPr>
              <w:t xml:space="preserve">Delivery of </w:t>
            </w:r>
            <w:r w:rsidR="00041DA2">
              <w:rPr>
                <w:rFonts w:ascii="Arial" w:hAnsi="Arial" w:cs="Arial"/>
                <w:b/>
                <w:bCs/>
              </w:rPr>
              <w:t xml:space="preserve">desired </w:t>
            </w:r>
            <w:r w:rsidR="00041DA2" w:rsidRPr="00AA6889">
              <w:rPr>
                <w:rFonts w:ascii="Arial" w:hAnsi="Arial" w:cs="Arial"/>
                <w:b/>
                <w:bCs/>
              </w:rPr>
              <w:t>Outcomes</w:t>
            </w:r>
          </w:p>
        </w:tc>
        <w:tc>
          <w:tcPr>
            <w:tcW w:w="2631" w:type="pct"/>
          </w:tcPr>
          <w:p w14:paraId="1DA5B86E" w14:textId="77777777" w:rsidR="00700C49" w:rsidRPr="00041DA2" w:rsidRDefault="00700C49" w:rsidP="00041DA2">
            <w:pPr>
              <w:pStyle w:val="ListParagraph"/>
              <w:numPr>
                <w:ilvl w:val="0"/>
                <w:numId w:val="40"/>
              </w:numPr>
              <w:spacing w:after="0" w:line="240" w:lineRule="auto"/>
              <w:rPr>
                <w:rFonts w:ascii="Arial" w:hAnsi="Arial" w:cs="Arial"/>
              </w:rPr>
            </w:pPr>
            <w:r w:rsidRPr="00041DA2">
              <w:rPr>
                <w:rFonts w:ascii="Arial" w:hAnsi="Arial" w:cs="Arial"/>
              </w:rPr>
              <w:t xml:space="preserve">Demonstration of clear knowledge of and </w:t>
            </w:r>
          </w:p>
          <w:p w14:paraId="21FBB503" w14:textId="77777777" w:rsidR="00041DA2" w:rsidRPr="00041DA2" w:rsidRDefault="00700C49" w:rsidP="00041DA2">
            <w:pPr>
              <w:ind w:left="360"/>
              <w:rPr>
                <w:rFonts w:ascii="Arial" w:hAnsi="Arial" w:cs="Arial"/>
              </w:rPr>
            </w:pPr>
            <w:r w:rsidRPr="00041DA2">
              <w:rPr>
                <w:rFonts w:ascii="Arial" w:hAnsi="Arial" w:cs="Arial"/>
              </w:rPr>
              <w:t xml:space="preserve">experience of working with employers and young people to provide the support required. </w:t>
            </w:r>
          </w:p>
          <w:p w14:paraId="79A10A6E" w14:textId="119E9C76" w:rsidR="00700C49" w:rsidRPr="00041DA2" w:rsidRDefault="00700C49" w:rsidP="00041DA2">
            <w:pPr>
              <w:pStyle w:val="ListParagraph"/>
              <w:numPr>
                <w:ilvl w:val="0"/>
                <w:numId w:val="40"/>
              </w:numPr>
              <w:spacing w:after="0" w:line="240" w:lineRule="auto"/>
              <w:rPr>
                <w:rFonts w:ascii="Arial" w:hAnsi="Arial" w:cs="Arial"/>
              </w:rPr>
            </w:pPr>
            <w:r w:rsidRPr="00041DA2">
              <w:rPr>
                <w:rFonts w:ascii="Arial" w:hAnsi="Arial" w:cs="Arial"/>
              </w:rPr>
              <w:t xml:space="preserve">Clear alignment of proposals with the outcomes set out in the call document. </w:t>
            </w:r>
          </w:p>
          <w:p w14:paraId="321A2030" w14:textId="77777777" w:rsidR="00700C49" w:rsidRPr="00AA6889" w:rsidRDefault="00700C49" w:rsidP="00700C49">
            <w:pPr>
              <w:rPr>
                <w:rFonts w:ascii="Arial" w:hAnsi="Arial" w:cs="Arial"/>
              </w:rPr>
            </w:pPr>
          </w:p>
        </w:tc>
        <w:tc>
          <w:tcPr>
            <w:tcW w:w="1021" w:type="pct"/>
            <w:vAlign w:val="center"/>
          </w:tcPr>
          <w:p w14:paraId="33521D13" w14:textId="01E62178" w:rsidR="001F5A7A" w:rsidRPr="00AA6889" w:rsidRDefault="001F5A7A" w:rsidP="001F5A7A">
            <w:pPr>
              <w:rPr>
                <w:rFonts w:ascii="Arial" w:hAnsi="Arial" w:cs="Arial"/>
              </w:rPr>
            </w:pPr>
            <w:r w:rsidRPr="00AA6889">
              <w:rPr>
                <w:rFonts w:ascii="Arial" w:hAnsi="Arial" w:cs="Arial"/>
              </w:rPr>
              <w:t xml:space="preserve">Pass </w:t>
            </w:r>
            <w:r>
              <w:rPr>
                <w:rFonts w:ascii="Arial" w:hAnsi="Arial" w:cs="Arial"/>
              </w:rPr>
              <w:t xml:space="preserve">(10-15) </w:t>
            </w:r>
            <w:r w:rsidRPr="00AA6889">
              <w:rPr>
                <w:rFonts w:ascii="Arial" w:hAnsi="Arial" w:cs="Arial"/>
              </w:rPr>
              <w:t>or Fail</w:t>
            </w:r>
          </w:p>
          <w:p w14:paraId="2F519F97" w14:textId="703238D1" w:rsidR="00700C49" w:rsidRPr="00AA6889" w:rsidRDefault="00700C49" w:rsidP="00700C49">
            <w:pPr>
              <w:rPr>
                <w:rFonts w:ascii="Arial" w:hAnsi="Arial" w:cs="Arial"/>
              </w:rPr>
            </w:pPr>
          </w:p>
        </w:tc>
      </w:tr>
      <w:tr w:rsidR="00700C49" w:rsidRPr="00AA6889" w14:paraId="78B0E454" w14:textId="77777777" w:rsidTr="00700C49">
        <w:tc>
          <w:tcPr>
            <w:tcW w:w="1348" w:type="pct"/>
          </w:tcPr>
          <w:p w14:paraId="4277EBAD" w14:textId="77777777" w:rsidR="00700C49" w:rsidRPr="00AA6889" w:rsidRDefault="00700C49" w:rsidP="00700C49">
            <w:pPr>
              <w:rPr>
                <w:rFonts w:ascii="Arial" w:hAnsi="Arial" w:cs="Arial"/>
                <w:b/>
                <w:bCs/>
              </w:rPr>
            </w:pPr>
            <w:r w:rsidRPr="00AA6889">
              <w:rPr>
                <w:rFonts w:ascii="Arial" w:hAnsi="Arial" w:cs="Arial"/>
                <w:b/>
                <w:bCs/>
              </w:rPr>
              <w:lastRenderedPageBreak/>
              <w:t xml:space="preserve">Delivery Model and Rationale </w:t>
            </w:r>
          </w:p>
        </w:tc>
        <w:tc>
          <w:tcPr>
            <w:tcW w:w="2631" w:type="pct"/>
          </w:tcPr>
          <w:p w14:paraId="15390013" w14:textId="77777777" w:rsidR="00700C49" w:rsidRDefault="00700C49" w:rsidP="00041DA2">
            <w:pPr>
              <w:pStyle w:val="ListParagraph"/>
              <w:numPr>
                <w:ilvl w:val="0"/>
                <w:numId w:val="40"/>
              </w:numPr>
              <w:spacing w:after="0" w:line="240" w:lineRule="auto"/>
              <w:rPr>
                <w:rFonts w:ascii="Arial" w:hAnsi="Arial" w:cs="Arial"/>
              </w:rPr>
            </w:pPr>
            <w:r w:rsidRPr="00041DA2">
              <w:rPr>
                <w:rFonts w:ascii="Arial" w:hAnsi="Arial" w:cs="Arial"/>
              </w:rPr>
              <w:t xml:space="preserve">A clear articulation of the model proposed and the supporting evidence to support why it is appropriate for the requirement set out. </w:t>
            </w:r>
          </w:p>
          <w:p w14:paraId="0D992C5C" w14:textId="0305EBF0" w:rsidR="00440980" w:rsidRPr="00041DA2" w:rsidRDefault="00440980" w:rsidP="00440980">
            <w:pPr>
              <w:pStyle w:val="ListParagraph"/>
              <w:spacing w:after="0" w:line="240" w:lineRule="auto"/>
              <w:ind w:left="360"/>
              <w:rPr>
                <w:rFonts w:ascii="Arial" w:hAnsi="Arial" w:cs="Arial"/>
              </w:rPr>
            </w:pPr>
          </w:p>
        </w:tc>
        <w:tc>
          <w:tcPr>
            <w:tcW w:w="1021" w:type="pct"/>
            <w:vAlign w:val="center"/>
          </w:tcPr>
          <w:p w14:paraId="48477719" w14:textId="58839B95" w:rsidR="00700C49" w:rsidRPr="00AA6889" w:rsidRDefault="00506E47" w:rsidP="00700C49">
            <w:pPr>
              <w:rPr>
                <w:rFonts w:ascii="Arial" w:hAnsi="Arial" w:cs="Arial"/>
              </w:rPr>
            </w:pPr>
            <w:r>
              <w:rPr>
                <w:rFonts w:ascii="Arial" w:hAnsi="Arial" w:cs="Arial"/>
              </w:rPr>
              <w:t>15</w:t>
            </w:r>
          </w:p>
        </w:tc>
      </w:tr>
      <w:tr w:rsidR="00700C49" w:rsidRPr="00AA6889" w14:paraId="1C44B3A4" w14:textId="77777777" w:rsidTr="00700C49">
        <w:tc>
          <w:tcPr>
            <w:tcW w:w="1348" w:type="pct"/>
          </w:tcPr>
          <w:p w14:paraId="35345A16" w14:textId="77777777" w:rsidR="00700C49" w:rsidRPr="00AA6889" w:rsidRDefault="00700C49" w:rsidP="00700C49">
            <w:pPr>
              <w:rPr>
                <w:rFonts w:ascii="Arial" w:hAnsi="Arial" w:cs="Arial"/>
                <w:b/>
                <w:bCs/>
              </w:rPr>
            </w:pPr>
            <w:r w:rsidRPr="00AA6889">
              <w:rPr>
                <w:rFonts w:ascii="Arial" w:hAnsi="Arial" w:cs="Arial"/>
                <w:b/>
                <w:bCs/>
              </w:rPr>
              <w:t xml:space="preserve">Value for </w:t>
            </w:r>
          </w:p>
          <w:p w14:paraId="3470C34D" w14:textId="77777777" w:rsidR="00700C49" w:rsidRPr="00AA6889" w:rsidRDefault="00700C49" w:rsidP="00700C49">
            <w:pPr>
              <w:rPr>
                <w:rFonts w:ascii="Arial" w:hAnsi="Arial" w:cs="Arial"/>
                <w:b/>
                <w:bCs/>
              </w:rPr>
            </w:pPr>
            <w:r w:rsidRPr="00AA6889">
              <w:rPr>
                <w:rFonts w:ascii="Arial" w:hAnsi="Arial" w:cs="Arial"/>
                <w:b/>
                <w:bCs/>
              </w:rPr>
              <w:t xml:space="preserve">Money </w:t>
            </w:r>
          </w:p>
        </w:tc>
        <w:tc>
          <w:tcPr>
            <w:tcW w:w="2631" w:type="pct"/>
          </w:tcPr>
          <w:p w14:paraId="65013B7C" w14:textId="77777777" w:rsidR="00700C49" w:rsidRPr="00041DA2" w:rsidRDefault="00700C49" w:rsidP="00041DA2">
            <w:pPr>
              <w:pStyle w:val="ListParagraph"/>
              <w:numPr>
                <w:ilvl w:val="0"/>
                <w:numId w:val="40"/>
              </w:numPr>
              <w:spacing w:after="0" w:line="240" w:lineRule="auto"/>
              <w:rPr>
                <w:rFonts w:ascii="Arial" w:hAnsi="Arial" w:cs="Arial"/>
              </w:rPr>
            </w:pPr>
            <w:r w:rsidRPr="00041DA2">
              <w:rPr>
                <w:rFonts w:ascii="Arial" w:hAnsi="Arial" w:cs="Arial"/>
              </w:rPr>
              <w:t>The value for money associated with proposals.</w:t>
            </w:r>
          </w:p>
          <w:p w14:paraId="7B53EE11" w14:textId="77777777" w:rsidR="00700C49" w:rsidRPr="00AA6889" w:rsidRDefault="00700C49" w:rsidP="00700C49">
            <w:pPr>
              <w:rPr>
                <w:rFonts w:ascii="Arial" w:hAnsi="Arial" w:cs="Arial"/>
              </w:rPr>
            </w:pPr>
          </w:p>
        </w:tc>
        <w:tc>
          <w:tcPr>
            <w:tcW w:w="1021" w:type="pct"/>
            <w:vAlign w:val="center"/>
          </w:tcPr>
          <w:p w14:paraId="5DE10333" w14:textId="77777777" w:rsidR="00700C49" w:rsidRPr="00AA6889" w:rsidRDefault="00700C49" w:rsidP="00700C49">
            <w:pPr>
              <w:rPr>
                <w:rFonts w:ascii="Arial" w:hAnsi="Arial" w:cs="Arial"/>
              </w:rPr>
            </w:pPr>
            <w:r w:rsidRPr="00AA6889">
              <w:rPr>
                <w:rFonts w:ascii="Arial" w:hAnsi="Arial" w:cs="Arial"/>
              </w:rPr>
              <w:t>5</w:t>
            </w:r>
          </w:p>
        </w:tc>
      </w:tr>
      <w:tr w:rsidR="00700C49" w:rsidRPr="00AA6889" w14:paraId="314C640C" w14:textId="77777777" w:rsidTr="00700C49">
        <w:tc>
          <w:tcPr>
            <w:tcW w:w="1348" w:type="pct"/>
          </w:tcPr>
          <w:p w14:paraId="12AC5493" w14:textId="77777777" w:rsidR="00700C49" w:rsidRPr="00AA6889" w:rsidRDefault="00700C49" w:rsidP="00700C49">
            <w:pPr>
              <w:rPr>
                <w:rFonts w:ascii="Arial" w:hAnsi="Arial" w:cs="Arial"/>
                <w:b/>
                <w:bCs/>
              </w:rPr>
            </w:pPr>
            <w:r w:rsidRPr="00AA6889">
              <w:rPr>
                <w:rFonts w:ascii="Arial" w:hAnsi="Arial" w:cs="Arial"/>
                <w:b/>
                <w:bCs/>
              </w:rPr>
              <w:t>Deliverability risk</w:t>
            </w:r>
          </w:p>
        </w:tc>
        <w:tc>
          <w:tcPr>
            <w:tcW w:w="2631" w:type="pct"/>
          </w:tcPr>
          <w:p w14:paraId="78355581" w14:textId="77777777" w:rsidR="00700C49" w:rsidRPr="00041DA2" w:rsidRDefault="00700C49" w:rsidP="00041DA2">
            <w:pPr>
              <w:pStyle w:val="ListParagraph"/>
              <w:numPr>
                <w:ilvl w:val="0"/>
                <w:numId w:val="40"/>
              </w:numPr>
              <w:spacing w:after="0" w:line="240" w:lineRule="auto"/>
              <w:rPr>
                <w:rFonts w:ascii="Arial" w:hAnsi="Arial" w:cs="Arial"/>
              </w:rPr>
            </w:pPr>
            <w:r w:rsidRPr="00041DA2">
              <w:rPr>
                <w:rFonts w:ascii="Arial" w:hAnsi="Arial" w:cs="Arial"/>
              </w:rPr>
              <w:t xml:space="preserve">Robust assessment of deliverability, capacity, and risks. </w:t>
            </w:r>
          </w:p>
          <w:p w14:paraId="311E285B" w14:textId="77777777" w:rsidR="00700C49" w:rsidRPr="00AA6889" w:rsidRDefault="00700C49" w:rsidP="00700C49">
            <w:pPr>
              <w:ind w:left="720"/>
              <w:rPr>
                <w:rFonts w:ascii="Arial" w:hAnsi="Arial" w:cs="Arial"/>
              </w:rPr>
            </w:pPr>
          </w:p>
          <w:p w14:paraId="6CFEF383" w14:textId="77777777" w:rsidR="00700C49" w:rsidRPr="00D90DEF" w:rsidRDefault="00700C49" w:rsidP="00D90DEF">
            <w:pPr>
              <w:pStyle w:val="ListParagraph"/>
              <w:numPr>
                <w:ilvl w:val="0"/>
                <w:numId w:val="40"/>
              </w:numPr>
              <w:spacing w:after="0" w:line="240" w:lineRule="auto"/>
              <w:rPr>
                <w:rFonts w:ascii="Arial" w:hAnsi="Arial" w:cs="Arial"/>
              </w:rPr>
            </w:pPr>
            <w:r w:rsidRPr="00D90DEF">
              <w:rPr>
                <w:rFonts w:ascii="Arial" w:hAnsi="Arial" w:cs="Arial"/>
              </w:rPr>
              <w:t>Clear explanation of delivery routes, timeframes, and key milestones. Strong arrangements for local transparency, and accountability, monitoring and evaluation.</w:t>
            </w:r>
          </w:p>
          <w:p w14:paraId="0BD0DB3C" w14:textId="77777777" w:rsidR="00700C49" w:rsidRPr="00AA6889" w:rsidRDefault="00700C49" w:rsidP="00700C49">
            <w:pPr>
              <w:ind w:left="720"/>
              <w:rPr>
                <w:rFonts w:ascii="Arial" w:hAnsi="Arial" w:cs="Arial"/>
              </w:rPr>
            </w:pPr>
          </w:p>
          <w:p w14:paraId="66773CF9" w14:textId="77777777" w:rsidR="00700C49" w:rsidRPr="00D90DEF" w:rsidRDefault="00700C49" w:rsidP="00D90DEF">
            <w:pPr>
              <w:pStyle w:val="ListParagraph"/>
              <w:numPr>
                <w:ilvl w:val="0"/>
                <w:numId w:val="40"/>
              </w:numPr>
              <w:spacing w:after="0" w:line="240" w:lineRule="auto"/>
              <w:rPr>
                <w:rFonts w:ascii="Arial" w:hAnsi="Arial" w:cs="Arial"/>
              </w:rPr>
            </w:pPr>
            <w:r w:rsidRPr="00D90DEF">
              <w:rPr>
                <w:rFonts w:ascii="Arial" w:hAnsi="Arial" w:cs="Arial"/>
              </w:rPr>
              <w:t xml:space="preserve">Ability to deploy the funding within the timeframe set and to implement at pace; and evidence of partnership strength, commitment (as appropriate) and strategic backing. </w:t>
            </w:r>
          </w:p>
          <w:p w14:paraId="076B14CC" w14:textId="77777777" w:rsidR="00700C49" w:rsidRPr="00AA6889" w:rsidRDefault="00700C49" w:rsidP="00700C49">
            <w:pPr>
              <w:rPr>
                <w:rFonts w:ascii="Arial" w:hAnsi="Arial" w:cs="Arial"/>
              </w:rPr>
            </w:pPr>
          </w:p>
        </w:tc>
        <w:tc>
          <w:tcPr>
            <w:tcW w:w="1021" w:type="pct"/>
            <w:vAlign w:val="center"/>
          </w:tcPr>
          <w:p w14:paraId="32097EA6" w14:textId="77777777" w:rsidR="00700C49" w:rsidRPr="00AA6889" w:rsidRDefault="00700C49" w:rsidP="00700C49">
            <w:pPr>
              <w:rPr>
                <w:rFonts w:ascii="Arial" w:hAnsi="Arial" w:cs="Arial"/>
              </w:rPr>
            </w:pPr>
            <w:r w:rsidRPr="00AA6889">
              <w:rPr>
                <w:rFonts w:ascii="Arial" w:hAnsi="Arial" w:cs="Arial"/>
              </w:rPr>
              <w:t>15</w:t>
            </w:r>
          </w:p>
        </w:tc>
      </w:tr>
      <w:tr w:rsidR="00700C49" w:rsidRPr="00AA6889" w14:paraId="683D21F0" w14:textId="77777777" w:rsidTr="00700C49">
        <w:tc>
          <w:tcPr>
            <w:tcW w:w="1348" w:type="pct"/>
          </w:tcPr>
          <w:p w14:paraId="5AA6ED9C" w14:textId="77777777" w:rsidR="00700C49" w:rsidRPr="00AA6889" w:rsidRDefault="00700C49" w:rsidP="00700C49">
            <w:pPr>
              <w:rPr>
                <w:rFonts w:ascii="Arial" w:hAnsi="Arial" w:cs="Arial"/>
                <w:b/>
                <w:bCs/>
              </w:rPr>
            </w:pPr>
            <w:r w:rsidRPr="00AA6889">
              <w:rPr>
                <w:rFonts w:ascii="Arial" w:hAnsi="Arial" w:cs="Arial"/>
                <w:b/>
                <w:bCs/>
              </w:rPr>
              <w:t xml:space="preserve">UK Subsidy Control </w:t>
            </w:r>
          </w:p>
        </w:tc>
        <w:tc>
          <w:tcPr>
            <w:tcW w:w="2631" w:type="pct"/>
          </w:tcPr>
          <w:p w14:paraId="50F65DED" w14:textId="77777777" w:rsidR="00700C49" w:rsidRPr="00D90DEF" w:rsidRDefault="00700C49" w:rsidP="00D90DEF">
            <w:pPr>
              <w:pStyle w:val="ListParagraph"/>
              <w:numPr>
                <w:ilvl w:val="0"/>
                <w:numId w:val="41"/>
              </w:numPr>
              <w:spacing w:after="0" w:line="240" w:lineRule="auto"/>
              <w:rPr>
                <w:rFonts w:ascii="Arial" w:hAnsi="Arial" w:cs="Arial"/>
              </w:rPr>
            </w:pPr>
            <w:r w:rsidRPr="00D90DEF">
              <w:rPr>
                <w:rFonts w:ascii="Arial" w:hAnsi="Arial" w:cs="Arial"/>
              </w:rPr>
              <w:t>Subsidy Control risk will be established through an assessment of the applicant’s understanding of the relevant Subsidy Control considerations and solutions and the degree to which they have taken and provided evidence of appropriate legal/professional advice.</w:t>
            </w:r>
          </w:p>
          <w:p w14:paraId="00DC5489" w14:textId="77777777" w:rsidR="00700C49" w:rsidRPr="00AA6889" w:rsidRDefault="00700C49" w:rsidP="00700C49">
            <w:pPr>
              <w:rPr>
                <w:rFonts w:ascii="Arial" w:hAnsi="Arial" w:cs="Arial"/>
              </w:rPr>
            </w:pPr>
          </w:p>
        </w:tc>
        <w:tc>
          <w:tcPr>
            <w:tcW w:w="1021" w:type="pct"/>
            <w:vAlign w:val="center"/>
          </w:tcPr>
          <w:p w14:paraId="1FA3C158" w14:textId="77777777" w:rsidR="00700C49" w:rsidRPr="00AA6889" w:rsidRDefault="00700C49" w:rsidP="00700C49">
            <w:pPr>
              <w:rPr>
                <w:rFonts w:ascii="Arial" w:hAnsi="Arial" w:cs="Arial"/>
              </w:rPr>
            </w:pPr>
            <w:r w:rsidRPr="00AA6889">
              <w:rPr>
                <w:rFonts w:ascii="Arial" w:hAnsi="Arial" w:cs="Arial"/>
              </w:rPr>
              <w:t>5</w:t>
            </w:r>
          </w:p>
        </w:tc>
      </w:tr>
    </w:tbl>
    <w:p w14:paraId="0C4BD8C8" w14:textId="77777777" w:rsidR="00700C49" w:rsidRPr="00AA6889" w:rsidRDefault="00700C49" w:rsidP="00700C49">
      <w:pPr>
        <w:spacing w:after="0" w:line="240" w:lineRule="auto"/>
        <w:rPr>
          <w:rFonts w:ascii="Arial" w:hAnsi="Arial" w:cs="Arial"/>
        </w:rPr>
      </w:pPr>
    </w:p>
    <w:p w14:paraId="54C831B1" w14:textId="77777777" w:rsidR="00700C49" w:rsidRPr="00AA6889" w:rsidRDefault="00700C49" w:rsidP="00700C49">
      <w:pPr>
        <w:spacing w:after="0" w:line="240" w:lineRule="auto"/>
        <w:rPr>
          <w:rFonts w:ascii="Arial" w:hAnsi="Arial" w:cs="Arial"/>
        </w:rPr>
      </w:pPr>
      <w:r w:rsidRPr="00AA6889">
        <w:rPr>
          <w:rFonts w:ascii="Arial" w:hAnsi="Arial" w:cs="Arial"/>
        </w:rPr>
        <w:t>Scoring of proposals will be undertaken by a panel made up of Officers of the NTCA and other relevant advisory members and will be processed in line with the NTCA’s Assurance Framework. Promising applications will require consideration by: NTCA’s Technical Officers Group and Investment Panel. NTCA may enter dialogue with applicants and seek clarification at any point in the application process.</w:t>
      </w:r>
    </w:p>
    <w:p w14:paraId="1F27469E" w14:textId="77777777" w:rsidR="00700C49" w:rsidRPr="00AA6889" w:rsidRDefault="00700C49" w:rsidP="00700C49">
      <w:pPr>
        <w:spacing w:after="0" w:line="240" w:lineRule="auto"/>
        <w:rPr>
          <w:rFonts w:ascii="Arial" w:hAnsi="Arial" w:cs="Arial"/>
        </w:rPr>
      </w:pPr>
    </w:p>
    <w:p w14:paraId="40CCE3C8" w14:textId="0E0C0596" w:rsidR="00700C49" w:rsidRPr="00AA6889" w:rsidRDefault="00700C49" w:rsidP="00700C49">
      <w:pPr>
        <w:spacing w:after="0" w:line="240" w:lineRule="auto"/>
        <w:rPr>
          <w:rFonts w:ascii="Arial" w:hAnsi="Arial" w:cs="Arial"/>
        </w:rPr>
      </w:pPr>
      <w:r w:rsidRPr="00AA6889">
        <w:rPr>
          <w:rFonts w:ascii="Arial" w:hAnsi="Arial" w:cs="Arial"/>
        </w:rPr>
        <w:t xml:space="preserve">NOTE: a detailed scoring </w:t>
      </w:r>
      <w:r w:rsidR="00440980">
        <w:rPr>
          <w:rFonts w:ascii="Arial" w:hAnsi="Arial" w:cs="Arial"/>
        </w:rPr>
        <w:t>m</w:t>
      </w:r>
      <w:r w:rsidRPr="00AA6889">
        <w:rPr>
          <w:rFonts w:ascii="Arial" w:hAnsi="Arial" w:cs="Arial"/>
        </w:rPr>
        <w:t>atrix is provided at Appendix 1.</w:t>
      </w:r>
    </w:p>
    <w:p w14:paraId="0F4B34F8" w14:textId="77777777" w:rsidR="00700C49" w:rsidRPr="00AA6889" w:rsidRDefault="00700C49" w:rsidP="00700C49">
      <w:pPr>
        <w:spacing w:after="0" w:line="240" w:lineRule="auto"/>
        <w:rPr>
          <w:rFonts w:ascii="Arial" w:hAnsi="Arial" w:cs="Arial"/>
        </w:rPr>
      </w:pPr>
    </w:p>
    <w:p w14:paraId="533BC23E" w14:textId="77777777" w:rsidR="00700C49" w:rsidRPr="00AA6889" w:rsidRDefault="00700C49" w:rsidP="00AA6889">
      <w:pPr>
        <w:numPr>
          <w:ilvl w:val="0"/>
          <w:numId w:val="35"/>
        </w:numPr>
        <w:spacing w:after="0" w:line="240" w:lineRule="auto"/>
        <w:ind w:firstLine="0"/>
        <w:contextualSpacing/>
        <w:rPr>
          <w:rFonts w:ascii="Arial" w:hAnsi="Arial" w:cs="Arial"/>
          <w:b/>
          <w:bCs/>
        </w:rPr>
      </w:pPr>
      <w:r w:rsidRPr="00AA6889">
        <w:rPr>
          <w:rFonts w:ascii="Arial" w:hAnsi="Arial" w:cs="Arial"/>
          <w:b/>
          <w:bCs/>
        </w:rPr>
        <w:t>Subsidy control</w:t>
      </w:r>
    </w:p>
    <w:p w14:paraId="3697AE8C"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Following the UK</w:t>
      </w:r>
      <w:r w:rsidRPr="00AA6889">
        <w:rPr>
          <w:rFonts w:ascii="Arial" w:eastAsia="Arial Unicode MS" w:hAnsi="Arial" w:cs="Arial"/>
          <w:color w:val="000000"/>
          <w:u w:color="000000"/>
          <w:bdr w:val="nil"/>
          <w:rtl/>
          <w:lang w:val="en-US" w:eastAsia="en-GB"/>
          <w14:textOutline w14:w="0" w14:cap="flat" w14:cmpd="sng" w14:algn="ctr">
            <w14:noFill/>
            <w14:prstDash w14:val="solid"/>
            <w14:bevel/>
          </w14:textOutline>
        </w:rPr>
        <w:t>’</w:t>
      </w: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s departure from the European Union on 31</w:t>
      </w:r>
      <w:r w:rsidRPr="00AA6889">
        <w:rPr>
          <w:rFonts w:ascii="Arial" w:eastAsia="Arial Unicode MS" w:hAnsi="Arial" w:cs="Arial"/>
          <w:color w:val="000000"/>
          <w:u w:color="000000"/>
          <w:bdr w:val="nil"/>
          <w:vertAlign w:val="superscript"/>
          <w:lang w:val="en-US" w:eastAsia="en-GB"/>
          <w14:textOutline w14:w="0" w14:cap="flat" w14:cmpd="sng" w14:algn="ctr">
            <w14:noFill/>
            <w14:prstDash w14:val="solid"/>
            <w14:bevel/>
          </w14:textOutline>
        </w:rPr>
        <w:t>st</w:t>
      </w: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December 2020, a new </w:t>
      </w:r>
    </w:p>
    <w:p w14:paraId="74100B85"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subsidy control regime is now in place. As such, NTCA require all applicants for funding to </w:t>
      </w:r>
    </w:p>
    <w:p w14:paraId="2696E547"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seek advice setting out how projects are compliant with the new UK Subsidy regime. The </w:t>
      </w:r>
    </w:p>
    <w:p w14:paraId="05E6A74B"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application includes a specific section for applicants to respond. </w:t>
      </w:r>
    </w:p>
    <w:p w14:paraId="7CAC9B32"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p>
    <w:p w14:paraId="04CABACA"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(This is a requirement under the new regime, as set out in the BEIS Technical Guidance </w:t>
      </w:r>
    </w:p>
    <w:p w14:paraId="706C80F7" w14:textId="4E6AAAD3" w:rsidR="00700C49" w:rsidRPr="00AA6889" w:rsidRDefault="00700C49" w:rsidP="00700C49">
      <w:pPr>
        <w:pBdr>
          <w:top w:val="nil"/>
          <w:left w:val="nil"/>
          <w:bottom w:val="nil"/>
          <w:right w:val="nil"/>
          <w:between w:val="nil"/>
          <w:bar w:val="nil"/>
        </w:pBdr>
        <w:spacing w:after="0" w:line="240" w:lineRule="auto"/>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(which can be accessed here: </w:t>
      </w:r>
      <w:hyperlink r:id="rId12" w:history="1">
        <w:r w:rsidRPr="00AA6889">
          <w:rPr>
            <w:rFonts w:ascii="Arial" w:eastAsia="Arial Unicode MS" w:hAnsi="Arial" w:cs="Arial"/>
            <w:i/>
            <w:iCs/>
            <w:color w:val="000000"/>
            <w:u w:color="000000"/>
            <w:bdr w:val="nil"/>
            <w:lang w:val="en-US" w:eastAsia="en-GB"/>
            <w14:textOutline w14:w="0" w14:cap="flat" w14:cmpd="sng" w14:algn="ctr">
              <w14:noFill/>
              <w14:prstDash w14:val="solid"/>
              <w14:bevel/>
            </w14:textOutline>
          </w:rPr>
          <w:t>https://www.gov.uk/government/publications/complying-with-the-uks-international-obligations-on-subsidy-control-guidance-for-public-authorities/technical-guidance-on-the-uks-international-subsidy-control-commitments-from-1-january-2021</w:t>
        </w:r>
      </w:hyperlink>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w:t>
      </w:r>
    </w:p>
    <w:p w14:paraId="0D9C7CAB"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p>
    <w:p w14:paraId="47676631" w14:textId="77777777" w:rsidR="00700C49" w:rsidRPr="00AA6889" w:rsidRDefault="00700C49" w:rsidP="00700C49">
      <w:pPr>
        <w:pBdr>
          <w:top w:val="nil"/>
          <w:left w:val="nil"/>
          <w:bottom w:val="nil"/>
          <w:right w:val="nil"/>
          <w:between w:val="nil"/>
          <w:bar w:val="nil"/>
        </w:pBdr>
        <w:shd w:val="clear" w:color="auto" w:fill="FFFFFF"/>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Please note the advice should cover both receipt of the Funding from NTCA and the </w:t>
      </w:r>
    </w:p>
    <w:p w14:paraId="64C836DF" w14:textId="77777777" w:rsidR="00700C49" w:rsidRPr="00AA6889" w:rsidRDefault="00700C49" w:rsidP="00700C49">
      <w:pPr>
        <w:pBdr>
          <w:top w:val="nil"/>
          <w:left w:val="nil"/>
          <w:bottom w:val="nil"/>
          <w:right w:val="nil"/>
          <w:between w:val="nil"/>
          <w:bar w:val="nil"/>
        </w:pBdr>
        <w:shd w:val="clear" w:color="auto" w:fill="FFFFFF"/>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subsequent transfer of that Funding to third parties.</w:t>
      </w:r>
    </w:p>
    <w:p w14:paraId="6FEDF761"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p>
    <w:p w14:paraId="1738336F"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To comply with new subsidy control regulations, all awards that are considered </w:t>
      </w:r>
      <w:r w:rsidRPr="00AA6889">
        <w:rPr>
          <w:rFonts w:ascii="Arial" w:eastAsia="Arial Unicode MS" w:hAnsi="Arial" w:cs="Arial"/>
          <w:color w:val="000000"/>
          <w:u w:color="000000"/>
          <w:bdr w:val="nil"/>
          <w:rtl/>
          <w:lang w:val="en-US" w:eastAsia="en-GB"/>
          <w14:textOutline w14:w="0" w14:cap="flat" w14:cmpd="sng" w14:algn="ctr">
            <w14:noFill/>
            <w14:prstDash w14:val="solid"/>
            <w14:bevel/>
          </w14:textOutline>
        </w:rPr>
        <w:t>‘</w:t>
      </w: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subsidies</w:t>
      </w:r>
      <w:r w:rsidRPr="00AA6889">
        <w:rPr>
          <w:rFonts w:ascii="Arial" w:eastAsia="Arial Unicode MS" w:hAnsi="Arial" w:cs="Arial"/>
          <w:color w:val="000000"/>
          <w:u w:color="000000"/>
          <w:bdr w:val="nil"/>
          <w:rtl/>
          <w:lang w:val="en-US" w:eastAsia="en-GB"/>
          <w14:textOutline w14:w="0" w14:cap="flat" w14:cmpd="sng" w14:algn="ctr">
            <w14:noFill/>
            <w14:prstDash w14:val="solid"/>
            <w14:bevel/>
          </w14:textOutline>
        </w:rPr>
        <w:t>’</w:t>
      </w: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p>
    <w:p w14:paraId="6219F214"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lastRenderedPageBreak/>
        <w:t xml:space="preserve">and with a value of over £300,000, will be published on the new BEIS transparency </w:t>
      </w:r>
    </w:p>
    <w:p w14:paraId="1868D16B" w14:textId="77777777" w:rsidR="00700C49" w:rsidRPr="00AA6889" w:rsidRDefault="00700C49" w:rsidP="00700C49">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database. All awards will be monitored for their ongoing compliance with subsidy control </w:t>
      </w:r>
    </w:p>
    <w:p w14:paraId="62FD23D0" w14:textId="18F8273C" w:rsidR="00F43A3B" w:rsidRPr="00440980" w:rsidRDefault="00700C49" w:rsidP="00440980">
      <w:pPr>
        <w:pBdr>
          <w:top w:val="nil"/>
          <w:left w:val="nil"/>
          <w:bottom w:val="nil"/>
          <w:right w:val="nil"/>
          <w:between w:val="nil"/>
          <w:bar w:val="nil"/>
        </w:pBdr>
        <w:spacing w:after="0" w:line="240" w:lineRule="auto"/>
        <w:ind w:left="720" w:hanging="720"/>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A6889">
        <w:rPr>
          <w:rFonts w:ascii="Arial" w:eastAsia="Arial Unicode MS" w:hAnsi="Arial" w:cs="Arial"/>
          <w:color w:val="000000"/>
          <w:u w:color="000000"/>
          <w:bdr w:val="nil"/>
          <w:lang w:val="en-US" w:eastAsia="en-GB"/>
          <w14:textOutline w14:w="0" w14:cap="flat" w14:cmpd="sng" w14:algn="ctr">
            <w14:noFill/>
            <w14:prstDash w14:val="solid"/>
            <w14:bevel/>
          </w14:textOutline>
        </w:rPr>
        <w:t>rules.</w:t>
      </w:r>
    </w:p>
    <w:p w14:paraId="3B3BCF6B" w14:textId="77777777" w:rsidR="00F43A3B" w:rsidRPr="00AA6889" w:rsidRDefault="00F43A3B" w:rsidP="00700C49">
      <w:pPr>
        <w:spacing w:after="0" w:line="240" w:lineRule="auto"/>
        <w:rPr>
          <w:rFonts w:ascii="Arial" w:hAnsi="Arial" w:cs="Arial"/>
        </w:rPr>
      </w:pPr>
    </w:p>
    <w:p w14:paraId="31D6F9DB"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Application Process and submission of proposals</w:t>
      </w:r>
    </w:p>
    <w:p w14:paraId="0FEF87F0" w14:textId="19E11F34" w:rsidR="00700C49" w:rsidRPr="00AA6889" w:rsidRDefault="003D171B" w:rsidP="003D171B">
      <w:pPr>
        <w:pStyle w:val="ListParagraph"/>
        <w:ind w:left="0"/>
        <w:rPr>
          <w:rFonts w:ascii="Arial" w:hAnsi="Arial" w:cs="Arial"/>
          <w:lang w:eastAsia="en-GB"/>
        </w:rPr>
      </w:pPr>
      <w:r w:rsidRPr="003D171B">
        <w:rPr>
          <w:rFonts w:ascii="Arial" w:hAnsi="Arial" w:cs="Arial"/>
        </w:rPr>
        <w:t xml:space="preserve">To request an application for this opportunity, please contact Ruth Gaul  telephone </w:t>
      </w:r>
      <w:r w:rsidRPr="003D171B">
        <w:rPr>
          <w:rFonts w:ascii="Arial" w:hAnsi="Arial" w:cs="Arial"/>
          <w:lang w:eastAsia="en-GB"/>
        </w:rPr>
        <w:t xml:space="preserve">07500997539 or e mail </w:t>
      </w:r>
      <w:r w:rsidRPr="003D171B">
        <w:rPr>
          <w:rFonts w:ascii="Arial" w:hAnsi="Arial" w:cs="Arial"/>
        </w:rPr>
        <w:t xml:space="preserve"> </w:t>
      </w:r>
      <w:hyperlink r:id="rId13" w:history="1">
        <w:r w:rsidRPr="003D171B">
          <w:rPr>
            <w:rFonts w:ascii="Arial" w:eastAsia="Arial" w:hAnsi="Arial" w:cs="Arial"/>
            <w:color w:val="0563C1" w:themeColor="hyperlink"/>
            <w:u w:val="single"/>
            <w:bdr w:val="nil"/>
            <w:lang w:val="it-IT" w:eastAsia="en-GB"/>
            <w14:textOutline w14:w="0" w14:cap="flat" w14:cmpd="sng" w14:algn="ctr">
              <w14:noFill/>
              <w14:prstDash w14:val="solid"/>
              <w14:bevel/>
            </w14:textOutline>
          </w:rPr>
          <w:t>ruth.gaul@northoftyne-ca.gov.uk</w:t>
        </w:r>
      </w:hyperlink>
      <w:r>
        <w:rPr>
          <w:rFonts w:ascii="Arial" w:eastAsia="Arial" w:hAnsi="Arial" w:cs="Arial"/>
          <w:color w:val="0000FF"/>
          <w:u w:val="single" w:color="0000FF"/>
          <w:bdr w:val="nil"/>
          <w:lang w:val="it-IT" w:eastAsia="en-GB"/>
          <w14:textOutline w14:w="0" w14:cap="flat" w14:cmpd="sng" w14:algn="ctr">
            <w14:noFill/>
            <w14:prstDash w14:val="solid"/>
            <w14:bevel/>
          </w14:textOutline>
        </w:rPr>
        <w:t xml:space="preserve"> </w:t>
      </w:r>
      <w:r w:rsidR="00700C49" w:rsidRPr="00AA6889">
        <w:rPr>
          <w:rFonts w:ascii="Arial" w:hAnsi="Arial" w:cs="Arial"/>
        </w:rPr>
        <w:t xml:space="preserve">Along with this form it may be useful to provide further complementary detail or supporting evidence as appropriate including: </w:t>
      </w:r>
    </w:p>
    <w:p w14:paraId="733EB3CA" w14:textId="77777777" w:rsidR="00700C49" w:rsidRPr="00AA6889" w:rsidRDefault="00700C49" w:rsidP="00700C49">
      <w:pPr>
        <w:numPr>
          <w:ilvl w:val="0"/>
          <w:numId w:val="38"/>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A description of your organisation, its structure, and the biography of key team members. </w:t>
      </w:r>
    </w:p>
    <w:p w14:paraId="47842FAA" w14:textId="77777777" w:rsidR="00700C49" w:rsidRPr="00AA6889" w:rsidRDefault="00700C49" w:rsidP="00700C49">
      <w:pPr>
        <w:numPr>
          <w:ilvl w:val="0"/>
          <w:numId w:val="38"/>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The organisation’s knowledge of the labour market landscape North of Tyne or strategic value that can be added because of regional, national, or international experience, expertise, and track record.</w:t>
      </w:r>
    </w:p>
    <w:p w14:paraId="35255A29" w14:textId="77777777" w:rsidR="00700C49" w:rsidRPr="00AA6889" w:rsidRDefault="00700C49" w:rsidP="00700C49">
      <w:pPr>
        <w:numPr>
          <w:ilvl w:val="0"/>
          <w:numId w:val="38"/>
        </w:numPr>
        <w:autoSpaceDE w:val="0"/>
        <w:autoSpaceDN w:val="0"/>
        <w:adjustRightInd w:val="0"/>
        <w:spacing w:after="0" w:line="240" w:lineRule="auto"/>
        <w:contextualSpacing/>
        <w:rPr>
          <w:rFonts w:ascii="Arial" w:hAnsi="Arial" w:cs="Arial"/>
          <w:color w:val="000000"/>
          <w:shd w:val="clear" w:color="auto" w:fill="FFFFFF"/>
          <w:lang w:eastAsia="en-GB"/>
        </w:rPr>
      </w:pPr>
      <w:r w:rsidRPr="00AA6889">
        <w:rPr>
          <w:rFonts w:ascii="Arial" w:hAnsi="Arial" w:cs="Arial"/>
          <w:color w:val="000000"/>
          <w:shd w:val="clear" w:color="auto" w:fill="FFFFFF"/>
          <w:lang w:eastAsia="en-GB"/>
        </w:rPr>
        <w:t xml:space="preserve">Relevant performance information and relevant examples of past performance and impact. </w:t>
      </w:r>
    </w:p>
    <w:p w14:paraId="30AEC301" w14:textId="77777777" w:rsidR="00700C49" w:rsidRPr="00AA6889" w:rsidRDefault="00700C49" w:rsidP="00700C49">
      <w:pPr>
        <w:spacing w:after="0" w:line="240" w:lineRule="auto"/>
        <w:rPr>
          <w:rFonts w:ascii="Arial" w:hAnsi="Arial" w:cs="Arial"/>
        </w:rPr>
      </w:pPr>
    </w:p>
    <w:p w14:paraId="19495413" w14:textId="76F606D5" w:rsidR="00700C49" w:rsidRDefault="00700C49" w:rsidP="0070788A">
      <w:pPr>
        <w:spacing w:after="0" w:line="240" w:lineRule="auto"/>
        <w:rPr>
          <w:rFonts w:ascii="Arial" w:hAnsi="Arial" w:cs="Arial"/>
        </w:rPr>
      </w:pPr>
      <w:r w:rsidRPr="00AA6889">
        <w:rPr>
          <w:rFonts w:ascii="Arial" w:hAnsi="Arial" w:cs="Arial"/>
        </w:rPr>
        <w:t xml:space="preserve">Applicants should be aware that queries will be </w:t>
      </w:r>
      <w:r w:rsidR="0070788A" w:rsidRPr="0070788A">
        <w:rPr>
          <w:rFonts w:ascii="Arial" w:hAnsi="Arial" w:cs="Arial"/>
        </w:rPr>
        <w:t>queries will be anonymised and all organisations who have requested an application form will be informed of the query responses.</w:t>
      </w:r>
    </w:p>
    <w:p w14:paraId="57711635" w14:textId="77777777" w:rsidR="0070788A" w:rsidRPr="00AA6889" w:rsidRDefault="0070788A" w:rsidP="0070788A">
      <w:pPr>
        <w:spacing w:after="0" w:line="240" w:lineRule="auto"/>
        <w:rPr>
          <w:rFonts w:ascii="Arial" w:hAnsi="Arial" w:cs="Arial"/>
        </w:rPr>
      </w:pPr>
    </w:p>
    <w:p w14:paraId="2D2B13C0" w14:textId="77777777" w:rsidR="00700C49" w:rsidRPr="00AA6889" w:rsidRDefault="00700C49" w:rsidP="00700C49">
      <w:pPr>
        <w:spacing w:after="0" w:line="240" w:lineRule="auto"/>
        <w:rPr>
          <w:rFonts w:ascii="Arial" w:hAnsi="Arial" w:cs="Arial"/>
        </w:rPr>
      </w:pPr>
      <w:r w:rsidRPr="00AA6889">
        <w:rPr>
          <w:rFonts w:ascii="Arial" w:hAnsi="Arial" w:cs="Arial"/>
        </w:rPr>
        <w:t xml:space="preserve">This call for project proposals will open on </w:t>
      </w:r>
      <w:r w:rsidRPr="00F43A3B">
        <w:rPr>
          <w:rFonts w:ascii="Arial" w:hAnsi="Arial" w:cs="Arial"/>
        </w:rPr>
        <w:t>the 26</w:t>
      </w:r>
      <w:r w:rsidRPr="00F43A3B">
        <w:rPr>
          <w:rFonts w:ascii="Arial" w:hAnsi="Arial" w:cs="Arial"/>
          <w:vertAlign w:val="superscript"/>
        </w:rPr>
        <w:t>th</w:t>
      </w:r>
      <w:r w:rsidRPr="00F43A3B">
        <w:rPr>
          <w:rFonts w:ascii="Arial" w:hAnsi="Arial" w:cs="Arial"/>
        </w:rPr>
        <w:t xml:space="preserve"> April 2021 and close at midnight 16</w:t>
      </w:r>
      <w:r w:rsidRPr="00F43A3B">
        <w:rPr>
          <w:rFonts w:ascii="Arial" w:hAnsi="Arial" w:cs="Arial"/>
          <w:vertAlign w:val="superscript"/>
        </w:rPr>
        <w:t>th</w:t>
      </w:r>
      <w:r w:rsidRPr="00F43A3B">
        <w:rPr>
          <w:rFonts w:ascii="Arial" w:hAnsi="Arial" w:cs="Arial"/>
        </w:rPr>
        <w:t xml:space="preserve"> May 2021. Please consider the following strategic documents that may help you with your</w:t>
      </w:r>
      <w:r w:rsidRPr="00AA6889">
        <w:rPr>
          <w:rFonts w:ascii="Arial" w:hAnsi="Arial" w:cs="Arial"/>
        </w:rPr>
        <w:t xml:space="preserve"> application. </w:t>
      </w:r>
    </w:p>
    <w:p w14:paraId="68A18517" w14:textId="77777777" w:rsidR="00700C49" w:rsidRPr="00AA6889" w:rsidRDefault="00700C49" w:rsidP="00700C49">
      <w:pPr>
        <w:spacing w:after="0" w:line="240" w:lineRule="auto"/>
        <w:rPr>
          <w:rFonts w:ascii="Arial" w:hAnsi="Arial" w:cs="Arial"/>
        </w:rPr>
      </w:pPr>
    </w:p>
    <w:p w14:paraId="177BA31E" w14:textId="77777777" w:rsidR="00700C49" w:rsidRPr="00AA6889" w:rsidRDefault="0003175F" w:rsidP="00700C49">
      <w:pPr>
        <w:numPr>
          <w:ilvl w:val="0"/>
          <w:numId w:val="34"/>
        </w:numPr>
        <w:spacing w:after="0" w:line="240" w:lineRule="auto"/>
        <w:ind w:left="0" w:firstLine="0"/>
        <w:contextualSpacing/>
        <w:rPr>
          <w:rFonts w:ascii="Arial" w:hAnsi="Arial" w:cs="Arial"/>
        </w:rPr>
      </w:pPr>
      <w:hyperlink r:id="rId14" w:history="1">
        <w:r w:rsidR="00700C49" w:rsidRPr="00AA6889">
          <w:rPr>
            <w:rFonts w:ascii="Arial" w:hAnsi="Arial" w:cs="Arial"/>
            <w:color w:val="0563C1" w:themeColor="hyperlink"/>
            <w:u w:val="single"/>
          </w:rPr>
          <w:t>North of Tyne Economic Vision</w:t>
        </w:r>
      </w:hyperlink>
      <w:r w:rsidR="00700C49" w:rsidRPr="00AA6889">
        <w:rPr>
          <w:rFonts w:ascii="Arial" w:hAnsi="Arial" w:cs="Arial"/>
        </w:rPr>
        <w:t xml:space="preserve">; </w:t>
      </w:r>
    </w:p>
    <w:p w14:paraId="7D2D6E9E" w14:textId="77777777" w:rsidR="00700C49" w:rsidRPr="00AA6889" w:rsidRDefault="0003175F" w:rsidP="00700C49">
      <w:pPr>
        <w:numPr>
          <w:ilvl w:val="0"/>
          <w:numId w:val="34"/>
        </w:numPr>
        <w:spacing w:after="0" w:line="240" w:lineRule="auto"/>
        <w:ind w:left="0" w:firstLine="0"/>
        <w:contextualSpacing/>
        <w:rPr>
          <w:rFonts w:ascii="Arial" w:hAnsi="Arial" w:cs="Arial"/>
        </w:rPr>
      </w:pPr>
      <w:hyperlink r:id="rId15" w:history="1">
        <w:r w:rsidR="00700C49" w:rsidRPr="00AA6889">
          <w:rPr>
            <w:rFonts w:ascii="Arial" w:hAnsi="Arial" w:cs="Arial"/>
            <w:color w:val="0563C1" w:themeColor="hyperlink"/>
            <w:u w:val="single"/>
          </w:rPr>
          <w:t>North of Tyne Inclusive Economy Statement</w:t>
        </w:r>
      </w:hyperlink>
      <w:r w:rsidR="00700C49" w:rsidRPr="00AA6889">
        <w:rPr>
          <w:rFonts w:ascii="Arial" w:hAnsi="Arial" w:cs="Arial"/>
        </w:rPr>
        <w:t xml:space="preserve">; </w:t>
      </w:r>
    </w:p>
    <w:p w14:paraId="52F9907E" w14:textId="77777777" w:rsidR="00700C49" w:rsidRPr="00AA6889" w:rsidRDefault="0003175F" w:rsidP="00700C49">
      <w:pPr>
        <w:numPr>
          <w:ilvl w:val="0"/>
          <w:numId w:val="34"/>
        </w:numPr>
        <w:spacing w:after="0" w:line="240" w:lineRule="auto"/>
        <w:ind w:left="0" w:firstLine="0"/>
        <w:contextualSpacing/>
        <w:rPr>
          <w:rFonts w:ascii="Arial" w:hAnsi="Arial" w:cs="Arial"/>
          <w:color w:val="0563C1" w:themeColor="hyperlink"/>
          <w:u w:val="single"/>
        </w:rPr>
      </w:pPr>
      <w:hyperlink r:id="rId16" w:history="1">
        <w:r w:rsidR="00700C49" w:rsidRPr="00AA6889">
          <w:rPr>
            <w:rFonts w:ascii="Arial" w:hAnsi="Arial" w:cs="Arial"/>
            <w:color w:val="0563C1" w:themeColor="hyperlink"/>
            <w:u w:val="single"/>
          </w:rPr>
          <w:t>North East Strategic Economic Plan</w:t>
        </w:r>
      </w:hyperlink>
    </w:p>
    <w:p w14:paraId="4B291D98" w14:textId="77777777" w:rsidR="00700C49" w:rsidRPr="00AA6889" w:rsidRDefault="0003175F" w:rsidP="00700C49">
      <w:pPr>
        <w:numPr>
          <w:ilvl w:val="0"/>
          <w:numId w:val="34"/>
        </w:numPr>
        <w:spacing w:after="0" w:line="240" w:lineRule="auto"/>
        <w:ind w:left="0" w:firstLine="0"/>
        <w:contextualSpacing/>
        <w:rPr>
          <w:rFonts w:ascii="Arial" w:hAnsi="Arial" w:cs="Arial"/>
          <w:color w:val="0000FF"/>
          <w:u w:val="single"/>
        </w:rPr>
      </w:pPr>
      <w:hyperlink r:id="rId17" w:history="1">
        <w:r w:rsidR="00700C49" w:rsidRPr="00AA6889">
          <w:rPr>
            <w:rFonts w:ascii="Arial" w:hAnsi="Arial" w:cs="Arial"/>
            <w:color w:val="0563C1" w:themeColor="hyperlink"/>
            <w:u w:val="single"/>
          </w:rPr>
          <w:t>North East COVID-19 Economic Response: Our work so far and next steps Report</w:t>
        </w:r>
      </w:hyperlink>
      <w:r w:rsidR="00700C49" w:rsidRPr="00AA6889">
        <w:rPr>
          <w:rFonts w:ascii="Arial" w:hAnsi="Arial" w:cs="Arial"/>
        </w:rPr>
        <w:t xml:space="preserve"> </w:t>
      </w:r>
    </w:p>
    <w:p w14:paraId="036138AC" w14:textId="77777777" w:rsidR="00700C49" w:rsidRPr="00AA6889" w:rsidRDefault="00700C49" w:rsidP="00700C49">
      <w:pPr>
        <w:spacing w:after="0" w:line="240" w:lineRule="auto"/>
        <w:contextualSpacing/>
        <w:rPr>
          <w:rFonts w:ascii="Arial" w:hAnsi="Arial" w:cs="Arial"/>
          <w:color w:val="0000FF"/>
          <w:u w:val="single"/>
        </w:rPr>
      </w:pPr>
    </w:p>
    <w:p w14:paraId="43C7D9E7" w14:textId="77777777" w:rsidR="00700C49" w:rsidRPr="00AA6889" w:rsidRDefault="00700C49" w:rsidP="00700C49">
      <w:pPr>
        <w:spacing w:after="0" w:line="240" w:lineRule="auto"/>
        <w:rPr>
          <w:rFonts w:ascii="Arial" w:hAnsi="Arial" w:cs="Arial"/>
        </w:rPr>
      </w:pPr>
      <w:r w:rsidRPr="00AA6889">
        <w:rPr>
          <w:rFonts w:ascii="Arial" w:hAnsi="Arial" w:cs="Arial"/>
        </w:rPr>
        <w:t xml:space="preserve">Completed applications should be sent to </w:t>
      </w:r>
      <w:r w:rsidRPr="00AA6889">
        <w:rPr>
          <w:rFonts w:ascii="Arial" w:eastAsia="Arial" w:hAnsi="Arial" w:cs="Arial"/>
          <w:color w:val="0000FF"/>
          <w:u w:val="single" w:color="0000FF"/>
          <w:bdr w:val="nil"/>
          <w:lang w:val="it-IT" w:eastAsia="en-GB"/>
          <w14:textOutline w14:w="0" w14:cap="flat" w14:cmpd="sng" w14:algn="ctr">
            <w14:noFill/>
            <w14:prstDash w14:val="solid"/>
            <w14:bevel/>
          </w14:textOutline>
        </w:rPr>
        <w:t>ruth.gaul@northoftyne-ca.gov.uk</w:t>
      </w:r>
      <w:r w:rsidRPr="00AA6889">
        <w:rPr>
          <w:rFonts w:ascii="Arial" w:eastAsia="Times New Roman" w:hAnsi="Arial" w:cs="Arial"/>
        </w:rPr>
        <w:t xml:space="preserve"> by </w:t>
      </w:r>
      <w:r w:rsidRPr="00AA6889">
        <w:rPr>
          <w:rFonts w:ascii="Arial" w:hAnsi="Arial" w:cs="Arial"/>
        </w:rPr>
        <w:t>the deadline. Before doing so, please ensure that you have followed the guidance, completed all questions, and entered an electronic signature.</w:t>
      </w:r>
    </w:p>
    <w:p w14:paraId="64FF4E54" w14:textId="77777777" w:rsidR="00700C49" w:rsidRPr="00AA6889" w:rsidRDefault="00700C49" w:rsidP="00700C49">
      <w:pPr>
        <w:spacing w:after="0" w:line="240" w:lineRule="auto"/>
        <w:rPr>
          <w:rFonts w:ascii="Arial" w:hAnsi="Arial" w:cs="Arial"/>
        </w:rPr>
      </w:pPr>
    </w:p>
    <w:p w14:paraId="316CDD6F" w14:textId="77777777" w:rsidR="00700C49" w:rsidRPr="00AA6889" w:rsidRDefault="00700C49" w:rsidP="00700C49">
      <w:pPr>
        <w:numPr>
          <w:ilvl w:val="0"/>
          <w:numId w:val="35"/>
        </w:numPr>
        <w:spacing w:after="0" w:line="240" w:lineRule="auto"/>
        <w:ind w:firstLine="0"/>
        <w:contextualSpacing/>
        <w:rPr>
          <w:rFonts w:ascii="Arial" w:hAnsi="Arial" w:cs="Arial"/>
          <w:b/>
          <w:bCs/>
        </w:rPr>
      </w:pPr>
      <w:r w:rsidRPr="00AA6889">
        <w:rPr>
          <w:rFonts w:ascii="Arial" w:hAnsi="Arial" w:cs="Arial"/>
          <w:b/>
          <w:bCs/>
        </w:rPr>
        <w:t>Indicative Timetable</w:t>
      </w:r>
    </w:p>
    <w:p w14:paraId="3877BAE6" w14:textId="77777777" w:rsidR="00700C49" w:rsidRPr="00AA6889" w:rsidRDefault="00700C49" w:rsidP="00700C49">
      <w:pPr>
        <w:spacing w:after="0" w:line="240" w:lineRule="auto"/>
        <w:rPr>
          <w:rFonts w:ascii="Arial" w:hAnsi="Arial" w:cs="Arial"/>
        </w:rPr>
      </w:pPr>
      <w:r w:rsidRPr="00AA6889">
        <w:rPr>
          <w:rFonts w:ascii="Arial" w:hAnsi="Arial" w:cs="Arial"/>
        </w:rPr>
        <w:t xml:space="preserve">Proposals considered as part of this call should relate to projects which can be completed by </w:t>
      </w:r>
      <w:r w:rsidRPr="00F43A3B">
        <w:rPr>
          <w:rFonts w:ascii="Arial" w:hAnsi="Arial" w:cs="Arial"/>
        </w:rPr>
        <w:t>the June 2022</w:t>
      </w:r>
      <w:r w:rsidRPr="00AA6889">
        <w:rPr>
          <w:rFonts w:ascii="Arial" w:hAnsi="Arial" w:cs="Arial"/>
        </w:rPr>
        <w:t xml:space="preserve">; however, NTCA reserves the right to extend this date as required. </w:t>
      </w:r>
    </w:p>
    <w:p w14:paraId="6449DFA5" w14:textId="77777777" w:rsidR="00700C49" w:rsidRPr="00AA6889" w:rsidRDefault="00700C49" w:rsidP="00700C49">
      <w:pPr>
        <w:spacing w:after="0" w:line="240" w:lineRule="auto"/>
        <w:rPr>
          <w:rFonts w:ascii="Arial" w:hAnsi="Arial" w:cs="Arial"/>
        </w:rPr>
      </w:pPr>
    </w:p>
    <w:p w14:paraId="0115B1D5" w14:textId="77777777" w:rsidR="00700C49" w:rsidRPr="00AA6889" w:rsidRDefault="00700C49" w:rsidP="00700C49">
      <w:pPr>
        <w:spacing w:after="0" w:line="240" w:lineRule="auto"/>
        <w:rPr>
          <w:rFonts w:ascii="Arial" w:hAnsi="Arial" w:cs="Arial"/>
        </w:rPr>
      </w:pPr>
      <w:r w:rsidRPr="00AA6889">
        <w:rPr>
          <w:rFonts w:ascii="Arial" w:hAnsi="Arial" w:cs="Arial"/>
        </w:rPr>
        <w:t xml:space="preserve">The </w:t>
      </w:r>
      <w:r w:rsidRPr="00AA6889">
        <w:rPr>
          <w:rFonts w:ascii="Arial" w:hAnsi="Arial" w:cs="Arial"/>
          <w:i/>
          <w:iCs/>
        </w:rPr>
        <w:t>indicative timetable</w:t>
      </w:r>
      <w:r w:rsidRPr="00AA6889">
        <w:rPr>
          <w:rFonts w:ascii="Arial" w:hAnsi="Arial" w:cs="Arial"/>
        </w:rPr>
        <w:t xml:space="preserve"> is set out below</w:t>
      </w:r>
    </w:p>
    <w:p w14:paraId="3853F9A4" w14:textId="77777777" w:rsidR="00700C49" w:rsidRPr="00AA6889" w:rsidRDefault="00700C49" w:rsidP="00700C49">
      <w:pPr>
        <w:spacing w:after="0" w:line="240" w:lineRule="auto"/>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6706"/>
      </w:tblGrid>
      <w:tr w:rsidR="00700C49" w:rsidRPr="00AA6889" w14:paraId="0A266067" w14:textId="77777777" w:rsidTr="00700C49">
        <w:trPr>
          <w:trHeight w:val="128"/>
        </w:trPr>
        <w:tc>
          <w:tcPr>
            <w:tcW w:w="1281" w:type="pct"/>
            <w:shd w:val="clear" w:color="auto" w:fill="D0CECE" w:themeFill="background2" w:themeFillShade="E6"/>
          </w:tcPr>
          <w:p w14:paraId="089CEA70" w14:textId="77777777" w:rsidR="00700C49" w:rsidRPr="00F43A3B" w:rsidRDefault="00700C49" w:rsidP="00700C49">
            <w:pPr>
              <w:spacing w:after="0" w:line="240" w:lineRule="auto"/>
              <w:rPr>
                <w:rFonts w:ascii="Arial" w:hAnsi="Arial" w:cs="Arial"/>
                <w:b/>
              </w:rPr>
            </w:pPr>
            <w:r w:rsidRPr="00F43A3B">
              <w:rPr>
                <w:rFonts w:ascii="Arial" w:hAnsi="Arial" w:cs="Arial"/>
                <w:b/>
              </w:rPr>
              <w:t>Date</w:t>
            </w:r>
          </w:p>
        </w:tc>
        <w:tc>
          <w:tcPr>
            <w:tcW w:w="3719" w:type="pct"/>
            <w:shd w:val="clear" w:color="auto" w:fill="D0CECE" w:themeFill="background2" w:themeFillShade="E6"/>
          </w:tcPr>
          <w:p w14:paraId="06DA922C" w14:textId="77777777" w:rsidR="00700C49" w:rsidRPr="00AA6889" w:rsidRDefault="00700C49" w:rsidP="00700C49">
            <w:pPr>
              <w:spacing w:after="0" w:line="240" w:lineRule="auto"/>
              <w:rPr>
                <w:rFonts w:ascii="Arial" w:hAnsi="Arial" w:cs="Arial"/>
                <w:b/>
              </w:rPr>
            </w:pPr>
            <w:r w:rsidRPr="00AA6889">
              <w:rPr>
                <w:rFonts w:ascii="Arial" w:hAnsi="Arial" w:cs="Arial"/>
                <w:b/>
              </w:rPr>
              <w:t>Activity</w:t>
            </w:r>
          </w:p>
        </w:tc>
      </w:tr>
      <w:tr w:rsidR="00700C49" w:rsidRPr="00AA6889" w14:paraId="5578D495" w14:textId="77777777" w:rsidTr="00700C49">
        <w:trPr>
          <w:trHeight w:val="128"/>
        </w:trPr>
        <w:tc>
          <w:tcPr>
            <w:tcW w:w="1281" w:type="pct"/>
          </w:tcPr>
          <w:p w14:paraId="7D4D0EA7" w14:textId="77777777" w:rsidR="00700C49" w:rsidRPr="00F43A3B" w:rsidRDefault="00700C49" w:rsidP="00700C49">
            <w:pPr>
              <w:spacing w:after="0" w:line="240" w:lineRule="auto"/>
              <w:rPr>
                <w:rFonts w:ascii="Arial" w:hAnsi="Arial" w:cs="Arial"/>
              </w:rPr>
            </w:pPr>
            <w:r w:rsidRPr="00F43A3B">
              <w:rPr>
                <w:rFonts w:ascii="Arial" w:hAnsi="Arial" w:cs="Arial"/>
              </w:rPr>
              <w:t>26</w:t>
            </w:r>
            <w:r w:rsidRPr="00F43A3B">
              <w:rPr>
                <w:rFonts w:ascii="Arial" w:hAnsi="Arial" w:cs="Arial"/>
                <w:vertAlign w:val="superscript"/>
              </w:rPr>
              <w:t>th</w:t>
            </w:r>
            <w:r w:rsidRPr="00F43A3B">
              <w:rPr>
                <w:rFonts w:ascii="Arial" w:hAnsi="Arial" w:cs="Arial"/>
              </w:rPr>
              <w:t xml:space="preserve"> April 2021</w:t>
            </w:r>
          </w:p>
        </w:tc>
        <w:tc>
          <w:tcPr>
            <w:tcW w:w="3719" w:type="pct"/>
          </w:tcPr>
          <w:p w14:paraId="10382890" w14:textId="77777777" w:rsidR="00700C49" w:rsidRPr="00AA6889" w:rsidRDefault="00700C49" w:rsidP="00700C49">
            <w:pPr>
              <w:spacing w:after="0" w:line="240" w:lineRule="auto"/>
              <w:rPr>
                <w:rFonts w:ascii="Arial" w:hAnsi="Arial" w:cs="Arial"/>
              </w:rPr>
            </w:pPr>
            <w:r w:rsidRPr="00AA6889">
              <w:rPr>
                <w:rFonts w:ascii="Arial" w:hAnsi="Arial" w:cs="Arial"/>
              </w:rPr>
              <w:t>Call opens</w:t>
            </w:r>
          </w:p>
        </w:tc>
      </w:tr>
      <w:tr w:rsidR="00700C49" w:rsidRPr="00AA6889" w14:paraId="72712785" w14:textId="77777777" w:rsidTr="00700C49">
        <w:trPr>
          <w:trHeight w:val="128"/>
        </w:trPr>
        <w:tc>
          <w:tcPr>
            <w:tcW w:w="1281" w:type="pct"/>
          </w:tcPr>
          <w:p w14:paraId="178041C8" w14:textId="77777777" w:rsidR="00700C49" w:rsidRPr="00F43A3B" w:rsidRDefault="00700C49" w:rsidP="00700C49">
            <w:pPr>
              <w:spacing w:after="0" w:line="240" w:lineRule="auto"/>
              <w:rPr>
                <w:rFonts w:ascii="Arial" w:hAnsi="Arial" w:cs="Arial"/>
              </w:rPr>
            </w:pPr>
            <w:r w:rsidRPr="00F43A3B">
              <w:rPr>
                <w:rFonts w:ascii="Arial" w:hAnsi="Arial" w:cs="Arial"/>
              </w:rPr>
              <w:t>16</w:t>
            </w:r>
            <w:r w:rsidRPr="00F43A3B">
              <w:rPr>
                <w:rFonts w:ascii="Arial" w:hAnsi="Arial" w:cs="Arial"/>
                <w:vertAlign w:val="superscript"/>
              </w:rPr>
              <w:t>th</w:t>
            </w:r>
            <w:r w:rsidRPr="00F43A3B">
              <w:rPr>
                <w:rFonts w:ascii="Arial" w:hAnsi="Arial" w:cs="Arial"/>
              </w:rPr>
              <w:t xml:space="preserve"> May 2021</w:t>
            </w:r>
          </w:p>
        </w:tc>
        <w:tc>
          <w:tcPr>
            <w:tcW w:w="3719" w:type="pct"/>
          </w:tcPr>
          <w:p w14:paraId="2E684D7B" w14:textId="77777777" w:rsidR="00700C49" w:rsidRPr="00AA6889" w:rsidRDefault="00700C49" w:rsidP="00700C49">
            <w:pPr>
              <w:spacing w:after="0" w:line="240" w:lineRule="auto"/>
              <w:rPr>
                <w:rFonts w:ascii="Arial" w:hAnsi="Arial" w:cs="Arial"/>
              </w:rPr>
            </w:pPr>
            <w:r w:rsidRPr="00AA6889">
              <w:rPr>
                <w:rFonts w:ascii="Arial" w:hAnsi="Arial" w:cs="Arial"/>
              </w:rPr>
              <w:t>Deadline for applications to NTCA.</w:t>
            </w:r>
          </w:p>
        </w:tc>
      </w:tr>
      <w:tr w:rsidR="00700C49" w:rsidRPr="00AA6889" w14:paraId="5E985CCD" w14:textId="77777777" w:rsidTr="00700C49">
        <w:trPr>
          <w:trHeight w:val="284"/>
        </w:trPr>
        <w:tc>
          <w:tcPr>
            <w:tcW w:w="1281" w:type="pct"/>
          </w:tcPr>
          <w:p w14:paraId="7A061039" w14:textId="77777777" w:rsidR="00700C49" w:rsidRPr="00F43A3B" w:rsidRDefault="00700C49" w:rsidP="00700C49">
            <w:pPr>
              <w:spacing w:after="0" w:line="240" w:lineRule="auto"/>
              <w:rPr>
                <w:rFonts w:ascii="Arial" w:hAnsi="Arial" w:cs="Arial"/>
              </w:rPr>
            </w:pPr>
            <w:r w:rsidRPr="00F43A3B">
              <w:rPr>
                <w:rFonts w:ascii="Arial" w:hAnsi="Arial" w:cs="Arial"/>
              </w:rPr>
              <w:t>w/c 17</w:t>
            </w:r>
            <w:r w:rsidRPr="00F43A3B">
              <w:rPr>
                <w:rFonts w:ascii="Arial" w:hAnsi="Arial" w:cs="Arial"/>
                <w:vertAlign w:val="superscript"/>
              </w:rPr>
              <w:t>th</w:t>
            </w:r>
            <w:r w:rsidRPr="00F43A3B">
              <w:rPr>
                <w:rFonts w:ascii="Arial" w:hAnsi="Arial" w:cs="Arial"/>
              </w:rPr>
              <w:t xml:space="preserve"> May 2021</w:t>
            </w:r>
          </w:p>
        </w:tc>
        <w:tc>
          <w:tcPr>
            <w:tcW w:w="3719" w:type="pct"/>
          </w:tcPr>
          <w:p w14:paraId="55A96519" w14:textId="77777777" w:rsidR="00700C49" w:rsidRPr="00AA6889" w:rsidRDefault="00700C49" w:rsidP="00700C49">
            <w:pPr>
              <w:spacing w:after="0" w:line="240" w:lineRule="auto"/>
              <w:rPr>
                <w:rFonts w:ascii="Arial" w:hAnsi="Arial" w:cs="Arial"/>
              </w:rPr>
            </w:pPr>
            <w:r w:rsidRPr="00AA6889">
              <w:rPr>
                <w:rFonts w:ascii="Arial" w:hAnsi="Arial" w:cs="Arial"/>
              </w:rPr>
              <w:t>Assessment of proposals by NTCA, questions and clarification (where required) and appointment of delivery organisation</w:t>
            </w:r>
          </w:p>
        </w:tc>
      </w:tr>
      <w:tr w:rsidR="00700C49" w:rsidRPr="00AA6889" w14:paraId="658A004E" w14:textId="77777777" w:rsidTr="00700C49">
        <w:trPr>
          <w:trHeight w:val="128"/>
        </w:trPr>
        <w:tc>
          <w:tcPr>
            <w:tcW w:w="1281" w:type="pct"/>
          </w:tcPr>
          <w:p w14:paraId="162D13D2" w14:textId="77777777" w:rsidR="00700C49" w:rsidRPr="00F43A3B" w:rsidRDefault="00700C49" w:rsidP="00700C49">
            <w:pPr>
              <w:spacing w:after="0" w:line="240" w:lineRule="auto"/>
              <w:rPr>
                <w:rFonts w:ascii="Arial" w:hAnsi="Arial" w:cs="Arial"/>
              </w:rPr>
            </w:pPr>
            <w:r w:rsidRPr="00F43A3B">
              <w:rPr>
                <w:rFonts w:ascii="Arial" w:hAnsi="Arial" w:cs="Arial"/>
              </w:rPr>
              <w:t>June 2021</w:t>
            </w:r>
          </w:p>
        </w:tc>
        <w:tc>
          <w:tcPr>
            <w:tcW w:w="3719" w:type="pct"/>
          </w:tcPr>
          <w:p w14:paraId="5A5E0F9E" w14:textId="77777777" w:rsidR="00700C49" w:rsidRPr="00AA6889" w:rsidRDefault="00700C49" w:rsidP="00700C49">
            <w:pPr>
              <w:spacing w:after="0" w:line="240" w:lineRule="auto"/>
              <w:rPr>
                <w:rFonts w:ascii="Arial" w:hAnsi="Arial" w:cs="Arial"/>
              </w:rPr>
            </w:pPr>
            <w:r w:rsidRPr="00AA6889">
              <w:rPr>
                <w:rFonts w:ascii="Arial" w:hAnsi="Arial" w:cs="Arial"/>
              </w:rPr>
              <w:t>Offer launched</w:t>
            </w:r>
          </w:p>
        </w:tc>
      </w:tr>
    </w:tbl>
    <w:p w14:paraId="7A3A9D5A" w14:textId="77777777" w:rsidR="00700C49" w:rsidRPr="00AA6889" w:rsidRDefault="00700C49" w:rsidP="00700C49">
      <w:pPr>
        <w:spacing w:after="0" w:line="240" w:lineRule="auto"/>
        <w:rPr>
          <w:rFonts w:ascii="Arial" w:hAnsi="Arial" w:cs="Arial"/>
          <w:b/>
          <w:bCs/>
          <w:lang w:eastAsia="en-GB"/>
        </w:rPr>
      </w:pPr>
    </w:p>
    <w:p w14:paraId="382D953E" w14:textId="77777777" w:rsidR="00082B02" w:rsidRPr="00082B02" w:rsidRDefault="00082B02" w:rsidP="00082B02">
      <w:pPr>
        <w:numPr>
          <w:ilvl w:val="0"/>
          <w:numId w:val="35"/>
        </w:numPr>
        <w:spacing w:after="0" w:line="240" w:lineRule="auto"/>
        <w:ind w:firstLine="0"/>
        <w:contextualSpacing/>
        <w:rPr>
          <w:rFonts w:ascii="Arial" w:hAnsi="Arial" w:cs="Arial"/>
          <w:b/>
          <w:bCs/>
          <w:lang w:eastAsia="en-GB"/>
        </w:rPr>
      </w:pPr>
      <w:r w:rsidRPr="00082B02">
        <w:rPr>
          <w:rFonts w:ascii="Arial" w:hAnsi="Arial" w:cs="Arial"/>
          <w:b/>
          <w:bCs/>
          <w:lang w:eastAsia="en-GB"/>
        </w:rPr>
        <w:t>Other Information</w:t>
      </w:r>
    </w:p>
    <w:p w14:paraId="47C342BD" w14:textId="77777777" w:rsidR="00082B02" w:rsidRPr="00082B02" w:rsidRDefault="00082B02" w:rsidP="00082B02">
      <w:pPr>
        <w:spacing w:after="0" w:line="240" w:lineRule="auto"/>
        <w:rPr>
          <w:rFonts w:ascii="Arial" w:hAnsi="Arial" w:cs="Arial"/>
          <w:b/>
          <w:bCs/>
          <w:lang w:eastAsia="en-GB"/>
        </w:rPr>
      </w:pPr>
    </w:p>
    <w:p w14:paraId="28E436FC" w14:textId="77777777" w:rsidR="00082B02" w:rsidRPr="00082B02" w:rsidRDefault="00082B02" w:rsidP="00082B02">
      <w:pPr>
        <w:spacing w:after="0" w:line="240" w:lineRule="auto"/>
        <w:rPr>
          <w:rFonts w:ascii="Arial" w:hAnsi="Arial" w:cs="Arial"/>
          <w:b/>
          <w:bCs/>
          <w:lang w:eastAsia="en-GB"/>
        </w:rPr>
      </w:pPr>
      <w:r w:rsidRPr="00082B02">
        <w:rPr>
          <w:rFonts w:ascii="Arial" w:hAnsi="Arial" w:cs="Arial"/>
          <w:b/>
          <w:bCs/>
          <w:lang w:eastAsia="en-GB"/>
        </w:rPr>
        <w:t>Fraud, Liability and Payment Terms</w:t>
      </w:r>
    </w:p>
    <w:p w14:paraId="561E31B8" w14:textId="77777777" w:rsidR="00082B02" w:rsidRPr="00082B02" w:rsidRDefault="00082B02" w:rsidP="00082B02">
      <w:pPr>
        <w:spacing w:after="0" w:line="240" w:lineRule="auto"/>
        <w:rPr>
          <w:rFonts w:ascii="Arial" w:hAnsi="Arial" w:cs="Arial"/>
          <w:b/>
          <w:bCs/>
          <w:lang w:eastAsia="en-GB"/>
        </w:rPr>
      </w:pPr>
    </w:p>
    <w:p w14:paraId="5F664751" w14:textId="77777777" w:rsidR="00082B02" w:rsidRPr="00082B02" w:rsidRDefault="00082B02" w:rsidP="00082B02">
      <w:pPr>
        <w:spacing w:after="0" w:line="240" w:lineRule="auto"/>
        <w:rPr>
          <w:rFonts w:ascii="Arial" w:hAnsi="Arial" w:cs="Arial"/>
        </w:rPr>
      </w:pPr>
      <w:r w:rsidRPr="00082B02">
        <w:rPr>
          <w:rFonts w:ascii="Arial" w:hAnsi="Arial" w:cs="Arial"/>
        </w:rPr>
        <w:t xml:space="preserve">The North of Tyne Combined Authority will take swift action against any recipients who have deliberately manipulated records or have committed fraud. Any beneficiaries caught </w:t>
      </w:r>
      <w:r w:rsidRPr="00082B02">
        <w:rPr>
          <w:rFonts w:ascii="Arial" w:hAnsi="Arial" w:cs="Arial"/>
        </w:rPr>
        <w:lastRenderedPageBreak/>
        <w:t xml:space="preserve">falsifying their records to gain grant funding will face prosecution and any funding or grants paid in error will be subject to claw back. </w:t>
      </w:r>
    </w:p>
    <w:p w14:paraId="71CAE8B5" w14:textId="77777777" w:rsidR="00082B02" w:rsidRPr="00082B02" w:rsidRDefault="00082B02" w:rsidP="00082B02">
      <w:pPr>
        <w:spacing w:after="0" w:line="240" w:lineRule="auto"/>
        <w:rPr>
          <w:rFonts w:ascii="Arial" w:hAnsi="Arial" w:cs="Arial"/>
        </w:rPr>
      </w:pPr>
    </w:p>
    <w:p w14:paraId="104E5261" w14:textId="77777777" w:rsidR="00082B02" w:rsidRPr="00082B02" w:rsidRDefault="00082B02" w:rsidP="00082B02">
      <w:pPr>
        <w:spacing w:after="0" w:line="240" w:lineRule="auto"/>
        <w:rPr>
          <w:rFonts w:ascii="Arial" w:hAnsi="Arial" w:cs="Arial"/>
        </w:rPr>
      </w:pPr>
      <w:r w:rsidRPr="00082B02">
        <w:rPr>
          <w:rFonts w:ascii="Arial" w:hAnsi="Arial" w:cs="Arial"/>
        </w:rPr>
        <w:t xml:space="preserve">The North of Tyne Combined Authority does not accept any liability for any issues that may arise for applicants under this scheme, whether they are successful or not. </w:t>
      </w:r>
    </w:p>
    <w:p w14:paraId="27BB1900" w14:textId="77777777" w:rsidR="00082B02" w:rsidRPr="00082B02" w:rsidRDefault="00082B02" w:rsidP="00082B02">
      <w:pPr>
        <w:spacing w:after="0" w:line="240" w:lineRule="auto"/>
        <w:rPr>
          <w:rFonts w:ascii="Arial" w:hAnsi="Arial" w:cs="Arial"/>
        </w:rPr>
      </w:pPr>
    </w:p>
    <w:p w14:paraId="4FBACC99" w14:textId="77777777" w:rsidR="00082B02" w:rsidRPr="00082B02" w:rsidRDefault="00082B02" w:rsidP="00082B02">
      <w:pPr>
        <w:spacing w:after="0" w:line="240" w:lineRule="auto"/>
        <w:rPr>
          <w:rFonts w:ascii="Arial" w:hAnsi="Arial" w:cs="Arial"/>
        </w:rPr>
      </w:pPr>
      <w:r w:rsidRPr="00082B02">
        <w:rPr>
          <w:rFonts w:ascii="Arial" w:hAnsi="Arial" w:cs="Arial"/>
        </w:rPr>
        <w:t>Following a grant award, the applicant will be required to submit claims to draw down the grant. Only claims which can demonstrate evidence of expenditure will be eligible for payment. Payments will be made directly to the applicant’s bank account by electronic transfer, normally within 5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state aid requirements.</w:t>
      </w:r>
    </w:p>
    <w:p w14:paraId="4C47DAE1" w14:textId="77777777" w:rsidR="00082B02" w:rsidRPr="00082B02" w:rsidRDefault="00082B02" w:rsidP="00082B02">
      <w:pPr>
        <w:spacing w:after="0" w:line="240" w:lineRule="auto"/>
        <w:rPr>
          <w:rFonts w:ascii="Arial" w:hAnsi="Arial" w:cs="Arial"/>
        </w:rPr>
      </w:pPr>
    </w:p>
    <w:p w14:paraId="77144E6A" w14:textId="77777777" w:rsidR="00082B02" w:rsidRPr="00082B02" w:rsidRDefault="00082B02" w:rsidP="00082B02">
      <w:pPr>
        <w:spacing w:after="0" w:line="240" w:lineRule="auto"/>
        <w:rPr>
          <w:rFonts w:ascii="Arial" w:hAnsi="Arial" w:cs="Arial"/>
        </w:rPr>
      </w:pPr>
    </w:p>
    <w:p w14:paraId="1EDA3B10" w14:textId="3518A510" w:rsidR="00700C49" w:rsidRPr="00AA6889" w:rsidRDefault="00700C49" w:rsidP="00A71F7B">
      <w:pPr>
        <w:spacing w:after="0" w:line="240" w:lineRule="auto"/>
        <w:jc w:val="both"/>
        <w:rPr>
          <w:rFonts w:ascii="Arial" w:eastAsia="Batang" w:hAnsi="Arial" w:cs="Arial"/>
        </w:rPr>
      </w:pPr>
    </w:p>
    <w:p w14:paraId="4F82D3BE" w14:textId="5F1F50D6" w:rsidR="00A71F7B" w:rsidRPr="00AA6889" w:rsidRDefault="00A71F7B" w:rsidP="00A71F7B">
      <w:pPr>
        <w:tabs>
          <w:tab w:val="left" w:pos="2703"/>
        </w:tabs>
        <w:rPr>
          <w:rFonts w:ascii="Arial" w:eastAsia="Times New Roman" w:hAnsi="Arial" w:cs="Arial"/>
          <w:lang w:eastAsia="en-GB"/>
        </w:rPr>
        <w:sectPr w:rsidR="00A71F7B" w:rsidRPr="00AA6889" w:rsidSect="00A71F7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690209AC" w14:textId="207631E9" w:rsidR="00A71F7B" w:rsidRPr="00AA6889" w:rsidRDefault="00A71F7B" w:rsidP="00A71F7B">
      <w:pPr>
        <w:spacing w:after="0" w:line="240" w:lineRule="auto"/>
        <w:rPr>
          <w:rFonts w:ascii="Arial" w:eastAsia="Batang" w:hAnsi="Arial" w:cs="Arial"/>
          <w:b/>
          <w:bCs/>
        </w:rPr>
      </w:pPr>
      <w:r w:rsidRPr="00AA6889">
        <w:rPr>
          <w:rFonts w:ascii="Arial" w:eastAsia="Batang" w:hAnsi="Arial" w:cs="Arial"/>
          <w:b/>
          <w:bCs/>
        </w:rPr>
        <w:lastRenderedPageBreak/>
        <w:t xml:space="preserve">Appendix </w:t>
      </w:r>
      <w:r w:rsidR="001B7472" w:rsidRPr="00AA6889">
        <w:rPr>
          <w:rFonts w:ascii="Arial" w:eastAsia="Batang" w:hAnsi="Arial" w:cs="Arial"/>
          <w:b/>
          <w:bCs/>
        </w:rPr>
        <w:t>1</w:t>
      </w:r>
      <w:r w:rsidRPr="00AA6889">
        <w:rPr>
          <w:rFonts w:ascii="Arial" w:eastAsia="Batang" w:hAnsi="Arial" w:cs="Arial"/>
          <w:b/>
          <w:bCs/>
        </w:rPr>
        <w:t xml:space="preserve"> – Detailed Scoring Criteria</w:t>
      </w:r>
      <w:r w:rsidR="00C23B89">
        <w:rPr>
          <w:rFonts w:ascii="Arial" w:eastAsia="Batang" w:hAnsi="Arial" w:cs="Arial"/>
          <w:b/>
          <w:bCs/>
        </w:rPr>
        <w:t xml:space="preserve"> - </w:t>
      </w:r>
      <w:r w:rsidR="00C23B89" w:rsidRPr="00C23B89">
        <w:rPr>
          <w:rFonts w:ascii="Arial" w:eastAsia="Batang" w:hAnsi="Arial" w:cs="Arial"/>
          <w:b/>
          <w:bCs/>
        </w:rPr>
        <w:t>Kickstart Gateway – Core Offer</w:t>
      </w:r>
    </w:p>
    <w:p w14:paraId="0E39E9AC" w14:textId="77777777" w:rsidR="00A71F7B" w:rsidRPr="00AA6889" w:rsidRDefault="00A71F7B" w:rsidP="00A71F7B">
      <w:pPr>
        <w:spacing w:after="0" w:line="240" w:lineRule="auto"/>
        <w:rPr>
          <w:rFonts w:ascii="Arial" w:eastAsia="Batang" w:hAnsi="Arial" w:cs="Arial"/>
          <w:b/>
          <w:bCs/>
        </w:rPr>
      </w:pPr>
    </w:p>
    <w:tbl>
      <w:tblPr>
        <w:tblStyle w:val="TableGrid1"/>
        <w:tblW w:w="15026" w:type="dxa"/>
        <w:tblInd w:w="-572" w:type="dxa"/>
        <w:tblLayout w:type="fixed"/>
        <w:tblLook w:val="04A0" w:firstRow="1" w:lastRow="0" w:firstColumn="1" w:lastColumn="0" w:noHBand="0" w:noVBand="1"/>
      </w:tblPr>
      <w:tblGrid>
        <w:gridCol w:w="3544"/>
        <w:gridCol w:w="2410"/>
        <w:gridCol w:w="1276"/>
        <w:gridCol w:w="1984"/>
        <w:gridCol w:w="1134"/>
        <w:gridCol w:w="1843"/>
        <w:gridCol w:w="1984"/>
        <w:gridCol w:w="851"/>
      </w:tblGrid>
      <w:tr w:rsidR="00A71F7B" w:rsidRPr="00AA6889" w14:paraId="7378DFB3" w14:textId="77777777" w:rsidTr="001148B4">
        <w:trPr>
          <w:trHeight w:val="161"/>
        </w:trPr>
        <w:tc>
          <w:tcPr>
            <w:tcW w:w="15026" w:type="dxa"/>
            <w:gridSpan w:val="8"/>
            <w:shd w:val="clear" w:color="auto" w:fill="D9D9D9" w:themeFill="background1" w:themeFillShade="D9"/>
          </w:tcPr>
          <w:p w14:paraId="5EC62B52" w14:textId="77777777" w:rsidR="00A71F7B" w:rsidRPr="00AA6889" w:rsidRDefault="00A71F7B" w:rsidP="001148B4">
            <w:pPr>
              <w:jc w:val="both"/>
              <w:rPr>
                <w:rFonts w:ascii="Arial" w:eastAsia="Batang" w:hAnsi="Arial" w:cs="Arial"/>
                <w:b/>
              </w:rPr>
            </w:pPr>
            <w:r w:rsidRPr="00AA6889">
              <w:rPr>
                <w:rFonts w:ascii="Arial" w:eastAsia="Batang" w:hAnsi="Arial" w:cs="Arial"/>
                <w:b/>
              </w:rPr>
              <w:t>Assessment of Project</w:t>
            </w:r>
          </w:p>
        </w:tc>
      </w:tr>
      <w:tr w:rsidR="00A71F7B" w:rsidRPr="00AA6889" w14:paraId="661E50C5" w14:textId="77777777" w:rsidTr="00D553CB">
        <w:trPr>
          <w:trHeight w:val="169"/>
        </w:trPr>
        <w:tc>
          <w:tcPr>
            <w:tcW w:w="3544" w:type="dxa"/>
            <w:vMerge w:val="restart"/>
            <w:shd w:val="clear" w:color="auto" w:fill="D9D9D9" w:themeFill="background1" w:themeFillShade="D9"/>
          </w:tcPr>
          <w:p w14:paraId="7F2AB9FA" w14:textId="30F6ED7B" w:rsidR="00A71F7B" w:rsidRPr="00AA6889" w:rsidRDefault="00A71F7B" w:rsidP="001148B4">
            <w:pPr>
              <w:rPr>
                <w:rFonts w:ascii="Arial" w:eastAsia="Batang" w:hAnsi="Arial" w:cs="Arial"/>
                <w:b/>
              </w:rPr>
            </w:pPr>
            <w:r w:rsidRPr="00AA6889">
              <w:rPr>
                <w:rFonts w:ascii="Arial" w:eastAsia="Batang" w:hAnsi="Arial" w:cs="Arial"/>
                <w:b/>
              </w:rPr>
              <w:t>Strategic fit with NTCA Vision</w:t>
            </w:r>
          </w:p>
        </w:tc>
        <w:tc>
          <w:tcPr>
            <w:tcW w:w="2410" w:type="dxa"/>
            <w:shd w:val="clear" w:color="auto" w:fill="00B050"/>
          </w:tcPr>
          <w:p w14:paraId="24A4D7FE" w14:textId="617311ED" w:rsidR="00D85F2D" w:rsidRPr="00AA6889" w:rsidRDefault="00A71F7B" w:rsidP="009167AE">
            <w:pPr>
              <w:jc w:val="center"/>
              <w:rPr>
                <w:rFonts w:ascii="Arial" w:eastAsia="Batang" w:hAnsi="Arial" w:cs="Arial"/>
                <w:b/>
                <w:bCs/>
              </w:rPr>
            </w:pPr>
            <w:r w:rsidRPr="00AA6889">
              <w:rPr>
                <w:rFonts w:ascii="Arial" w:eastAsia="Batang" w:hAnsi="Arial" w:cs="Arial"/>
                <w:b/>
                <w:bCs/>
              </w:rPr>
              <w:t>[PASS]</w:t>
            </w:r>
            <w:r w:rsidR="007A410C" w:rsidRPr="00AA6889">
              <w:rPr>
                <w:rFonts w:ascii="Arial" w:eastAsia="Batang" w:hAnsi="Arial" w:cs="Arial"/>
                <w:b/>
                <w:bCs/>
              </w:rPr>
              <w:t>:</w:t>
            </w:r>
          </w:p>
          <w:p w14:paraId="252DB803" w14:textId="418EF6F4" w:rsidR="00A71F7B" w:rsidRPr="00AA6889" w:rsidRDefault="007A410C" w:rsidP="009167AE">
            <w:pPr>
              <w:jc w:val="center"/>
              <w:rPr>
                <w:rFonts w:ascii="Arial" w:eastAsia="Batang" w:hAnsi="Arial" w:cs="Arial"/>
              </w:rPr>
            </w:pPr>
            <w:r w:rsidRPr="00AA6889">
              <w:rPr>
                <w:rFonts w:ascii="Arial" w:eastAsia="Batang" w:hAnsi="Arial" w:cs="Arial"/>
                <w:b/>
                <w:bCs/>
              </w:rPr>
              <w:t>15-13</w:t>
            </w:r>
          </w:p>
        </w:tc>
        <w:tc>
          <w:tcPr>
            <w:tcW w:w="1276" w:type="dxa"/>
            <w:tcBorders>
              <w:bottom w:val="nil"/>
            </w:tcBorders>
            <w:shd w:val="clear" w:color="auto" w:fill="00B050"/>
          </w:tcPr>
          <w:p w14:paraId="65F91F3B" w14:textId="656CF101" w:rsidR="00A71F7B" w:rsidRPr="00AA6889" w:rsidRDefault="00A71F7B" w:rsidP="009167AE">
            <w:pPr>
              <w:jc w:val="center"/>
              <w:rPr>
                <w:rFonts w:ascii="Arial" w:eastAsia="Batang" w:hAnsi="Arial" w:cs="Arial"/>
              </w:rPr>
            </w:pPr>
            <w:r w:rsidRPr="00AA6889">
              <w:rPr>
                <w:rFonts w:ascii="Arial" w:eastAsia="Batang" w:hAnsi="Arial" w:cs="Arial"/>
                <w:b/>
                <w:bCs/>
              </w:rPr>
              <w:t>[PASS]</w:t>
            </w:r>
            <w:r w:rsidR="007A410C" w:rsidRPr="00AA6889">
              <w:rPr>
                <w:rFonts w:ascii="Arial" w:eastAsia="Batang" w:hAnsi="Arial" w:cs="Arial"/>
                <w:b/>
                <w:bCs/>
              </w:rPr>
              <w:t>: 12-10</w:t>
            </w:r>
          </w:p>
        </w:tc>
        <w:tc>
          <w:tcPr>
            <w:tcW w:w="1984" w:type="dxa"/>
            <w:shd w:val="clear" w:color="auto" w:fill="FF0000"/>
          </w:tcPr>
          <w:p w14:paraId="12EA4CBF" w14:textId="7E36DAF7" w:rsidR="00D85F2D" w:rsidRPr="00AA6889" w:rsidRDefault="00A71F7B" w:rsidP="009167AE">
            <w:pPr>
              <w:jc w:val="center"/>
              <w:rPr>
                <w:rFonts w:ascii="Arial" w:eastAsia="Batang" w:hAnsi="Arial" w:cs="Arial"/>
                <w:b/>
                <w:bCs/>
              </w:rPr>
            </w:pPr>
            <w:r w:rsidRPr="00AA6889">
              <w:rPr>
                <w:rFonts w:ascii="Arial" w:eastAsia="Batang" w:hAnsi="Arial" w:cs="Arial"/>
                <w:b/>
                <w:bCs/>
              </w:rPr>
              <w:t>[FAIL]</w:t>
            </w:r>
            <w:r w:rsidR="00D85F2D" w:rsidRPr="00AA6889">
              <w:rPr>
                <w:rFonts w:ascii="Arial" w:eastAsia="Batang" w:hAnsi="Arial" w:cs="Arial"/>
                <w:b/>
                <w:bCs/>
              </w:rPr>
              <w:t>:</w:t>
            </w:r>
          </w:p>
          <w:p w14:paraId="213019F7" w14:textId="13B49CA6" w:rsidR="00A71F7B" w:rsidRPr="00AA6889" w:rsidRDefault="00D85F2D" w:rsidP="009167AE">
            <w:pPr>
              <w:jc w:val="center"/>
              <w:rPr>
                <w:rFonts w:ascii="Arial" w:eastAsia="Batang" w:hAnsi="Arial" w:cs="Arial"/>
              </w:rPr>
            </w:pPr>
            <w:r w:rsidRPr="00AA6889">
              <w:rPr>
                <w:rFonts w:ascii="Arial" w:eastAsia="Batang" w:hAnsi="Arial" w:cs="Arial"/>
                <w:b/>
                <w:bCs/>
              </w:rPr>
              <w:t>9-7</w:t>
            </w:r>
          </w:p>
        </w:tc>
        <w:tc>
          <w:tcPr>
            <w:tcW w:w="1134" w:type="dxa"/>
            <w:shd w:val="clear" w:color="auto" w:fill="FF0000"/>
          </w:tcPr>
          <w:p w14:paraId="08FAAC67" w14:textId="24839E29" w:rsidR="00D85F2D" w:rsidRPr="00AA6889" w:rsidRDefault="00A71F7B" w:rsidP="009167AE">
            <w:pPr>
              <w:jc w:val="center"/>
              <w:rPr>
                <w:rFonts w:ascii="Arial" w:eastAsia="Batang" w:hAnsi="Arial" w:cs="Arial"/>
                <w:b/>
                <w:bCs/>
              </w:rPr>
            </w:pPr>
            <w:r w:rsidRPr="00AA6889">
              <w:rPr>
                <w:rFonts w:ascii="Arial" w:eastAsia="Batang" w:hAnsi="Arial" w:cs="Arial"/>
                <w:b/>
                <w:bCs/>
              </w:rPr>
              <w:t>[FAIL]</w:t>
            </w:r>
            <w:r w:rsidR="00D85F2D" w:rsidRPr="00AA6889">
              <w:rPr>
                <w:rFonts w:ascii="Arial" w:eastAsia="Batang" w:hAnsi="Arial" w:cs="Arial"/>
                <w:b/>
                <w:bCs/>
              </w:rPr>
              <w:t>:</w:t>
            </w:r>
          </w:p>
          <w:p w14:paraId="4D60D20D" w14:textId="4A004F9A" w:rsidR="00A71F7B" w:rsidRPr="00AA6889" w:rsidRDefault="00D85F2D" w:rsidP="009167AE">
            <w:pPr>
              <w:jc w:val="center"/>
              <w:rPr>
                <w:rFonts w:ascii="Arial" w:eastAsia="Batang" w:hAnsi="Arial" w:cs="Arial"/>
              </w:rPr>
            </w:pPr>
            <w:r w:rsidRPr="00AA6889">
              <w:rPr>
                <w:rFonts w:ascii="Arial" w:eastAsia="Batang" w:hAnsi="Arial" w:cs="Arial"/>
                <w:b/>
                <w:bCs/>
              </w:rPr>
              <w:t>6-4</w:t>
            </w:r>
          </w:p>
        </w:tc>
        <w:tc>
          <w:tcPr>
            <w:tcW w:w="1843" w:type="dxa"/>
            <w:shd w:val="clear" w:color="auto" w:fill="FF0000"/>
          </w:tcPr>
          <w:p w14:paraId="761B17F9" w14:textId="68574CAE" w:rsidR="00A71F7B" w:rsidRPr="00AA6889" w:rsidRDefault="00A71F7B" w:rsidP="009167AE">
            <w:pPr>
              <w:jc w:val="center"/>
              <w:rPr>
                <w:rFonts w:ascii="Arial" w:eastAsia="Batang" w:hAnsi="Arial" w:cs="Arial"/>
                <w:b/>
                <w:bCs/>
              </w:rPr>
            </w:pPr>
            <w:r w:rsidRPr="00AA6889">
              <w:rPr>
                <w:rFonts w:ascii="Arial" w:eastAsia="Batang" w:hAnsi="Arial" w:cs="Arial"/>
                <w:b/>
                <w:bCs/>
              </w:rPr>
              <w:t>[FAIL]</w:t>
            </w:r>
            <w:r w:rsidR="00D85F2D" w:rsidRPr="00AA6889">
              <w:rPr>
                <w:rFonts w:ascii="Arial" w:eastAsia="Batang" w:hAnsi="Arial" w:cs="Arial"/>
                <w:b/>
                <w:bCs/>
              </w:rPr>
              <w:t>:</w:t>
            </w:r>
          </w:p>
          <w:p w14:paraId="166714D7" w14:textId="589C3E81" w:rsidR="00D85F2D" w:rsidRPr="00AA6889" w:rsidRDefault="009167AE" w:rsidP="009167AE">
            <w:pPr>
              <w:jc w:val="center"/>
              <w:rPr>
                <w:rFonts w:ascii="Arial" w:eastAsia="Batang" w:hAnsi="Arial" w:cs="Arial"/>
              </w:rPr>
            </w:pPr>
            <w:r w:rsidRPr="00AA6889">
              <w:rPr>
                <w:rFonts w:ascii="Arial" w:eastAsia="Batang" w:hAnsi="Arial" w:cs="Arial"/>
                <w:b/>
                <w:bCs/>
              </w:rPr>
              <w:t>3-1</w:t>
            </w:r>
          </w:p>
        </w:tc>
        <w:tc>
          <w:tcPr>
            <w:tcW w:w="1984" w:type="dxa"/>
            <w:shd w:val="clear" w:color="auto" w:fill="FF0000"/>
          </w:tcPr>
          <w:p w14:paraId="6D6DF305" w14:textId="78259B7B" w:rsidR="009167AE" w:rsidRPr="00AA6889" w:rsidRDefault="00A71F7B" w:rsidP="009167AE">
            <w:pPr>
              <w:jc w:val="center"/>
              <w:rPr>
                <w:rFonts w:ascii="Arial" w:eastAsia="Batang" w:hAnsi="Arial" w:cs="Arial"/>
                <w:b/>
                <w:bCs/>
              </w:rPr>
            </w:pPr>
            <w:r w:rsidRPr="00AA6889">
              <w:rPr>
                <w:rFonts w:ascii="Arial" w:eastAsia="Batang" w:hAnsi="Arial" w:cs="Arial"/>
                <w:b/>
                <w:bCs/>
              </w:rPr>
              <w:t>[FAIL]</w:t>
            </w:r>
            <w:r w:rsidR="009167AE" w:rsidRPr="00AA6889">
              <w:rPr>
                <w:rFonts w:ascii="Arial" w:eastAsia="Batang" w:hAnsi="Arial" w:cs="Arial"/>
                <w:b/>
                <w:bCs/>
              </w:rPr>
              <w:t>:</w:t>
            </w:r>
          </w:p>
          <w:p w14:paraId="0B9746F6" w14:textId="2E10FEAA" w:rsidR="009167AE" w:rsidRPr="00AA6889" w:rsidRDefault="009167AE" w:rsidP="009167AE">
            <w:pPr>
              <w:jc w:val="center"/>
              <w:rPr>
                <w:rFonts w:ascii="Arial" w:eastAsia="Batang" w:hAnsi="Arial" w:cs="Arial"/>
                <w:b/>
                <w:bCs/>
              </w:rPr>
            </w:pPr>
            <w:r w:rsidRPr="00AA6889">
              <w:rPr>
                <w:rFonts w:ascii="Arial" w:eastAsia="Batang" w:hAnsi="Arial" w:cs="Arial"/>
                <w:b/>
                <w:bCs/>
              </w:rPr>
              <w:t>0</w:t>
            </w:r>
          </w:p>
        </w:tc>
        <w:tc>
          <w:tcPr>
            <w:tcW w:w="851" w:type="dxa"/>
            <w:vMerge w:val="restart"/>
          </w:tcPr>
          <w:p w14:paraId="458A1073" w14:textId="77777777" w:rsidR="00A71F7B" w:rsidRPr="00AA6889" w:rsidRDefault="00A71F7B" w:rsidP="001148B4">
            <w:pPr>
              <w:rPr>
                <w:rFonts w:ascii="Arial" w:eastAsia="Batang" w:hAnsi="Arial" w:cs="Arial"/>
              </w:rPr>
            </w:pPr>
          </w:p>
          <w:p w14:paraId="5CA5F7BF" w14:textId="2505870C" w:rsidR="00A71F7B" w:rsidRPr="00AA6889" w:rsidRDefault="00A71F7B" w:rsidP="001148B4">
            <w:pPr>
              <w:rPr>
                <w:rFonts w:ascii="Arial" w:eastAsia="Batang" w:hAnsi="Arial" w:cs="Arial"/>
              </w:rPr>
            </w:pPr>
            <w:r w:rsidRPr="00AA6889">
              <w:rPr>
                <w:rFonts w:ascii="Arial" w:eastAsia="Batang" w:hAnsi="Arial" w:cs="Arial"/>
              </w:rPr>
              <w:t xml:space="preserve">Pass </w:t>
            </w:r>
            <w:r w:rsidR="000711B2" w:rsidRPr="00AA6889">
              <w:rPr>
                <w:rFonts w:ascii="Arial" w:eastAsia="Batang" w:hAnsi="Arial" w:cs="Arial"/>
              </w:rPr>
              <w:t xml:space="preserve">(10-15) </w:t>
            </w:r>
            <w:r w:rsidRPr="00AA6889">
              <w:rPr>
                <w:rFonts w:ascii="Arial" w:eastAsia="Batang" w:hAnsi="Arial" w:cs="Arial"/>
              </w:rPr>
              <w:t xml:space="preserve">or Fail </w:t>
            </w:r>
            <w:r w:rsidR="000711B2" w:rsidRPr="00AA6889">
              <w:rPr>
                <w:rFonts w:ascii="Arial" w:eastAsia="Batang" w:hAnsi="Arial" w:cs="Arial"/>
              </w:rPr>
              <w:t>(</w:t>
            </w:r>
            <w:r w:rsidR="00D553CB" w:rsidRPr="00AA6889">
              <w:rPr>
                <w:rFonts w:ascii="Arial" w:eastAsia="Batang" w:hAnsi="Arial" w:cs="Arial"/>
              </w:rPr>
              <w:t>0-9)</w:t>
            </w:r>
          </w:p>
        </w:tc>
      </w:tr>
      <w:tr w:rsidR="00A71F7B" w:rsidRPr="00AA6889" w14:paraId="3A753BF7" w14:textId="77777777" w:rsidTr="00D553CB">
        <w:trPr>
          <w:trHeight w:val="703"/>
        </w:trPr>
        <w:tc>
          <w:tcPr>
            <w:tcW w:w="3544" w:type="dxa"/>
            <w:vMerge/>
            <w:shd w:val="clear" w:color="auto" w:fill="D9D9D9" w:themeFill="background1" w:themeFillShade="D9"/>
          </w:tcPr>
          <w:p w14:paraId="340D9578" w14:textId="77777777" w:rsidR="00A71F7B" w:rsidRPr="00AA6889" w:rsidRDefault="00A71F7B" w:rsidP="001148B4">
            <w:pPr>
              <w:rPr>
                <w:rFonts w:ascii="Arial" w:eastAsia="Batang" w:hAnsi="Arial" w:cs="Arial"/>
                <w:b/>
              </w:rPr>
            </w:pPr>
          </w:p>
        </w:tc>
        <w:tc>
          <w:tcPr>
            <w:tcW w:w="2410" w:type="dxa"/>
          </w:tcPr>
          <w:p w14:paraId="082BF8C2" w14:textId="77777777" w:rsidR="00A71F7B" w:rsidRPr="00AA6889" w:rsidRDefault="00A71F7B" w:rsidP="001148B4">
            <w:pPr>
              <w:rPr>
                <w:rFonts w:ascii="Arial" w:eastAsia="Batang" w:hAnsi="Arial" w:cs="Arial"/>
              </w:rPr>
            </w:pPr>
            <w:r w:rsidRPr="00AA6889">
              <w:rPr>
                <w:rFonts w:ascii="Arial" w:eastAsia="Batang" w:hAnsi="Arial" w:cs="Arial"/>
              </w:rPr>
              <w:t>Very strong fit and strong evidence of need and rationale for intervention</w:t>
            </w:r>
          </w:p>
          <w:p w14:paraId="19F2EDFD" w14:textId="77777777" w:rsidR="00A71F7B" w:rsidRPr="00AA6889" w:rsidRDefault="00A71F7B" w:rsidP="001148B4">
            <w:pPr>
              <w:rPr>
                <w:rFonts w:ascii="Arial" w:eastAsia="Batang" w:hAnsi="Arial" w:cs="Arial"/>
                <w:b/>
                <w:bCs/>
              </w:rPr>
            </w:pPr>
          </w:p>
        </w:tc>
        <w:tc>
          <w:tcPr>
            <w:tcW w:w="1276" w:type="dxa"/>
          </w:tcPr>
          <w:p w14:paraId="17A0CFA4" w14:textId="77777777" w:rsidR="00A71F7B" w:rsidRPr="00AA6889" w:rsidRDefault="00A71F7B" w:rsidP="001148B4">
            <w:pPr>
              <w:rPr>
                <w:rFonts w:ascii="Arial" w:eastAsia="Batang" w:hAnsi="Arial" w:cs="Arial"/>
                <w:b/>
                <w:bCs/>
              </w:rPr>
            </w:pPr>
          </w:p>
        </w:tc>
        <w:tc>
          <w:tcPr>
            <w:tcW w:w="1984" w:type="dxa"/>
          </w:tcPr>
          <w:p w14:paraId="0F4A7A0F" w14:textId="77777777" w:rsidR="00A71F7B" w:rsidRPr="00AA6889" w:rsidRDefault="00A71F7B" w:rsidP="001148B4">
            <w:pPr>
              <w:rPr>
                <w:rFonts w:ascii="Arial" w:eastAsia="Batang" w:hAnsi="Arial" w:cs="Arial"/>
              </w:rPr>
            </w:pPr>
            <w:r w:rsidRPr="00AA6889">
              <w:rPr>
                <w:rFonts w:ascii="Arial" w:eastAsia="Batang" w:hAnsi="Arial" w:cs="Arial"/>
              </w:rPr>
              <w:t>Moderate fit with limited evidence of need or rationale for intervention</w:t>
            </w:r>
          </w:p>
        </w:tc>
        <w:tc>
          <w:tcPr>
            <w:tcW w:w="1134" w:type="dxa"/>
          </w:tcPr>
          <w:p w14:paraId="37393CC2" w14:textId="77777777" w:rsidR="00A71F7B" w:rsidRPr="00AA6889" w:rsidRDefault="00A71F7B" w:rsidP="001148B4">
            <w:pPr>
              <w:rPr>
                <w:rFonts w:ascii="Arial" w:eastAsia="Batang" w:hAnsi="Arial" w:cs="Arial"/>
                <w:b/>
                <w:bCs/>
              </w:rPr>
            </w:pPr>
          </w:p>
        </w:tc>
        <w:tc>
          <w:tcPr>
            <w:tcW w:w="1843" w:type="dxa"/>
          </w:tcPr>
          <w:p w14:paraId="29DCB7DE" w14:textId="77777777" w:rsidR="00A71F7B" w:rsidRPr="00AA6889" w:rsidRDefault="00A71F7B" w:rsidP="001148B4">
            <w:pPr>
              <w:rPr>
                <w:rFonts w:ascii="Arial" w:eastAsia="Batang" w:hAnsi="Arial" w:cs="Arial"/>
              </w:rPr>
            </w:pPr>
            <w:r w:rsidRPr="00AA6889">
              <w:rPr>
                <w:rFonts w:ascii="Arial" w:eastAsia="Batang" w:hAnsi="Arial" w:cs="Arial"/>
              </w:rPr>
              <w:t>Low fit with poor evidence of need and rationale for the intervention.</w:t>
            </w:r>
          </w:p>
        </w:tc>
        <w:tc>
          <w:tcPr>
            <w:tcW w:w="1984" w:type="dxa"/>
          </w:tcPr>
          <w:p w14:paraId="13868DE0" w14:textId="77777777" w:rsidR="00A71F7B" w:rsidRPr="00AA6889" w:rsidRDefault="00A71F7B" w:rsidP="001148B4">
            <w:pPr>
              <w:rPr>
                <w:rFonts w:ascii="Arial" w:eastAsia="Batang" w:hAnsi="Arial" w:cs="Arial"/>
              </w:rPr>
            </w:pPr>
            <w:r w:rsidRPr="00AA6889">
              <w:rPr>
                <w:rFonts w:ascii="Arial" w:eastAsia="Batang" w:hAnsi="Arial" w:cs="Arial"/>
              </w:rPr>
              <w:t xml:space="preserve">No fit with no evidence of need or rationale. </w:t>
            </w:r>
          </w:p>
        </w:tc>
        <w:tc>
          <w:tcPr>
            <w:tcW w:w="851" w:type="dxa"/>
            <w:vMerge/>
          </w:tcPr>
          <w:p w14:paraId="2BFD9621" w14:textId="77777777" w:rsidR="00A71F7B" w:rsidRPr="00AA6889" w:rsidRDefault="00A71F7B" w:rsidP="001148B4">
            <w:pPr>
              <w:rPr>
                <w:rFonts w:ascii="Arial" w:eastAsia="Batang" w:hAnsi="Arial" w:cs="Arial"/>
              </w:rPr>
            </w:pPr>
          </w:p>
        </w:tc>
      </w:tr>
      <w:tr w:rsidR="00D553CB" w:rsidRPr="00AA6889" w14:paraId="399D3C65" w14:textId="77777777" w:rsidTr="00D553CB">
        <w:trPr>
          <w:trHeight w:val="169"/>
        </w:trPr>
        <w:tc>
          <w:tcPr>
            <w:tcW w:w="3544" w:type="dxa"/>
            <w:vMerge w:val="restart"/>
            <w:shd w:val="clear" w:color="auto" w:fill="D9D9D9" w:themeFill="background1" w:themeFillShade="D9"/>
          </w:tcPr>
          <w:p w14:paraId="3E8A539D" w14:textId="38EDC635" w:rsidR="00D553CB" w:rsidRPr="00AA6889" w:rsidRDefault="00B57424" w:rsidP="00D553CB">
            <w:pPr>
              <w:rPr>
                <w:rFonts w:ascii="Arial" w:eastAsia="Batang" w:hAnsi="Arial" w:cs="Arial"/>
                <w:b/>
              </w:rPr>
            </w:pPr>
            <w:r>
              <w:rPr>
                <w:rFonts w:ascii="Arial" w:eastAsia="Batang" w:hAnsi="Arial" w:cs="Arial"/>
                <w:b/>
              </w:rPr>
              <w:t>Delivery of desired outcomes</w:t>
            </w:r>
          </w:p>
        </w:tc>
        <w:tc>
          <w:tcPr>
            <w:tcW w:w="2410" w:type="dxa"/>
            <w:shd w:val="clear" w:color="auto" w:fill="00B050"/>
          </w:tcPr>
          <w:p w14:paraId="3B5379F6" w14:textId="09473CEE" w:rsidR="00D553CB" w:rsidRPr="00AA6889" w:rsidRDefault="00D553CB" w:rsidP="00D553CB">
            <w:pPr>
              <w:jc w:val="center"/>
              <w:rPr>
                <w:rFonts w:ascii="Arial" w:eastAsia="Batang" w:hAnsi="Arial" w:cs="Arial"/>
                <w:b/>
                <w:bCs/>
              </w:rPr>
            </w:pPr>
            <w:r w:rsidRPr="00AA6889">
              <w:rPr>
                <w:rFonts w:ascii="Arial" w:eastAsia="Batang" w:hAnsi="Arial" w:cs="Arial"/>
                <w:b/>
                <w:bCs/>
              </w:rPr>
              <w:t>[PASS]:</w:t>
            </w:r>
          </w:p>
          <w:p w14:paraId="5BB6828E" w14:textId="76DDF02A" w:rsidR="00D553CB" w:rsidRPr="00AA6889" w:rsidRDefault="00D553CB" w:rsidP="00D553CB">
            <w:pPr>
              <w:jc w:val="center"/>
              <w:rPr>
                <w:rFonts w:ascii="Arial" w:eastAsia="Batang" w:hAnsi="Arial" w:cs="Arial"/>
              </w:rPr>
            </w:pPr>
            <w:r w:rsidRPr="00AA6889">
              <w:rPr>
                <w:rFonts w:ascii="Arial" w:eastAsia="Batang" w:hAnsi="Arial" w:cs="Arial"/>
                <w:b/>
                <w:bCs/>
              </w:rPr>
              <w:t>15-13</w:t>
            </w:r>
          </w:p>
        </w:tc>
        <w:tc>
          <w:tcPr>
            <w:tcW w:w="1276" w:type="dxa"/>
            <w:shd w:val="clear" w:color="auto" w:fill="00B050"/>
          </w:tcPr>
          <w:p w14:paraId="2DD4FABE" w14:textId="77777777" w:rsidR="00D553CB" w:rsidRPr="00AA6889" w:rsidRDefault="00D553CB" w:rsidP="00D553CB">
            <w:pPr>
              <w:jc w:val="center"/>
              <w:rPr>
                <w:rFonts w:ascii="Arial" w:eastAsia="Batang" w:hAnsi="Arial" w:cs="Arial"/>
                <w:b/>
                <w:bCs/>
              </w:rPr>
            </w:pPr>
            <w:r w:rsidRPr="00AA6889">
              <w:rPr>
                <w:rFonts w:ascii="Arial" w:eastAsia="Batang" w:hAnsi="Arial" w:cs="Arial"/>
                <w:b/>
                <w:bCs/>
              </w:rPr>
              <w:t>[PASS]:</w:t>
            </w:r>
          </w:p>
          <w:p w14:paraId="03BB573C" w14:textId="478AB29A" w:rsidR="00D553CB" w:rsidRPr="00AA6889" w:rsidRDefault="00D553CB" w:rsidP="00D553CB">
            <w:pPr>
              <w:jc w:val="center"/>
              <w:rPr>
                <w:rFonts w:ascii="Arial" w:eastAsia="Batang" w:hAnsi="Arial" w:cs="Arial"/>
              </w:rPr>
            </w:pPr>
            <w:r w:rsidRPr="00AA6889">
              <w:rPr>
                <w:rFonts w:ascii="Arial" w:eastAsia="Batang" w:hAnsi="Arial" w:cs="Arial"/>
                <w:b/>
                <w:bCs/>
              </w:rPr>
              <w:t>12-10</w:t>
            </w:r>
          </w:p>
        </w:tc>
        <w:tc>
          <w:tcPr>
            <w:tcW w:w="1984" w:type="dxa"/>
            <w:shd w:val="clear" w:color="auto" w:fill="00B050"/>
          </w:tcPr>
          <w:p w14:paraId="6E362E94" w14:textId="50F26985" w:rsidR="00D553CB" w:rsidRPr="00AA6889" w:rsidRDefault="00D553CB" w:rsidP="00D553CB">
            <w:pPr>
              <w:jc w:val="center"/>
              <w:rPr>
                <w:rFonts w:ascii="Arial" w:eastAsia="Batang" w:hAnsi="Arial" w:cs="Arial"/>
                <w:b/>
                <w:bCs/>
              </w:rPr>
            </w:pPr>
            <w:r w:rsidRPr="00AA6889">
              <w:rPr>
                <w:rFonts w:ascii="Arial" w:eastAsia="Batang" w:hAnsi="Arial" w:cs="Arial"/>
                <w:b/>
                <w:bCs/>
              </w:rPr>
              <w:t>[PASS]:</w:t>
            </w:r>
          </w:p>
          <w:p w14:paraId="450E3D83" w14:textId="789E5BD7" w:rsidR="00D553CB" w:rsidRPr="00AA6889" w:rsidRDefault="00D553CB" w:rsidP="00D553CB">
            <w:pPr>
              <w:jc w:val="center"/>
              <w:rPr>
                <w:rFonts w:ascii="Arial" w:eastAsia="Batang" w:hAnsi="Arial" w:cs="Arial"/>
              </w:rPr>
            </w:pPr>
            <w:r w:rsidRPr="00AA6889">
              <w:rPr>
                <w:rFonts w:ascii="Arial" w:eastAsia="Batang" w:hAnsi="Arial" w:cs="Arial"/>
                <w:b/>
                <w:bCs/>
              </w:rPr>
              <w:t>9-7</w:t>
            </w:r>
          </w:p>
        </w:tc>
        <w:tc>
          <w:tcPr>
            <w:tcW w:w="1134" w:type="dxa"/>
            <w:shd w:val="clear" w:color="auto" w:fill="FF0000"/>
          </w:tcPr>
          <w:p w14:paraId="1DD2CDB1" w14:textId="77777777" w:rsidR="00D553CB" w:rsidRPr="00AA6889" w:rsidRDefault="00D553CB" w:rsidP="00D553CB">
            <w:pPr>
              <w:jc w:val="center"/>
              <w:rPr>
                <w:rFonts w:ascii="Arial" w:eastAsia="Batang" w:hAnsi="Arial" w:cs="Arial"/>
                <w:b/>
                <w:bCs/>
              </w:rPr>
            </w:pPr>
            <w:r w:rsidRPr="00AA6889">
              <w:rPr>
                <w:rFonts w:ascii="Arial" w:eastAsia="Batang" w:hAnsi="Arial" w:cs="Arial"/>
                <w:b/>
                <w:bCs/>
              </w:rPr>
              <w:t>[FAIL]:</w:t>
            </w:r>
          </w:p>
          <w:p w14:paraId="4E5AA494" w14:textId="072294F0" w:rsidR="00D553CB" w:rsidRPr="00AA6889" w:rsidRDefault="00D553CB" w:rsidP="00D553CB">
            <w:pPr>
              <w:jc w:val="center"/>
              <w:rPr>
                <w:rFonts w:ascii="Arial" w:eastAsia="Batang" w:hAnsi="Arial" w:cs="Arial"/>
              </w:rPr>
            </w:pPr>
            <w:r w:rsidRPr="00AA6889">
              <w:rPr>
                <w:rFonts w:ascii="Arial" w:eastAsia="Batang" w:hAnsi="Arial" w:cs="Arial"/>
                <w:b/>
                <w:bCs/>
              </w:rPr>
              <w:t>6-4</w:t>
            </w:r>
          </w:p>
        </w:tc>
        <w:tc>
          <w:tcPr>
            <w:tcW w:w="1843" w:type="dxa"/>
            <w:shd w:val="clear" w:color="auto" w:fill="FF0000"/>
          </w:tcPr>
          <w:p w14:paraId="0E108F61" w14:textId="77777777" w:rsidR="00D553CB" w:rsidRPr="00AA6889" w:rsidRDefault="00D553CB" w:rsidP="00D553CB">
            <w:pPr>
              <w:jc w:val="center"/>
              <w:rPr>
                <w:rFonts w:ascii="Arial" w:eastAsia="Batang" w:hAnsi="Arial" w:cs="Arial"/>
                <w:b/>
                <w:bCs/>
              </w:rPr>
            </w:pPr>
            <w:r w:rsidRPr="00AA6889">
              <w:rPr>
                <w:rFonts w:ascii="Arial" w:eastAsia="Batang" w:hAnsi="Arial" w:cs="Arial"/>
                <w:b/>
                <w:bCs/>
              </w:rPr>
              <w:t>[FAIL]:</w:t>
            </w:r>
          </w:p>
          <w:p w14:paraId="0668A161" w14:textId="10C68299" w:rsidR="00D553CB" w:rsidRPr="00AA6889" w:rsidRDefault="00D553CB" w:rsidP="00D553CB">
            <w:pPr>
              <w:jc w:val="center"/>
              <w:rPr>
                <w:rFonts w:ascii="Arial" w:eastAsia="Batang" w:hAnsi="Arial" w:cs="Arial"/>
              </w:rPr>
            </w:pPr>
            <w:r w:rsidRPr="00AA6889">
              <w:rPr>
                <w:rFonts w:ascii="Arial" w:eastAsia="Batang" w:hAnsi="Arial" w:cs="Arial"/>
                <w:b/>
                <w:bCs/>
              </w:rPr>
              <w:t>3-1</w:t>
            </w:r>
          </w:p>
        </w:tc>
        <w:tc>
          <w:tcPr>
            <w:tcW w:w="1984" w:type="dxa"/>
            <w:shd w:val="clear" w:color="auto" w:fill="FF0000"/>
          </w:tcPr>
          <w:p w14:paraId="08F217A8" w14:textId="77777777" w:rsidR="00D553CB" w:rsidRPr="00AA6889" w:rsidRDefault="00D553CB" w:rsidP="00D553CB">
            <w:pPr>
              <w:jc w:val="center"/>
              <w:rPr>
                <w:rFonts w:ascii="Arial" w:eastAsia="Batang" w:hAnsi="Arial" w:cs="Arial"/>
                <w:b/>
                <w:bCs/>
              </w:rPr>
            </w:pPr>
            <w:r w:rsidRPr="00AA6889">
              <w:rPr>
                <w:rFonts w:ascii="Arial" w:eastAsia="Batang" w:hAnsi="Arial" w:cs="Arial"/>
                <w:b/>
                <w:bCs/>
              </w:rPr>
              <w:t>[FAIL]:</w:t>
            </w:r>
          </w:p>
          <w:p w14:paraId="7703B105" w14:textId="4A8247F2" w:rsidR="00D553CB" w:rsidRPr="00AA6889" w:rsidRDefault="00D553CB" w:rsidP="00D553CB">
            <w:pPr>
              <w:jc w:val="center"/>
              <w:rPr>
                <w:rFonts w:ascii="Arial" w:eastAsia="Batang" w:hAnsi="Arial" w:cs="Arial"/>
              </w:rPr>
            </w:pPr>
            <w:r w:rsidRPr="00AA6889">
              <w:rPr>
                <w:rFonts w:ascii="Arial" w:eastAsia="Batang" w:hAnsi="Arial" w:cs="Arial"/>
                <w:b/>
                <w:bCs/>
              </w:rPr>
              <w:t>0</w:t>
            </w:r>
          </w:p>
        </w:tc>
        <w:tc>
          <w:tcPr>
            <w:tcW w:w="851" w:type="dxa"/>
            <w:vMerge w:val="restart"/>
          </w:tcPr>
          <w:p w14:paraId="4FA26414" w14:textId="77777777" w:rsidR="00D553CB" w:rsidRPr="00AA6889" w:rsidRDefault="00D553CB" w:rsidP="00D553CB">
            <w:pPr>
              <w:rPr>
                <w:rFonts w:ascii="Arial" w:eastAsia="Batang" w:hAnsi="Arial" w:cs="Arial"/>
              </w:rPr>
            </w:pPr>
          </w:p>
          <w:p w14:paraId="327E7D64" w14:textId="5B0EEBEA" w:rsidR="00D553CB" w:rsidRPr="00AA6889" w:rsidRDefault="00D553CB" w:rsidP="00D553CB">
            <w:pPr>
              <w:rPr>
                <w:rFonts w:ascii="Arial" w:eastAsia="Batang" w:hAnsi="Arial" w:cs="Arial"/>
              </w:rPr>
            </w:pPr>
            <w:r w:rsidRPr="00AA6889">
              <w:rPr>
                <w:rFonts w:ascii="Arial" w:eastAsia="Batang" w:hAnsi="Arial" w:cs="Arial"/>
              </w:rPr>
              <w:t>Pass (</w:t>
            </w:r>
            <w:r w:rsidR="001C183A" w:rsidRPr="00AA6889">
              <w:rPr>
                <w:rFonts w:ascii="Arial" w:eastAsia="Batang" w:hAnsi="Arial" w:cs="Arial"/>
              </w:rPr>
              <w:t>15-7</w:t>
            </w:r>
            <w:r w:rsidRPr="00AA6889">
              <w:rPr>
                <w:rFonts w:ascii="Arial" w:eastAsia="Batang" w:hAnsi="Arial" w:cs="Arial"/>
              </w:rPr>
              <w:t>) or Fail (0-</w:t>
            </w:r>
            <w:r w:rsidR="001C183A" w:rsidRPr="00AA6889">
              <w:rPr>
                <w:rFonts w:ascii="Arial" w:eastAsia="Batang" w:hAnsi="Arial" w:cs="Arial"/>
              </w:rPr>
              <w:t>6</w:t>
            </w:r>
            <w:r w:rsidRPr="00AA6889">
              <w:rPr>
                <w:rFonts w:ascii="Arial" w:eastAsia="Batang" w:hAnsi="Arial" w:cs="Arial"/>
              </w:rPr>
              <w:t>)</w:t>
            </w:r>
          </w:p>
        </w:tc>
      </w:tr>
      <w:tr w:rsidR="00D553CB" w:rsidRPr="00AA6889" w14:paraId="2C087749" w14:textId="77777777" w:rsidTr="00D553CB">
        <w:trPr>
          <w:trHeight w:val="239"/>
        </w:trPr>
        <w:tc>
          <w:tcPr>
            <w:tcW w:w="3544" w:type="dxa"/>
            <w:vMerge/>
            <w:shd w:val="clear" w:color="auto" w:fill="D9D9D9" w:themeFill="background1" w:themeFillShade="D9"/>
          </w:tcPr>
          <w:p w14:paraId="6022CB14" w14:textId="77777777" w:rsidR="00D553CB" w:rsidRPr="00AA6889" w:rsidRDefault="00D553CB" w:rsidP="00D553CB">
            <w:pPr>
              <w:rPr>
                <w:rFonts w:ascii="Arial" w:eastAsia="Batang" w:hAnsi="Arial" w:cs="Arial"/>
                <w:b/>
              </w:rPr>
            </w:pPr>
          </w:p>
        </w:tc>
        <w:tc>
          <w:tcPr>
            <w:tcW w:w="2410" w:type="dxa"/>
          </w:tcPr>
          <w:p w14:paraId="31D596AF" w14:textId="3CB6FF94" w:rsidR="00D553CB" w:rsidRPr="00AA6889" w:rsidRDefault="00D553CB" w:rsidP="00D553CB">
            <w:pPr>
              <w:rPr>
                <w:rFonts w:ascii="Arial" w:eastAsia="Batang" w:hAnsi="Arial" w:cs="Arial"/>
              </w:rPr>
            </w:pPr>
            <w:r w:rsidRPr="00AA6889">
              <w:rPr>
                <w:rFonts w:ascii="Arial" w:eastAsia="Batang" w:hAnsi="Arial" w:cs="Arial"/>
              </w:rPr>
              <w:t xml:space="preserve">Very Likely to deliver exceptional and relevant outcomes </w:t>
            </w:r>
          </w:p>
        </w:tc>
        <w:tc>
          <w:tcPr>
            <w:tcW w:w="1276" w:type="dxa"/>
          </w:tcPr>
          <w:p w14:paraId="6A0277EF" w14:textId="77777777" w:rsidR="00D553CB" w:rsidRPr="00AA6889" w:rsidRDefault="00D553CB" w:rsidP="00D553CB">
            <w:pPr>
              <w:rPr>
                <w:rFonts w:ascii="Arial" w:eastAsia="Batang" w:hAnsi="Arial" w:cs="Arial"/>
              </w:rPr>
            </w:pPr>
          </w:p>
        </w:tc>
        <w:tc>
          <w:tcPr>
            <w:tcW w:w="1984" w:type="dxa"/>
          </w:tcPr>
          <w:p w14:paraId="7BC00D26" w14:textId="57F3F76B" w:rsidR="00D553CB" w:rsidRPr="00AA6889" w:rsidRDefault="00D553CB" w:rsidP="00D553CB">
            <w:pPr>
              <w:rPr>
                <w:rFonts w:ascii="Arial" w:eastAsia="Batang" w:hAnsi="Arial" w:cs="Arial"/>
              </w:rPr>
            </w:pPr>
            <w:r w:rsidRPr="00AA6889">
              <w:rPr>
                <w:rFonts w:ascii="Arial" w:eastAsia="Batang" w:hAnsi="Arial" w:cs="Arial"/>
              </w:rPr>
              <w:t>Likely to deliver a reasonable level of relevant outcomes</w:t>
            </w:r>
          </w:p>
        </w:tc>
        <w:tc>
          <w:tcPr>
            <w:tcW w:w="1134" w:type="dxa"/>
          </w:tcPr>
          <w:p w14:paraId="11C55847" w14:textId="77777777" w:rsidR="00D553CB" w:rsidRPr="00AA6889" w:rsidRDefault="00D553CB" w:rsidP="00D553CB">
            <w:pPr>
              <w:rPr>
                <w:rFonts w:ascii="Arial" w:eastAsia="Batang" w:hAnsi="Arial" w:cs="Arial"/>
              </w:rPr>
            </w:pPr>
          </w:p>
        </w:tc>
        <w:tc>
          <w:tcPr>
            <w:tcW w:w="1843" w:type="dxa"/>
          </w:tcPr>
          <w:p w14:paraId="5AD85DCE" w14:textId="6134492E" w:rsidR="00D553CB" w:rsidRPr="00AA6889" w:rsidRDefault="00D553CB" w:rsidP="00D553CB">
            <w:pPr>
              <w:rPr>
                <w:rFonts w:ascii="Arial" w:eastAsia="Batang" w:hAnsi="Arial" w:cs="Arial"/>
              </w:rPr>
            </w:pPr>
            <w:r w:rsidRPr="00AA6889">
              <w:rPr>
                <w:rFonts w:ascii="Arial" w:eastAsia="Batang" w:hAnsi="Arial" w:cs="Arial"/>
              </w:rPr>
              <w:t xml:space="preserve">Likely to provide limited outcomes </w:t>
            </w:r>
          </w:p>
        </w:tc>
        <w:tc>
          <w:tcPr>
            <w:tcW w:w="1984" w:type="dxa"/>
          </w:tcPr>
          <w:p w14:paraId="399382A6" w14:textId="3708CF35" w:rsidR="00D553CB" w:rsidRPr="00AA6889" w:rsidRDefault="00D553CB" w:rsidP="00D553CB">
            <w:pPr>
              <w:rPr>
                <w:rFonts w:ascii="Arial" w:eastAsia="Batang" w:hAnsi="Arial" w:cs="Arial"/>
              </w:rPr>
            </w:pPr>
            <w:r w:rsidRPr="00AA6889">
              <w:rPr>
                <w:rFonts w:ascii="Arial" w:eastAsia="Batang" w:hAnsi="Arial" w:cs="Arial"/>
              </w:rPr>
              <w:t>Unlikely to meet any of defined outcomes</w:t>
            </w:r>
          </w:p>
        </w:tc>
        <w:tc>
          <w:tcPr>
            <w:tcW w:w="851" w:type="dxa"/>
            <w:vMerge/>
          </w:tcPr>
          <w:p w14:paraId="6B07F9D6" w14:textId="77777777" w:rsidR="00D553CB" w:rsidRPr="00AA6889" w:rsidRDefault="00D553CB" w:rsidP="00D553CB">
            <w:pPr>
              <w:rPr>
                <w:rFonts w:ascii="Arial" w:eastAsia="Batang" w:hAnsi="Arial" w:cs="Arial"/>
              </w:rPr>
            </w:pPr>
          </w:p>
        </w:tc>
      </w:tr>
      <w:tr w:rsidR="00D553CB" w:rsidRPr="00AA6889" w14:paraId="3C171EDA" w14:textId="77777777" w:rsidTr="00D553CB">
        <w:trPr>
          <w:trHeight w:val="239"/>
        </w:trPr>
        <w:tc>
          <w:tcPr>
            <w:tcW w:w="3544" w:type="dxa"/>
            <w:vMerge w:val="restart"/>
            <w:shd w:val="clear" w:color="auto" w:fill="D9D9D9" w:themeFill="background1" w:themeFillShade="D9"/>
          </w:tcPr>
          <w:p w14:paraId="3651ACA2" w14:textId="77777777" w:rsidR="00232D67" w:rsidRPr="00AA6889" w:rsidRDefault="00232D67" w:rsidP="00232D67">
            <w:pPr>
              <w:rPr>
                <w:rFonts w:ascii="Arial" w:eastAsia="Batang" w:hAnsi="Arial" w:cs="Arial"/>
                <w:bCs/>
              </w:rPr>
            </w:pPr>
            <w:r w:rsidRPr="00AA6889">
              <w:rPr>
                <w:rFonts w:ascii="Arial" w:hAnsi="Arial" w:cs="Arial"/>
                <w:b/>
                <w:bCs/>
              </w:rPr>
              <w:t>Delivery Model and Rationale</w:t>
            </w:r>
          </w:p>
          <w:p w14:paraId="6A638885" w14:textId="1C13FEF2" w:rsidR="00D553CB" w:rsidRPr="00AA6889" w:rsidRDefault="00D553CB" w:rsidP="00232D67">
            <w:pPr>
              <w:rPr>
                <w:rFonts w:ascii="Arial" w:eastAsia="Batang" w:hAnsi="Arial" w:cs="Arial"/>
                <w:b/>
              </w:rPr>
            </w:pPr>
          </w:p>
        </w:tc>
        <w:tc>
          <w:tcPr>
            <w:tcW w:w="2410" w:type="dxa"/>
            <w:shd w:val="clear" w:color="auto" w:fill="538135" w:themeFill="accent6" w:themeFillShade="BF"/>
          </w:tcPr>
          <w:p w14:paraId="07794F2E" w14:textId="5C02ADD2" w:rsidR="00D553CB" w:rsidRPr="00AA6889" w:rsidRDefault="00EB4220" w:rsidP="00D553CB">
            <w:pPr>
              <w:rPr>
                <w:rFonts w:ascii="Arial" w:eastAsia="Batang" w:hAnsi="Arial" w:cs="Arial"/>
              </w:rPr>
            </w:pPr>
            <w:r>
              <w:rPr>
                <w:rFonts w:ascii="Arial" w:eastAsia="Batang" w:hAnsi="Arial" w:cs="Arial"/>
              </w:rPr>
              <w:t>1</w:t>
            </w:r>
            <w:r w:rsidR="00D553CB" w:rsidRPr="00AA6889">
              <w:rPr>
                <w:rFonts w:ascii="Arial" w:eastAsia="Batang" w:hAnsi="Arial" w:cs="Arial"/>
              </w:rPr>
              <w:t>5</w:t>
            </w:r>
            <w:r w:rsidR="00BF7E7F">
              <w:rPr>
                <w:rFonts w:ascii="Arial" w:eastAsia="Batang" w:hAnsi="Arial" w:cs="Arial"/>
              </w:rPr>
              <w:t xml:space="preserve"> - 13</w:t>
            </w:r>
          </w:p>
        </w:tc>
        <w:tc>
          <w:tcPr>
            <w:tcW w:w="1276" w:type="dxa"/>
            <w:shd w:val="clear" w:color="auto" w:fill="A8D08D" w:themeFill="accent6" w:themeFillTint="99"/>
          </w:tcPr>
          <w:p w14:paraId="53DF4AA9" w14:textId="10B784AD" w:rsidR="00D553CB" w:rsidRPr="00AA6889" w:rsidRDefault="00BF7E7F" w:rsidP="00D553CB">
            <w:pPr>
              <w:rPr>
                <w:rFonts w:ascii="Arial" w:eastAsia="Batang" w:hAnsi="Arial" w:cs="Arial"/>
              </w:rPr>
            </w:pPr>
            <w:r>
              <w:rPr>
                <w:rFonts w:ascii="Arial" w:eastAsia="Batang" w:hAnsi="Arial" w:cs="Arial"/>
              </w:rPr>
              <w:t>12-10</w:t>
            </w:r>
          </w:p>
        </w:tc>
        <w:tc>
          <w:tcPr>
            <w:tcW w:w="1984" w:type="dxa"/>
            <w:shd w:val="clear" w:color="auto" w:fill="E2EFD9" w:themeFill="accent6" w:themeFillTint="33"/>
          </w:tcPr>
          <w:p w14:paraId="38402304" w14:textId="626FCD88" w:rsidR="00D553CB" w:rsidRPr="00AA6889" w:rsidRDefault="00BF7E7F" w:rsidP="00D553CB">
            <w:pPr>
              <w:rPr>
                <w:rFonts w:ascii="Arial" w:eastAsia="Batang" w:hAnsi="Arial" w:cs="Arial"/>
              </w:rPr>
            </w:pPr>
            <w:r>
              <w:rPr>
                <w:rFonts w:ascii="Arial" w:eastAsia="Batang" w:hAnsi="Arial" w:cs="Arial"/>
              </w:rPr>
              <w:t>9-7</w:t>
            </w:r>
          </w:p>
        </w:tc>
        <w:tc>
          <w:tcPr>
            <w:tcW w:w="1134" w:type="dxa"/>
            <w:shd w:val="clear" w:color="auto" w:fill="FFE599" w:themeFill="accent4" w:themeFillTint="66"/>
          </w:tcPr>
          <w:p w14:paraId="0F8C2054" w14:textId="58AB3B60" w:rsidR="00D553CB" w:rsidRPr="00AA6889" w:rsidRDefault="00BF7E7F" w:rsidP="00D553CB">
            <w:pPr>
              <w:rPr>
                <w:rFonts w:ascii="Arial" w:eastAsia="Batang" w:hAnsi="Arial" w:cs="Arial"/>
              </w:rPr>
            </w:pPr>
            <w:r>
              <w:rPr>
                <w:rFonts w:ascii="Arial" w:eastAsia="Batang" w:hAnsi="Arial" w:cs="Arial"/>
              </w:rPr>
              <w:t>6-4</w:t>
            </w:r>
          </w:p>
        </w:tc>
        <w:tc>
          <w:tcPr>
            <w:tcW w:w="1843" w:type="dxa"/>
            <w:shd w:val="clear" w:color="auto" w:fill="92D050"/>
          </w:tcPr>
          <w:p w14:paraId="0DC1021F" w14:textId="0D7CB035" w:rsidR="00D553CB" w:rsidRPr="00AA6889" w:rsidRDefault="00BF7E7F" w:rsidP="00D553CB">
            <w:pPr>
              <w:rPr>
                <w:rFonts w:ascii="Arial" w:eastAsia="Batang" w:hAnsi="Arial" w:cs="Arial"/>
              </w:rPr>
            </w:pPr>
            <w:r>
              <w:rPr>
                <w:rFonts w:ascii="Arial" w:eastAsia="Batang" w:hAnsi="Arial" w:cs="Arial"/>
              </w:rPr>
              <w:t>3-1</w:t>
            </w:r>
          </w:p>
        </w:tc>
        <w:tc>
          <w:tcPr>
            <w:tcW w:w="1984" w:type="dxa"/>
            <w:shd w:val="clear" w:color="auto" w:fill="FF0000"/>
          </w:tcPr>
          <w:p w14:paraId="407B1D4D" w14:textId="6DD4DF6A" w:rsidR="00D553CB" w:rsidRPr="00AA6889" w:rsidRDefault="00D553CB" w:rsidP="00D553CB">
            <w:pPr>
              <w:rPr>
                <w:rFonts w:ascii="Arial" w:eastAsia="Batang" w:hAnsi="Arial" w:cs="Arial"/>
              </w:rPr>
            </w:pPr>
            <w:r w:rsidRPr="00AA6889">
              <w:rPr>
                <w:rFonts w:ascii="Arial" w:eastAsia="Batang" w:hAnsi="Arial" w:cs="Arial"/>
              </w:rPr>
              <w:t>0</w:t>
            </w:r>
          </w:p>
        </w:tc>
        <w:tc>
          <w:tcPr>
            <w:tcW w:w="851" w:type="dxa"/>
            <w:vMerge w:val="restart"/>
          </w:tcPr>
          <w:p w14:paraId="4E1FFC19" w14:textId="6830323B" w:rsidR="00D553CB" w:rsidRPr="00AA6889" w:rsidRDefault="003622D4" w:rsidP="00D553CB">
            <w:pPr>
              <w:rPr>
                <w:rFonts w:ascii="Arial" w:eastAsia="Batang" w:hAnsi="Arial" w:cs="Arial"/>
              </w:rPr>
            </w:pPr>
            <w:r>
              <w:rPr>
                <w:rFonts w:ascii="Arial" w:eastAsia="Batang" w:hAnsi="Arial" w:cs="Arial"/>
              </w:rPr>
              <w:t>1</w:t>
            </w:r>
            <w:r w:rsidR="00D553CB" w:rsidRPr="00AA6889">
              <w:rPr>
                <w:rFonts w:ascii="Arial" w:eastAsia="Batang" w:hAnsi="Arial" w:cs="Arial"/>
              </w:rPr>
              <w:t>5</w:t>
            </w:r>
          </w:p>
        </w:tc>
      </w:tr>
      <w:tr w:rsidR="00D553CB" w:rsidRPr="00AA6889" w14:paraId="67FC8011" w14:textId="77777777" w:rsidTr="00D553CB">
        <w:trPr>
          <w:trHeight w:val="239"/>
        </w:trPr>
        <w:tc>
          <w:tcPr>
            <w:tcW w:w="3544" w:type="dxa"/>
            <w:vMerge/>
            <w:shd w:val="clear" w:color="auto" w:fill="D9D9D9" w:themeFill="background1" w:themeFillShade="D9"/>
          </w:tcPr>
          <w:p w14:paraId="105AAB5A" w14:textId="7E6B3D7C" w:rsidR="00D553CB" w:rsidRPr="00AA6889" w:rsidRDefault="00D553CB" w:rsidP="00D553CB">
            <w:pPr>
              <w:rPr>
                <w:rFonts w:ascii="Arial" w:eastAsia="Batang" w:hAnsi="Arial" w:cs="Arial"/>
                <w:b/>
              </w:rPr>
            </w:pPr>
          </w:p>
        </w:tc>
        <w:tc>
          <w:tcPr>
            <w:tcW w:w="2410" w:type="dxa"/>
          </w:tcPr>
          <w:p w14:paraId="6DE8502E" w14:textId="77777777" w:rsidR="00EB4220" w:rsidRPr="00AA6889" w:rsidRDefault="00EB4220" w:rsidP="00EB4220">
            <w:pPr>
              <w:rPr>
                <w:rFonts w:ascii="Arial" w:eastAsia="Batang" w:hAnsi="Arial" w:cs="Arial"/>
              </w:rPr>
            </w:pPr>
            <w:r w:rsidRPr="00AA6889">
              <w:rPr>
                <w:rFonts w:ascii="Arial" w:eastAsia="Batang" w:hAnsi="Arial" w:cs="Arial"/>
              </w:rPr>
              <w:t>1-20%</w:t>
            </w:r>
          </w:p>
          <w:p w14:paraId="016C55C5" w14:textId="3F9F176F" w:rsidR="00D553CB" w:rsidRPr="00AA6889" w:rsidRDefault="00D553CB" w:rsidP="00D553CB">
            <w:pPr>
              <w:rPr>
                <w:rFonts w:ascii="Arial" w:eastAsia="Batang" w:hAnsi="Arial" w:cs="Arial"/>
              </w:rPr>
            </w:pPr>
          </w:p>
        </w:tc>
        <w:tc>
          <w:tcPr>
            <w:tcW w:w="1276" w:type="dxa"/>
          </w:tcPr>
          <w:p w14:paraId="34231147" w14:textId="57B4B048" w:rsidR="00D553CB" w:rsidRPr="00AA6889" w:rsidRDefault="00EB4220" w:rsidP="00D553CB">
            <w:pPr>
              <w:rPr>
                <w:rFonts w:ascii="Arial" w:eastAsia="Batang" w:hAnsi="Arial" w:cs="Arial"/>
              </w:rPr>
            </w:pPr>
            <w:r w:rsidRPr="00AA6889">
              <w:rPr>
                <w:rFonts w:ascii="Arial" w:eastAsia="Batang" w:hAnsi="Arial" w:cs="Arial"/>
              </w:rPr>
              <w:t>21-40%</w:t>
            </w:r>
          </w:p>
        </w:tc>
        <w:tc>
          <w:tcPr>
            <w:tcW w:w="1984" w:type="dxa"/>
          </w:tcPr>
          <w:p w14:paraId="405A98CD" w14:textId="321AA674" w:rsidR="00D553CB" w:rsidRPr="00AA6889" w:rsidRDefault="00EB4220" w:rsidP="00D553CB">
            <w:pPr>
              <w:rPr>
                <w:rFonts w:ascii="Arial" w:eastAsia="Batang" w:hAnsi="Arial" w:cs="Arial"/>
              </w:rPr>
            </w:pPr>
            <w:r w:rsidRPr="00AA6889">
              <w:rPr>
                <w:rFonts w:ascii="Arial" w:eastAsia="Batang" w:hAnsi="Arial" w:cs="Arial"/>
              </w:rPr>
              <w:t>41- 60%</w:t>
            </w:r>
          </w:p>
        </w:tc>
        <w:tc>
          <w:tcPr>
            <w:tcW w:w="1134" w:type="dxa"/>
          </w:tcPr>
          <w:p w14:paraId="6EA4C4CD" w14:textId="211363A9" w:rsidR="00D553CB" w:rsidRPr="00AA6889" w:rsidRDefault="00EB4220" w:rsidP="00D553CB">
            <w:pPr>
              <w:rPr>
                <w:rFonts w:ascii="Arial" w:eastAsia="Batang" w:hAnsi="Arial" w:cs="Arial"/>
              </w:rPr>
            </w:pPr>
            <w:r w:rsidRPr="00AA6889">
              <w:rPr>
                <w:rFonts w:ascii="Arial" w:eastAsia="Batang" w:hAnsi="Arial" w:cs="Arial"/>
              </w:rPr>
              <w:t>61-70%</w:t>
            </w:r>
          </w:p>
        </w:tc>
        <w:tc>
          <w:tcPr>
            <w:tcW w:w="1843" w:type="dxa"/>
          </w:tcPr>
          <w:p w14:paraId="421EEA34" w14:textId="238CDB4C" w:rsidR="00D553CB" w:rsidRPr="00AA6889" w:rsidRDefault="00EB4220" w:rsidP="00D553CB">
            <w:pPr>
              <w:rPr>
                <w:rFonts w:ascii="Arial" w:eastAsia="Batang" w:hAnsi="Arial" w:cs="Arial"/>
              </w:rPr>
            </w:pPr>
            <w:r w:rsidRPr="00AA6889">
              <w:rPr>
                <w:rFonts w:ascii="Arial" w:eastAsia="Batang" w:hAnsi="Arial" w:cs="Arial"/>
              </w:rPr>
              <w:t>71-80%</w:t>
            </w:r>
          </w:p>
        </w:tc>
        <w:tc>
          <w:tcPr>
            <w:tcW w:w="1984" w:type="dxa"/>
          </w:tcPr>
          <w:p w14:paraId="370B9EF0" w14:textId="5692CE4C" w:rsidR="00D553CB" w:rsidRPr="00AA6889" w:rsidRDefault="00EB4220" w:rsidP="00D553CB">
            <w:pPr>
              <w:rPr>
                <w:rFonts w:ascii="Arial" w:eastAsia="Batang" w:hAnsi="Arial" w:cs="Arial"/>
              </w:rPr>
            </w:pPr>
            <w:r w:rsidRPr="00AA6889">
              <w:rPr>
                <w:rFonts w:ascii="Arial" w:eastAsia="Batang" w:hAnsi="Arial" w:cs="Arial"/>
              </w:rPr>
              <w:t>80-100%</w:t>
            </w:r>
          </w:p>
        </w:tc>
        <w:tc>
          <w:tcPr>
            <w:tcW w:w="851" w:type="dxa"/>
            <w:vMerge/>
          </w:tcPr>
          <w:p w14:paraId="53DD330E" w14:textId="661BF442" w:rsidR="00D553CB" w:rsidRPr="00AA6889" w:rsidRDefault="00D553CB" w:rsidP="00D553CB">
            <w:pPr>
              <w:rPr>
                <w:rFonts w:ascii="Arial" w:eastAsia="Batang" w:hAnsi="Arial" w:cs="Arial"/>
              </w:rPr>
            </w:pPr>
          </w:p>
        </w:tc>
      </w:tr>
      <w:tr w:rsidR="00D553CB" w:rsidRPr="00AA6889" w14:paraId="0E535109" w14:textId="77777777" w:rsidTr="00D553CB">
        <w:trPr>
          <w:trHeight w:val="169"/>
        </w:trPr>
        <w:tc>
          <w:tcPr>
            <w:tcW w:w="3544" w:type="dxa"/>
            <w:vMerge w:val="restart"/>
            <w:shd w:val="clear" w:color="auto" w:fill="D9D9D9" w:themeFill="background1" w:themeFillShade="D9"/>
          </w:tcPr>
          <w:p w14:paraId="5BD4FEC3" w14:textId="70D3F40D" w:rsidR="00D553CB" w:rsidRPr="00AA6889" w:rsidRDefault="00EB4220" w:rsidP="00232D67">
            <w:pPr>
              <w:rPr>
                <w:rFonts w:ascii="Arial" w:eastAsia="Batang" w:hAnsi="Arial" w:cs="Arial"/>
                <w:b/>
              </w:rPr>
            </w:pPr>
            <w:r>
              <w:rPr>
                <w:rFonts w:ascii="Arial" w:eastAsia="Batang" w:hAnsi="Arial" w:cs="Arial"/>
                <w:b/>
              </w:rPr>
              <w:t>Value for Money</w:t>
            </w:r>
          </w:p>
        </w:tc>
        <w:tc>
          <w:tcPr>
            <w:tcW w:w="2410" w:type="dxa"/>
            <w:shd w:val="clear" w:color="auto" w:fill="538135" w:themeFill="accent6" w:themeFillShade="BF"/>
          </w:tcPr>
          <w:p w14:paraId="153E777A" w14:textId="6BB9BDF4" w:rsidR="00D553CB" w:rsidRPr="00AA6889" w:rsidRDefault="00D553CB" w:rsidP="00D553CB">
            <w:pPr>
              <w:rPr>
                <w:rFonts w:ascii="Arial" w:eastAsia="Batang" w:hAnsi="Arial" w:cs="Arial"/>
              </w:rPr>
            </w:pPr>
            <w:r w:rsidRPr="00AA6889">
              <w:rPr>
                <w:rFonts w:ascii="Arial" w:eastAsia="Batang" w:hAnsi="Arial" w:cs="Arial"/>
              </w:rPr>
              <w:t>5</w:t>
            </w:r>
          </w:p>
        </w:tc>
        <w:tc>
          <w:tcPr>
            <w:tcW w:w="1276" w:type="dxa"/>
            <w:shd w:val="clear" w:color="auto" w:fill="A8D08D" w:themeFill="accent6" w:themeFillTint="99"/>
          </w:tcPr>
          <w:p w14:paraId="187A47BC" w14:textId="0BA5B691" w:rsidR="00D553CB" w:rsidRPr="00AA6889" w:rsidRDefault="00D553CB" w:rsidP="00D553CB">
            <w:pPr>
              <w:rPr>
                <w:rFonts w:ascii="Arial" w:eastAsia="Batang" w:hAnsi="Arial" w:cs="Arial"/>
              </w:rPr>
            </w:pPr>
            <w:r w:rsidRPr="00AA6889">
              <w:rPr>
                <w:rFonts w:ascii="Arial" w:eastAsia="Batang" w:hAnsi="Arial" w:cs="Arial"/>
              </w:rPr>
              <w:t>4</w:t>
            </w:r>
          </w:p>
        </w:tc>
        <w:tc>
          <w:tcPr>
            <w:tcW w:w="1984" w:type="dxa"/>
            <w:shd w:val="clear" w:color="auto" w:fill="E2EFD9" w:themeFill="accent6" w:themeFillTint="33"/>
          </w:tcPr>
          <w:p w14:paraId="261EA48E" w14:textId="5AFD9358" w:rsidR="00D553CB" w:rsidRPr="00AA6889" w:rsidRDefault="00D553CB" w:rsidP="00D553CB">
            <w:pPr>
              <w:rPr>
                <w:rFonts w:ascii="Arial" w:eastAsia="Batang" w:hAnsi="Arial" w:cs="Arial"/>
              </w:rPr>
            </w:pPr>
            <w:r w:rsidRPr="00AA6889">
              <w:rPr>
                <w:rFonts w:ascii="Arial" w:eastAsia="Batang" w:hAnsi="Arial" w:cs="Arial"/>
              </w:rPr>
              <w:t>3</w:t>
            </w:r>
          </w:p>
        </w:tc>
        <w:tc>
          <w:tcPr>
            <w:tcW w:w="1134" w:type="dxa"/>
            <w:shd w:val="clear" w:color="auto" w:fill="FFE599" w:themeFill="accent4" w:themeFillTint="66"/>
          </w:tcPr>
          <w:p w14:paraId="009BAA57" w14:textId="28341D3B" w:rsidR="00D553CB" w:rsidRPr="00AA6889" w:rsidRDefault="00D553CB" w:rsidP="00D553CB">
            <w:pPr>
              <w:rPr>
                <w:rFonts w:ascii="Arial" w:eastAsia="Batang" w:hAnsi="Arial" w:cs="Arial"/>
              </w:rPr>
            </w:pPr>
            <w:r w:rsidRPr="00AA6889">
              <w:rPr>
                <w:rFonts w:ascii="Arial" w:eastAsia="Batang" w:hAnsi="Arial" w:cs="Arial"/>
              </w:rPr>
              <w:t>2</w:t>
            </w:r>
          </w:p>
        </w:tc>
        <w:tc>
          <w:tcPr>
            <w:tcW w:w="1843" w:type="dxa"/>
            <w:shd w:val="clear" w:color="auto" w:fill="FFC000"/>
          </w:tcPr>
          <w:p w14:paraId="6EE27B68" w14:textId="541D08EF" w:rsidR="00D553CB" w:rsidRPr="00AA6889" w:rsidRDefault="00D553CB" w:rsidP="00D553CB">
            <w:pPr>
              <w:rPr>
                <w:rFonts w:ascii="Arial" w:eastAsia="Batang" w:hAnsi="Arial" w:cs="Arial"/>
              </w:rPr>
            </w:pPr>
            <w:r w:rsidRPr="00AA6889">
              <w:rPr>
                <w:rFonts w:ascii="Arial" w:eastAsia="Batang" w:hAnsi="Arial" w:cs="Arial"/>
              </w:rPr>
              <w:t>1</w:t>
            </w:r>
          </w:p>
        </w:tc>
        <w:tc>
          <w:tcPr>
            <w:tcW w:w="1984" w:type="dxa"/>
            <w:shd w:val="clear" w:color="auto" w:fill="FF0000"/>
          </w:tcPr>
          <w:p w14:paraId="01A540A5" w14:textId="27365042" w:rsidR="00D553CB" w:rsidRPr="00AA6889" w:rsidRDefault="00D553CB" w:rsidP="00D553CB">
            <w:pPr>
              <w:rPr>
                <w:rFonts w:ascii="Arial" w:eastAsia="Batang" w:hAnsi="Arial" w:cs="Arial"/>
              </w:rPr>
            </w:pPr>
            <w:r w:rsidRPr="00AA6889">
              <w:rPr>
                <w:rFonts w:ascii="Arial" w:eastAsia="Batang" w:hAnsi="Arial" w:cs="Arial"/>
              </w:rPr>
              <w:t>0</w:t>
            </w:r>
          </w:p>
        </w:tc>
        <w:tc>
          <w:tcPr>
            <w:tcW w:w="851" w:type="dxa"/>
            <w:vMerge w:val="restart"/>
          </w:tcPr>
          <w:p w14:paraId="3BAD9C56" w14:textId="1EABB75D" w:rsidR="00D553CB" w:rsidRPr="00AA6889" w:rsidRDefault="00D553CB" w:rsidP="00D553CB">
            <w:pPr>
              <w:rPr>
                <w:rFonts w:ascii="Arial" w:eastAsia="Batang" w:hAnsi="Arial" w:cs="Arial"/>
              </w:rPr>
            </w:pPr>
            <w:r w:rsidRPr="00AA6889">
              <w:rPr>
                <w:rFonts w:ascii="Arial" w:eastAsia="Batang" w:hAnsi="Arial" w:cs="Arial"/>
              </w:rPr>
              <w:t>5</w:t>
            </w:r>
          </w:p>
        </w:tc>
      </w:tr>
      <w:tr w:rsidR="00D553CB" w:rsidRPr="00AA6889" w14:paraId="180AED38" w14:textId="77777777" w:rsidTr="00D553CB">
        <w:trPr>
          <w:trHeight w:val="340"/>
        </w:trPr>
        <w:tc>
          <w:tcPr>
            <w:tcW w:w="3544" w:type="dxa"/>
            <w:vMerge/>
            <w:shd w:val="clear" w:color="auto" w:fill="D9D9D9" w:themeFill="background1" w:themeFillShade="D9"/>
          </w:tcPr>
          <w:p w14:paraId="2D587148" w14:textId="77777777" w:rsidR="00D553CB" w:rsidRPr="00AA6889" w:rsidRDefault="00D553CB" w:rsidP="00D553CB">
            <w:pPr>
              <w:rPr>
                <w:rFonts w:ascii="Arial" w:eastAsia="Batang" w:hAnsi="Arial" w:cs="Arial"/>
                <w:b/>
              </w:rPr>
            </w:pPr>
          </w:p>
        </w:tc>
        <w:tc>
          <w:tcPr>
            <w:tcW w:w="2410" w:type="dxa"/>
          </w:tcPr>
          <w:p w14:paraId="259A6932" w14:textId="5552D12B" w:rsidR="00D553CB" w:rsidRPr="00AA6889" w:rsidRDefault="00EB4220" w:rsidP="00D553CB">
            <w:pPr>
              <w:rPr>
                <w:rFonts w:ascii="Arial" w:eastAsia="Batang" w:hAnsi="Arial" w:cs="Arial"/>
              </w:rPr>
            </w:pPr>
            <w:r w:rsidRPr="00AA6889">
              <w:rPr>
                <w:rFonts w:ascii="Arial" w:eastAsia="Batang" w:hAnsi="Arial" w:cs="Arial"/>
              </w:rPr>
              <w:t>Exceptional value for money</w:t>
            </w:r>
          </w:p>
        </w:tc>
        <w:tc>
          <w:tcPr>
            <w:tcW w:w="1276" w:type="dxa"/>
          </w:tcPr>
          <w:p w14:paraId="2FC26D6B" w14:textId="0E25B59B" w:rsidR="00D553CB" w:rsidRPr="00AA6889" w:rsidRDefault="00EB4220" w:rsidP="00D553CB">
            <w:pPr>
              <w:rPr>
                <w:rFonts w:ascii="Arial" w:eastAsia="Batang" w:hAnsi="Arial" w:cs="Arial"/>
              </w:rPr>
            </w:pPr>
            <w:r w:rsidRPr="00AA6889">
              <w:rPr>
                <w:rFonts w:ascii="Arial" w:eastAsia="Batang" w:hAnsi="Arial" w:cs="Arial"/>
              </w:rPr>
              <w:t>potentially very good value for money</w:t>
            </w:r>
          </w:p>
        </w:tc>
        <w:tc>
          <w:tcPr>
            <w:tcW w:w="1984" w:type="dxa"/>
          </w:tcPr>
          <w:p w14:paraId="50EC7BEF" w14:textId="10C6B501" w:rsidR="00D553CB" w:rsidRPr="00AA6889" w:rsidRDefault="00EB4220" w:rsidP="00D553CB">
            <w:pPr>
              <w:rPr>
                <w:rFonts w:ascii="Arial" w:eastAsia="Batang" w:hAnsi="Arial" w:cs="Arial"/>
              </w:rPr>
            </w:pPr>
            <w:r w:rsidRPr="00AA6889">
              <w:rPr>
                <w:rFonts w:ascii="Arial" w:eastAsia="Batang" w:hAnsi="Arial" w:cs="Arial"/>
              </w:rPr>
              <w:t>represents reasonable value for money</w:t>
            </w:r>
          </w:p>
        </w:tc>
        <w:tc>
          <w:tcPr>
            <w:tcW w:w="1134" w:type="dxa"/>
          </w:tcPr>
          <w:p w14:paraId="1B5B6667" w14:textId="7FE3207C" w:rsidR="00D553CB" w:rsidRPr="00AA6889" w:rsidRDefault="00EB4220" w:rsidP="00D553CB">
            <w:pPr>
              <w:rPr>
                <w:rFonts w:ascii="Arial" w:eastAsia="Batang" w:hAnsi="Arial" w:cs="Arial"/>
              </w:rPr>
            </w:pPr>
            <w:r w:rsidRPr="00AA6889">
              <w:rPr>
                <w:rFonts w:ascii="Arial" w:eastAsia="Batang" w:hAnsi="Arial" w:cs="Arial"/>
              </w:rPr>
              <w:t>4-3</w:t>
            </w:r>
          </w:p>
        </w:tc>
        <w:tc>
          <w:tcPr>
            <w:tcW w:w="1843" w:type="dxa"/>
          </w:tcPr>
          <w:p w14:paraId="1C744A72" w14:textId="1346F0B4" w:rsidR="00D553CB" w:rsidRPr="00AA6889" w:rsidRDefault="00EB4220" w:rsidP="00D553CB">
            <w:pPr>
              <w:rPr>
                <w:rFonts w:ascii="Arial" w:eastAsia="Batang" w:hAnsi="Arial" w:cs="Arial"/>
              </w:rPr>
            </w:pPr>
            <w:r w:rsidRPr="00AA6889">
              <w:rPr>
                <w:rFonts w:ascii="Arial" w:eastAsia="Batang" w:hAnsi="Arial" w:cs="Arial"/>
              </w:rPr>
              <w:t>Offers less favourable value for money.</w:t>
            </w:r>
          </w:p>
        </w:tc>
        <w:tc>
          <w:tcPr>
            <w:tcW w:w="1984" w:type="dxa"/>
            <w:shd w:val="clear" w:color="auto" w:fill="FFFFFF" w:themeFill="background1"/>
          </w:tcPr>
          <w:p w14:paraId="3458C6C4" w14:textId="4F8C5B2E" w:rsidR="00D553CB" w:rsidRPr="00AA6889" w:rsidRDefault="00EB4220" w:rsidP="00D553CB">
            <w:pPr>
              <w:rPr>
                <w:rFonts w:ascii="Arial" w:eastAsia="Batang" w:hAnsi="Arial" w:cs="Arial"/>
              </w:rPr>
            </w:pPr>
            <w:r w:rsidRPr="00AA6889">
              <w:rPr>
                <w:rFonts w:ascii="Arial" w:eastAsia="Batang" w:hAnsi="Arial" w:cs="Arial"/>
              </w:rPr>
              <w:t>Unlikely to offer any value for money.</w:t>
            </w:r>
          </w:p>
        </w:tc>
        <w:tc>
          <w:tcPr>
            <w:tcW w:w="851" w:type="dxa"/>
            <w:vMerge/>
          </w:tcPr>
          <w:p w14:paraId="4CCE0E64" w14:textId="77777777" w:rsidR="00D553CB" w:rsidRPr="00AA6889" w:rsidRDefault="00D553CB" w:rsidP="00D553CB">
            <w:pPr>
              <w:rPr>
                <w:rFonts w:ascii="Arial" w:eastAsia="Batang" w:hAnsi="Arial" w:cs="Arial"/>
              </w:rPr>
            </w:pPr>
          </w:p>
        </w:tc>
      </w:tr>
      <w:tr w:rsidR="00D553CB" w:rsidRPr="00AA6889" w14:paraId="31E01C7C" w14:textId="77777777" w:rsidTr="00D553CB">
        <w:trPr>
          <w:trHeight w:val="161"/>
        </w:trPr>
        <w:tc>
          <w:tcPr>
            <w:tcW w:w="3544" w:type="dxa"/>
            <w:vMerge w:val="restart"/>
            <w:shd w:val="clear" w:color="auto" w:fill="D9D9D9" w:themeFill="background1" w:themeFillShade="D9"/>
          </w:tcPr>
          <w:p w14:paraId="763B3D7B" w14:textId="4A3C8C2E" w:rsidR="00D553CB" w:rsidRPr="00AA6889" w:rsidRDefault="0064668E" w:rsidP="00D553CB">
            <w:pPr>
              <w:rPr>
                <w:rFonts w:ascii="Arial" w:eastAsia="Batang" w:hAnsi="Arial" w:cs="Arial"/>
                <w:b/>
              </w:rPr>
            </w:pPr>
            <w:r w:rsidRPr="00AA6889">
              <w:rPr>
                <w:rFonts w:ascii="Arial" w:eastAsia="Batang" w:hAnsi="Arial" w:cs="Arial"/>
                <w:b/>
              </w:rPr>
              <w:t>Deliverability Risk</w:t>
            </w:r>
          </w:p>
        </w:tc>
        <w:tc>
          <w:tcPr>
            <w:tcW w:w="2410" w:type="dxa"/>
            <w:shd w:val="clear" w:color="auto" w:fill="538135" w:themeFill="accent6" w:themeFillShade="BF"/>
          </w:tcPr>
          <w:p w14:paraId="59B2841B" w14:textId="0351EFDB" w:rsidR="00D553CB" w:rsidRPr="00AA6889" w:rsidRDefault="0064668E" w:rsidP="00D553CB">
            <w:pPr>
              <w:rPr>
                <w:rFonts w:ascii="Arial" w:eastAsia="Batang" w:hAnsi="Arial" w:cs="Arial"/>
              </w:rPr>
            </w:pPr>
            <w:r>
              <w:rPr>
                <w:rFonts w:ascii="Arial" w:eastAsia="Batang" w:hAnsi="Arial" w:cs="Arial"/>
              </w:rPr>
              <w:t>1</w:t>
            </w:r>
            <w:r w:rsidRPr="00AA6889">
              <w:rPr>
                <w:rFonts w:ascii="Arial" w:eastAsia="Batang" w:hAnsi="Arial" w:cs="Arial"/>
              </w:rPr>
              <w:t>5</w:t>
            </w:r>
            <w:r>
              <w:rPr>
                <w:rFonts w:ascii="Arial" w:eastAsia="Batang" w:hAnsi="Arial" w:cs="Arial"/>
              </w:rPr>
              <w:t xml:space="preserve"> - 13</w:t>
            </w:r>
          </w:p>
        </w:tc>
        <w:tc>
          <w:tcPr>
            <w:tcW w:w="1276" w:type="dxa"/>
            <w:shd w:val="clear" w:color="auto" w:fill="A8D08D" w:themeFill="accent6" w:themeFillTint="99"/>
          </w:tcPr>
          <w:p w14:paraId="3082D35B" w14:textId="787FA428" w:rsidR="00D553CB" w:rsidRPr="00AA6889" w:rsidRDefault="0064668E" w:rsidP="00D553CB">
            <w:pPr>
              <w:rPr>
                <w:rFonts w:ascii="Arial" w:eastAsia="Batang" w:hAnsi="Arial" w:cs="Arial"/>
              </w:rPr>
            </w:pPr>
            <w:r>
              <w:rPr>
                <w:rFonts w:ascii="Arial" w:eastAsia="Batang" w:hAnsi="Arial" w:cs="Arial"/>
              </w:rPr>
              <w:t>12-10</w:t>
            </w:r>
          </w:p>
        </w:tc>
        <w:tc>
          <w:tcPr>
            <w:tcW w:w="1984" w:type="dxa"/>
            <w:shd w:val="clear" w:color="auto" w:fill="E2EFD9" w:themeFill="accent6" w:themeFillTint="33"/>
          </w:tcPr>
          <w:p w14:paraId="25F311D8" w14:textId="45AD3031" w:rsidR="00D553CB" w:rsidRPr="00AA6889" w:rsidRDefault="0064668E" w:rsidP="00D553CB">
            <w:pPr>
              <w:rPr>
                <w:rFonts w:ascii="Arial" w:eastAsia="Batang" w:hAnsi="Arial" w:cs="Arial"/>
              </w:rPr>
            </w:pPr>
            <w:r>
              <w:rPr>
                <w:rFonts w:ascii="Arial" w:eastAsia="Batang" w:hAnsi="Arial" w:cs="Arial"/>
              </w:rPr>
              <w:t>9-7</w:t>
            </w:r>
          </w:p>
        </w:tc>
        <w:tc>
          <w:tcPr>
            <w:tcW w:w="1134" w:type="dxa"/>
            <w:shd w:val="clear" w:color="auto" w:fill="FFE599" w:themeFill="accent4" w:themeFillTint="66"/>
          </w:tcPr>
          <w:p w14:paraId="79003F64" w14:textId="49C2881C" w:rsidR="00D553CB" w:rsidRPr="00AA6889" w:rsidRDefault="0064668E" w:rsidP="00D553CB">
            <w:pPr>
              <w:rPr>
                <w:rFonts w:ascii="Arial" w:eastAsia="Batang" w:hAnsi="Arial" w:cs="Arial"/>
              </w:rPr>
            </w:pPr>
            <w:r>
              <w:rPr>
                <w:rFonts w:ascii="Arial" w:eastAsia="Batang" w:hAnsi="Arial" w:cs="Arial"/>
              </w:rPr>
              <w:t>6-4</w:t>
            </w:r>
          </w:p>
        </w:tc>
        <w:tc>
          <w:tcPr>
            <w:tcW w:w="1843" w:type="dxa"/>
            <w:shd w:val="clear" w:color="auto" w:fill="FFC000"/>
          </w:tcPr>
          <w:p w14:paraId="198CDAD0" w14:textId="321A9ED9" w:rsidR="00D553CB" w:rsidRPr="00AA6889" w:rsidRDefault="0064668E" w:rsidP="00D553CB">
            <w:pPr>
              <w:rPr>
                <w:rFonts w:ascii="Arial" w:eastAsia="Batang" w:hAnsi="Arial" w:cs="Arial"/>
              </w:rPr>
            </w:pPr>
            <w:r>
              <w:rPr>
                <w:rFonts w:ascii="Arial" w:eastAsia="Batang" w:hAnsi="Arial" w:cs="Arial"/>
              </w:rPr>
              <w:t>3-1</w:t>
            </w:r>
          </w:p>
        </w:tc>
        <w:tc>
          <w:tcPr>
            <w:tcW w:w="1984" w:type="dxa"/>
            <w:shd w:val="clear" w:color="auto" w:fill="FF0000"/>
          </w:tcPr>
          <w:p w14:paraId="4BB31E3A" w14:textId="424CA7E6" w:rsidR="00D553CB" w:rsidRPr="00AA6889" w:rsidRDefault="0064668E" w:rsidP="00D553CB">
            <w:pPr>
              <w:rPr>
                <w:rFonts w:ascii="Arial" w:eastAsia="Batang" w:hAnsi="Arial" w:cs="Arial"/>
              </w:rPr>
            </w:pPr>
            <w:r>
              <w:rPr>
                <w:rFonts w:ascii="Arial" w:eastAsia="Batang" w:hAnsi="Arial" w:cs="Arial"/>
              </w:rPr>
              <w:t>0</w:t>
            </w:r>
          </w:p>
        </w:tc>
        <w:tc>
          <w:tcPr>
            <w:tcW w:w="851" w:type="dxa"/>
            <w:vMerge w:val="restart"/>
          </w:tcPr>
          <w:p w14:paraId="319B678B" w14:textId="30D526B4" w:rsidR="00D553CB" w:rsidRPr="00AA6889" w:rsidRDefault="00CB48A5" w:rsidP="00D553CB">
            <w:pPr>
              <w:rPr>
                <w:rFonts w:ascii="Arial" w:eastAsia="Batang" w:hAnsi="Arial" w:cs="Arial"/>
              </w:rPr>
            </w:pPr>
            <w:r>
              <w:rPr>
                <w:rFonts w:ascii="Arial" w:eastAsia="Batang" w:hAnsi="Arial" w:cs="Arial"/>
              </w:rPr>
              <w:t>1</w:t>
            </w:r>
            <w:r w:rsidR="00D553CB" w:rsidRPr="00AA6889">
              <w:rPr>
                <w:rFonts w:ascii="Arial" w:eastAsia="Batang" w:hAnsi="Arial" w:cs="Arial"/>
              </w:rPr>
              <w:t>5</w:t>
            </w:r>
          </w:p>
        </w:tc>
      </w:tr>
      <w:tr w:rsidR="00D553CB" w:rsidRPr="00AA6889" w14:paraId="237EC9E3" w14:textId="77777777" w:rsidTr="00D553CB">
        <w:trPr>
          <w:trHeight w:val="673"/>
        </w:trPr>
        <w:tc>
          <w:tcPr>
            <w:tcW w:w="3544" w:type="dxa"/>
            <w:vMerge/>
            <w:shd w:val="clear" w:color="auto" w:fill="D9D9D9" w:themeFill="background1" w:themeFillShade="D9"/>
          </w:tcPr>
          <w:p w14:paraId="7DB1847B" w14:textId="77777777" w:rsidR="00D553CB" w:rsidRPr="00AA6889" w:rsidRDefault="00D553CB" w:rsidP="00D553CB">
            <w:pPr>
              <w:rPr>
                <w:rFonts w:ascii="Arial" w:eastAsia="Batang" w:hAnsi="Arial" w:cs="Arial"/>
                <w:b/>
              </w:rPr>
            </w:pPr>
          </w:p>
        </w:tc>
        <w:tc>
          <w:tcPr>
            <w:tcW w:w="2410" w:type="dxa"/>
          </w:tcPr>
          <w:p w14:paraId="478725DE" w14:textId="77777777" w:rsidR="0064668E" w:rsidRPr="00AA6889" w:rsidRDefault="0064668E" w:rsidP="0064668E">
            <w:pPr>
              <w:rPr>
                <w:rFonts w:ascii="Arial" w:eastAsia="Batang" w:hAnsi="Arial" w:cs="Arial"/>
              </w:rPr>
            </w:pPr>
            <w:r w:rsidRPr="00AA6889">
              <w:rPr>
                <w:rFonts w:ascii="Arial" w:eastAsia="Batang" w:hAnsi="Arial" w:cs="Arial"/>
              </w:rPr>
              <w:t xml:space="preserve">Considered to be have a high chance of success &amp; completion by the timescales </w:t>
            </w:r>
            <w:r w:rsidRPr="00AA6889">
              <w:rPr>
                <w:rFonts w:ascii="Arial" w:eastAsia="Batang" w:hAnsi="Arial" w:cs="Arial"/>
              </w:rPr>
              <w:lastRenderedPageBreak/>
              <w:t xml:space="preserve">indicated - risks well managed. </w:t>
            </w:r>
          </w:p>
          <w:p w14:paraId="26C49602" w14:textId="77777777" w:rsidR="0064668E" w:rsidRPr="00AA6889" w:rsidRDefault="0064668E" w:rsidP="0064668E">
            <w:pPr>
              <w:rPr>
                <w:rFonts w:ascii="Arial" w:eastAsia="Batang" w:hAnsi="Arial" w:cs="Arial"/>
              </w:rPr>
            </w:pPr>
          </w:p>
          <w:p w14:paraId="1E344ECF" w14:textId="5EBB94D4" w:rsidR="00D553CB" w:rsidRPr="00AA6889" w:rsidRDefault="0064668E" w:rsidP="0064668E">
            <w:pPr>
              <w:rPr>
                <w:rFonts w:ascii="Arial" w:eastAsia="Batang" w:hAnsi="Arial" w:cs="Arial"/>
              </w:rPr>
            </w:pPr>
            <w:r w:rsidRPr="00AA6889">
              <w:rPr>
                <w:rFonts w:ascii="Arial" w:eastAsia="Batang" w:hAnsi="Arial" w:cs="Arial"/>
              </w:rPr>
              <w:t>Likely to have a significant and immediate impact.</w:t>
            </w:r>
          </w:p>
        </w:tc>
        <w:tc>
          <w:tcPr>
            <w:tcW w:w="1276" w:type="dxa"/>
          </w:tcPr>
          <w:p w14:paraId="57C012DF" w14:textId="77777777" w:rsidR="00D553CB" w:rsidRPr="00AA6889" w:rsidRDefault="00D553CB" w:rsidP="00D553CB">
            <w:pPr>
              <w:rPr>
                <w:rFonts w:ascii="Arial" w:eastAsia="Batang" w:hAnsi="Arial" w:cs="Arial"/>
              </w:rPr>
            </w:pPr>
          </w:p>
        </w:tc>
        <w:tc>
          <w:tcPr>
            <w:tcW w:w="1984" w:type="dxa"/>
          </w:tcPr>
          <w:p w14:paraId="762B610B" w14:textId="77777777" w:rsidR="0064668E" w:rsidRPr="00AA6889" w:rsidRDefault="0064668E" w:rsidP="0064668E">
            <w:pPr>
              <w:rPr>
                <w:rFonts w:ascii="Arial" w:eastAsia="Batang" w:hAnsi="Arial" w:cs="Arial"/>
              </w:rPr>
            </w:pPr>
            <w:r w:rsidRPr="00AA6889">
              <w:rPr>
                <w:rFonts w:ascii="Arial" w:eastAsia="Batang" w:hAnsi="Arial" w:cs="Arial"/>
              </w:rPr>
              <w:t xml:space="preserve">Moderately likely to succeed and be delivered by the timescales indicated, some </w:t>
            </w:r>
            <w:r w:rsidRPr="00AA6889">
              <w:rPr>
                <w:rFonts w:ascii="Arial" w:eastAsia="Batang" w:hAnsi="Arial" w:cs="Arial"/>
              </w:rPr>
              <w:lastRenderedPageBreak/>
              <w:t xml:space="preserve">risks with strategies to mitigate in place. </w:t>
            </w:r>
          </w:p>
          <w:p w14:paraId="7EA0CD46" w14:textId="38C4403E" w:rsidR="00D553CB" w:rsidRPr="00AA6889" w:rsidRDefault="00D553CB" w:rsidP="00D553CB">
            <w:pPr>
              <w:rPr>
                <w:rFonts w:ascii="Arial" w:eastAsia="Batang" w:hAnsi="Arial" w:cs="Arial"/>
              </w:rPr>
            </w:pPr>
          </w:p>
        </w:tc>
        <w:tc>
          <w:tcPr>
            <w:tcW w:w="1134" w:type="dxa"/>
          </w:tcPr>
          <w:p w14:paraId="79EFF594" w14:textId="77777777" w:rsidR="00D553CB" w:rsidRPr="00AA6889" w:rsidRDefault="00D553CB" w:rsidP="00D553CB">
            <w:pPr>
              <w:rPr>
                <w:rFonts w:ascii="Arial" w:eastAsia="Batang" w:hAnsi="Arial" w:cs="Arial"/>
              </w:rPr>
            </w:pPr>
          </w:p>
        </w:tc>
        <w:tc>
          <w:tcPr>
            <w:tcW w:w="1843" w:type="dxa"/>
          </w:tcPr>
          <w:p w14:paraId="57139406" w14:textId="77777777" w:rsidR="0064668E" w:rsidRPr="00AA6889" w:rsidRDefault="0064668E" w:rsidP="0064668E">
            <w:pPr>
              <w:rPr>
                <w:rFonts w:ascii="Arial" w:eastAsia="Batang" w:hAnsi="Arial" w:cs="Arial"/>
              </w:rPr>
            </w:pPr>
            <w:r w:rsidRPr="00AA6889">
              <w:rPr>
                <w:rFonts w:ascii="Arial" w:eastAsia="Batang" w:hAnsi="Arial" w:cs="Arial"/>
              </w:rPr>
              <w:t xml:space="preserve">Management and delivery arrangements considered to be weak. High risk </w:t>
            </w:r>
            <w:r w:rsidRPr="00AA6889">
              <w:rPr>
                <w:rFonts w:ascii="Arial" w:eastAsia="Batang" w:hAnsi="Arial" w:cs="Arial"/>
              </w:rPr>
              <w:lastRenderedPageBreak/>
              <w:t xml:space="preserve">of failure with limited mitigation considered. </w:t>
            </w:r>
          </w:p>
          <w:p w14:paraId="25228F1C" w14:textId="77777777" w:rsidR="0064668E" w:rsidRPr="00AA6889" w:rsidRDefault="0064668E" w:rsidP="0064668E">
            <w:pPr>
              <w:rPr>
                <w:rFonts w:ascii="Arial" w:eastAsia="Batang" w:hAnsi="Arial" w:cs="Arial"/>
              </w:rPr>
            </w:pPr>
          </w:p>
          <w:p w14:paraId="05AD386A" w14:textId="39D8F259" w:rsidR="00D553CB" w:rsidRPr="00AA6889" w:rsidRDefault="0064668E" w:rsidP="0064668E">
            <w:pPr>
              <w:rPr>
                <w:rFonts w:ascii="Arial" w:eastAsia="Batang" w:hAnsi="Arial" w:cs="Arial"/>
              </w:rPr>
            </w:pPr>
            <w:r w:rsidRPr="00AA6889">
              <w:rPr>
                <w:rFonts w:ascii="Arial" w:eastAsia="Batang" w:hAnsi="Arial" w:cs="Arial"/>
              </w:rPr>
              <w:t>Impact unlikely to be significant or speed of delivery slow.</w:t>
            </w:r>
          </w:p>
        </w:tc>
        <w:tc>
          <w:tcPr>
            <w:tcW w:w="1984" w:type="dxa"/>
          </w:tcPr>
          <w:p w14:paraId="6159E18B" w14:textId="529F2519" w:rsidR="00D553CB" w:rsidRPr="00AA6889" w:rsidRDefault="0064668E" w:rsidP="00D553CB">
            <w:pPr>
              <w:rPr>
                <w:rFonts w:ascii="Arial" w:eastAsia="Batang" w:hAnsi="Arial" w:cs="Arial"/>
              </w:rPr>
            </w:pPr>
            <w:r w:rsidRPr="00AA6889">
              <w:rPr>
                <w:rFonts w:ascii="Arial" w:eastAsia="Batang" w:hAnsi="Arial" w:cs="Arial"/>
              </w:rPr>
              <w:lastRenderedPageBreak/>
              <w:t xml:space="preserve">Considered to have a very low likelihood of successful completion by the </w:t>
            </w:r>
            <w:r w:rsidRPr="00AA6889">
              <w:rPr>
                <w:rFonts w:ascii="Arial" w:eastAsia="Batang" w:hAnsi="Arial" w:cs="Arial"/>
              </w:rPr>
              <w:lastRenderedPageBreak/>
              <w:t>timescales indicated / multiple high-level risks with no clear management</w:t>
            </w:r>
          </w:p>
        </w:tc>
        <w:tc>
          <w:tcPr>
            <w:tcW w:w="851" w:type="dxa"/>
            <w:vMerge/>
          </w:tcPr>
          <w:p w14:paraId="502E83B0" w14:textId="77777777" w:rsidR="00D553CB" w:rsidRPr="00AA6889" w:rsidRDefault="00D553CB" w:rsidP="00D553CB">
            <w:pPr>
              <w:rPr>
                <w:rFonts w:ascii="Arial" w:eastAsia="Batang" w:hAnsi="Arial" w:cs="Arial"/>
              </w:rPr>
            </w:pPr>
          </w:p>
        </w:tc>
      </w:tr>
      <w:tr w:rsidR="00D553CB" w:rsidRPr="00AA6889" w14:paraId="48CFF21B" w14:textId="77777777" w:rsidTr="00D553CB">
        <w:trPr>
          <w:trHeight w:val="161"/>
        </w:trPr>
        <w:tc>
          <w:tcPr>
            <w:tcW w:w="3544" w:type="dxa"/>
            <w:vMerge w:val="restart"/>
            <w:shd w:val="clear" w:color="auto" w:fill="D9D9D9" w:themeFill="background1" w:themeFillShade="D9"/>
          </w:tcPr>
          <w:p w14:paraId="5213BFDD" w14:textId="2E17FE30" w:rsidR="00D553CB" w:rsidRPr="00AA6889" w:rsidRDefault="00D553CB" w:rsidP="00D553CB">
            <w:pPr>
              <w:rPr>
                <w:rFonts w:ascii="Arial" w:eastAsia="Batang" w:hAnsi="Arial" w:cs="Arial"/>
                <w:b/>
              </w:rPr>
            </w:pPr>
            <w:r w:rsidRPr="00AA6889">
              <w:rPr>
                <w:rFonts w:ascii="Arial" w:eastAsia="Batang" w:hAnsi="Arial" w:cs="Arial"/>
                <w:b/>
              </w:rPr>
              <w:t>Subsi</w:t>
            </w:r>
            <w:r w:rsidR="009F5096" w:rsidRPr="00AA6889">
              <w:rPr>
                <w:rFonts w:ascii="Arial" w:eastAsia="Batang" w:hAnsi="Arial" w:cs="Arial"/>
                <w:b/>
              </w:rPr>
              <w:t>d</w:t>
            </w:r>
            <w:r w:rsidRPr="00AA6889">
              <w:rPr>
                <w:rFonts w:ascii="Arial" w:eastAsia="Batang" w:hAnsi="Arial" w:cs="Arial"/>
                <w:b/>
              </w:rPr>
              <w:t>y</w:t>
            </w:r>
            <w:r w:rsidR="007D6316">
              <w:rPr>
                <w:rFonts w:ascii="Arial" w:eastAsia="Batang" w:hAnsi="Arial" w:cs="Arial"/>
                <w:b/>
              </w:rPr>
              <w:t xml:space="preserve"> Control Risk</w:t>
            </w:r>
          </w:p>
        </w:tc>
        <w:tc>
          <w:tcPr>
            <w:tcW w:w="2410" w:type="dxa"/>
            <w:shd w:val="clear" w:color="auto" w:fill="538135" w:themeFill="accent6" w:themeFillShade="BF"/>
          </w:tcPr>
          <w:p w14:paraId="5AB4562D" w14:textId="77777777" w:rsidR="00D553CB" w:rsidRPr="00AA6889" w:rsidRDefault="00D553CB" w:rsidP="00D553CB">
            <w:pPr>
              <w:rPr>
                <w:rFonts w:ascii="Arial" w:eastAsia="Batang" w:hAnsi="Arial" w:cs="Arial"/>
              </w:rPr>
            </w:pPr>
            <w:r w:rsidRPr="00AA6889">
              <w:rPr>
                <w:rFonts w:ascii="Arial" w:eastAsia="Batang" w:hAnsi="Arial" w:cs="Arial"/>
              </w:rPr>
              <w:t>5</w:t>
            </w:r>
          </w:p>
        </w:tc>
        <w:tc>
          <w:tcPr>
            <w:tcW w:w="1276" w:type="dxa"/>
            <w:shd w:val="clear" w:color="auto" w:fill="A8D08D" w:themeFill="accent6" w:themeFillTint="99"/>
          </w:tcPr>
          <w:p w14:paraId="535AF4D5" w14:textId="77777777" w:rsidR="00D553CB" w:rsidRPr="00AA6889" w:rsidRDefault="00D553CB" w:rsidP="00D553CB">
            <w:pPr>
              <w:rPr>
                <w:rFonts w:ascii="Arial" w:eastAsia="Batang" w:hAnsi="Arial" w:cs="Arial"/>
              </w:rPr>
            </w:pPr>
            <w:r w:rsidRPr="00AA6889">
              <w:rPr>
                <w:rFonts w:ascii="Arial" w:eastAsia="Batang" w:hAnsi="Arial" w:cs="Arial"/>
              </w:rPr>
              <w:t>4</w:t>
            </w:r>
          </w:p>
        </w:tc>
        <w:tc>
          <w:tcPr>
            <w:tcW w:w="1984" w:type="dxa"/>
            <w:shd w:val="clear" w:color="auto" w:fill="E2EFD9" w:themeFill="accent6" w:themeFillTint="33"/>
          </w:tcPr>
          <w:p w14:paraId="636F6C37" w14:textId="77777777" w:rsidR="00D553CB" w:rsidRPr="00AA6889" w:rsidRDefault="00D553CB" w:rsidP="00D553CB">
            <w:pPr>
              <w:rPr>
                <w:rFonts w:ascii="Arial" w:eastAsia="Batang" w:hAnsi="Arial" w:cs="Arial"/>
              </w:rPr>
            </w:pPr>
            <w:r w:rsidRPr="00AA6889">
              <w:rPr>
                <w:rFonts w:ascii="Arial" w:eastAsia="Batang" w:hAnsi="Arial" w:cs="Arial"/>
              </w:rPr>
              <w:t>3</w:t>
            </w:r>
          </w:p>
        </w:tc>
        <w:tc>
          <w:tcPr>
            <w:tcW w:w="1134" w:type="dxa"/>
            <w:shd w:val="clear" w:color="auto" w:fill="FFE599" w:themeFill="accent4" w:themeFillTint="66"/>
          </w:tcPr>
          <w:p w14:paraId="449755D8" w14:textId="77777777" w:rsidR="00D553CB" w:rsidRPr="00AA6889" w:rsidRDefault="00D553CB" w:rsidP="00D553CB">
            <w:pPr>
              <w:rPr>
                <w:rFonts w:ascii="Arial" w:eastAsia="Batang" w:hAnsi="Arial" w:cs="Arial"/>
              </w:rPr>
            </w:pPr>
            <w:r w:rsidRPr="00AA6889">
              <w:rPr>
                <w:rFonts w:ascii="Arial" w:eastAsia="Batang" w:hAnsi="Arial" w:cs="Arial"/>
              </w:rPr>
              <w:t>2</w:t>
            </w:r>
          </w:p>
        </w:tc>
        <w:tc>
          <w:tcPr>
            <w:tcW w:w="1843" w:type="dxa"/>
            <w:shd w:val="clear" w:color="auto" w:fill="FFC000"/>
          </w:tcPr>
          <w:p w14:paraId="7CC50D77" w14:textId="77777777" w:rsidR="00D553CB" w:rsidRPr="00AA6889" w:rsidRDefault="00D553CB" w:rsidP="00D553CB">
            <w:pPr>
              <w:rPr>
                <w:rFonts w:ascii="Arial" w:eastAsia="Batang" w:hAnsi="Arial" w:cs="Arial"/>
              </w:rPr>
            </w:pPr>
            <w:r w:rsidRPr="00AA6889">
              <w:rPr>
                <w:rFonts w:ascii="Arial" w:eastAsia="Batang" w:hAnsi="Arial" w:cs="Arial"/>
              </w:rPr>
              <w:t>1</w:t>
            </w:r>
          </w:p>
        </w:tc>
        <w:tc>
          <w:tcPr>
            <w:tcW w:w="1984" w:type="dxa"/>
            <w:shd w:val="clear" w:color="auto" w:fill="FF0000"/>
          </w:tcPr>
          <w:p w14:paraId="2EA291CE" w14:textId="77777777" w:rsidR="00D553CB" w:rsidRPr="00AA6889" w:rsidRDefault="00D553CB" w:rsidP="00D553CB">
            <w:pPr>
              <w:rPr>
                <w:rFonts w:ascii="Arial" w:eastAsia="Batang" w:hAnsi="Arial" w:cs="Arial"/>
              </w:rPr>
            </w:pPr>
            <w:r w:rsidRPr="00AA6889">
              <w:rPr>
                <w:rFonts w:ascii="Arial" w:eastAsia="Batang" w:hAnsi="Arial" w:cs="Arial"/>
              </w:rPr>
              <w:t>0</w:t>
            </w:r>
          </w:p>
        </w:tc>
        <w:tc>
          <w:tcPr>
            <w:tcW w:w="851" w:type="dxa"/>
            <w:vMerge w:val="restart"/>
          </w:tcPr>
          <w:p w14:paraId="2DC0642E" w14:textId="77777777" w:rsidR="00D553CB" w:rsidRPr="00AA6889" w:rsidRDefault="00D553CB" w:rsidP="00D553CB">
            <w:pPr>
              <w:rPr>
                <w:rFonts w:ascii="Arial" w:eastAsia="Batang" w:hAnsi="Arial" w:cs="Arial"/>
              </w:rPr>
            </w:pPr>
            <w:r w:rsidRPr="00AA6889">
              <w:rPr>
                <w:rFonts w:ascii="Arial" w:eastAsia="Batang" w:hAnsi="Arial" w:cs="Arial"/>
              </w:rPr>
              <w:t>5</w:t>
            </w:r>
          </w:p>
        </w:tc>
      </w:tr>
      <w:tr w:rsidR="00D553CB" w:rsidRPr="00AA6889" w14:paraId="3AC541D2" w14:textId="77777777" w:rsidTr="00D553CB">
        <w:trPr>
          <w:trHeight w:val="1328"/>
        </w:trPr>
        <w:tc>
          <w:tcPr>
            <w:tcW w:w="3544" w:type="dxa"/>
            <w:vMerge/>
            <w:shd w:val="clear" w:color="auto" w:fill="D9D9D9" w:themeFill="background1" w:themeFillShade="D9"/>
          </w:tcPr>
          <w:p w14:paraId="6C87D4E4" w14:textId="77777777" w:rsidR="00D553CB" w:rsidRPr="00AA6889" w:rsidRDefault="00D553CB" w:rsidP="00D553CB">
            <w:pPr>
              <w:rPr>
                <w:rFonts w:ascii="Arial" w:eastAsia="Batang" w:hAnsi="Arial" w:cs="Arial"/>
                <w:b/>
              </w:rPr>
            </w:pPr>
          </w:p>
        </w:tc>
        <w:tc>
          <w:tcPr>
            <w:tcW w:w="2410" w:type="dxa"/>
          </w:tcPr>
          <w:p w14:paraId="31FF1BED" w14:textId="697F424A" w:rsidR="00D553CB" w:rsidRPr="00AA6889" w:rsidRDefault="00D553CB" w:rsidP="00D553CB">
            <w:pPr>
              <w:rPr>
                <w:rFonts w:ascii="Arial" w:eastAsia="Batang" w:hAnsi="Arial" w:cs="Arial"/>
              </w:rPr>
            </w:pPr>
            <w:r w:rsidRPr="00AA6889">
              <w:rPr>
                <w:rFonts w:ascii="Arial" w:eastAsia="Batang" w:hAnsi="Arial" w:cs="Arial"/>
              </w:rPr>
              <w:t xml:space="preserve">Independent legal opinion supports compliant route or confirm no </w:t>
            </w:r>
            <w:r w:rsidR="007D6316">
              <w:rPr>
                <w:rFonts w:ascii="Arial" w:eastAsia="Batang" w:hAnsi="Arial" w:cs="Arial"/>
              </w:rPr>
              <w:t>Subsidy</w:t>
            </w:r>
            <w:r w:rsidRPr="00AA6889">
              <w:rPr>
                <w:rFonts w:ascii="Arial" w:eastAsia="Batang" w:hAnsi="Arial" w:cs="Arial"/>
              </w:rPr>
              <w:t>.</w:t>
            </w:r>
          </w:p>
        </w:tc>
        <w:tc>
          <w:tcPr>
            <w:tcW w:w="1276" w:type="dxa"/>
          </w:tcPr>
          <w:p w14:paraId="22DF188F" w14:textId="521EFC54" w:rsidR="00D553CB" w:rsidRPr="00AA6889" w:rsidRDefault="00D553CB" w:rsidP="00D553CB">
            <w:pPr>
              <w:rPr>
                <w:rFonts w:ascii="Arial" w:eastAsia="Batang" w:hAnsi="Arial" w:cs="Arial"/>
              </w:rPr>
            </w:pPr>
            <w:r w:rsidRPr="00AA6889">
              <w:rPr>
                <w:rFonts w:ascii="Arial" w:eastAsia="Batang" w:hAnsi="Arial" w:cs="Arial"/>
              </w:rPr>
              <w:t xml:space="preserve">Applicant identifies a compliant </w:t>
            </w:r>
            <w:r w:rsidR="007D6316">
              <w:rPr>
                <w:rFonts w:ascii="Arial" w:eastAsia="Batang" w:hAnsi="Arial" w:cs="Arial"/>
              </w:rPr>
              <w:t>Subsidy Control</w:t>
            </w:r>
            <w:r w:rsidRPr="00AA6889">
              <w:rPr>
                <w:rFonts w:ascii="Arial" w:eastAsia="Batang" w:hAnsi="Arial" w:cs="Arial"/>
              </w:rPr>
              <w:t xml:space="preserve"> route.</w:t>
            </w:r>
          </w:p>
        </w:tc>
        <w:tc>
          <w:tcPr>
            <w:tcW w:w="1984" w:type="dxa"/>
          </w:tcPr>
          <w:p w14:paraId="63BDE809" w14:textId="09C30E7E" w:rsidR="00D553CB" w:rsidRPr="00AA6889" w:rsidRDefault="00D553CB" w:rsidP="00D553CB">
            <w:pPr>
              <w:rPr>
                <w:rFonts w:ascii="Arial" w:eastAsia="Batang" w:hAnsi="Arial" w:cs="Arial"/>
              </w:rPr>
            </w:pPr>
            <w:r w:rsidRPr="00AA6889">
              <w:rPr>
                <w:rFonts w:ascii="Arial" w:eastAsia="Batang" w:hAnsi="Arial" w:cs="Arial"/>
              </w:rPr>
              <w:t xml:space="preserve">Relevant </w:t>
            </w:r>
            <w:r w:rsidR="007D6316">
              <w:rPr>
                <w:rFonts w:ascii="Arial" w:eastAsia="Batang" w:hAnsi="Arial" w:cs="Arial"/>
              </w:rPr>
              <w:t xml:space="preserve">Subsidy Control </w:t>
            </w:r>
            <w:r w:rsidRPr="00AA6889">
              <w:rPr>
                <w:rFonts w:ascii="Arial" w:eastAsia="Batang" w:hAnsi="Arial" w:cs="Arial"/>
              </w:rPr>
              <w:t>issues understood and clarified</w:t>
            </w:r>
          </w:p>
        </w:tc>
        <w:tc>
          <w:tcPr>
            <w:tcW w:w="1134" w:type="dxa"/>
          </w:tcPr>
          <w:p w14:paraId="077B830E" w14:textId="1B0FA170" w:rsidR="00D553CB" w:rsidRPr="00AA6889" w:rsidRDefault="00D553CB" w:rsidP="00D553CB">
            <w:pPr>
              <w:rPr>
                <w:rFonts w:ascii="Arial" w:eastAsia="Batang" w:hAnsi="Arial" w:cs="Arial"/>
              </w:rPr>
            </w:pPr>
            <w:r w:rsidRPr="00AA6889">
              <w:rPr>
                <w:rFonts w:ascii="Arial" w:eastAsia="Batang" w:hAnsi="Arial" w:cs="Arial"/>
              </w:rPr>
              <w:t xml:space="preserve">Relevant </w:t>
            </w:r>
            <w:r w:rsidR="007D6316">
              <w:rPr>
                <w:rFonts w:ascii="Arial" w:eastAsia="Batang" w:hAnsi="Arial" w:cs="Arial"/>
              </w:rPr>
              <w:t>Subsidy Control</w:t>
            </w:r>
            <w:r w:rsidRPr="00AA6889">
              <w:rPr>
                <w:rFonts w:ascii="Arial" w:eastAsia="Batang" w:hAnsi="Arial" w:cs="Arial"/>
              </w:rPr>
              <w:t xml:space="preserve"> issues understood but currently unable to be clarified</w:t>
            </w:r>
          </w:p>
        </w:tc>
        <w:tc>
          <w:tcPr>
            <w:tcW w:w="1843" w:type="dxa"/>
          </w:tcPr>
          <w:p w14:paraId="285F6523" w14:textId="41B0F8DD" w:rsidR="00D553CB" w:rsidRPr="00AA6889" w:rsidRDefault="00D553CB" w:rsidP="00D553CB">
            <w:pPr>
              <w:rPr>
                <w:rFonts w:ascii="Arial" w:eastAsia="Batang" w:hAnsi="Arial" w:cs="Arial"/>
              </w:rPr>
            </w:pPr>
            <w:r w:rsidRPr="00AA6889">
              <w:rPr>
                <w:rFonts w:ascii="Arial" w:eastAsia="Batang" w:hAnsi="Arial" w:cs="Arial"/>
              </w:rPr>
              <w:t xml:space="preserve">No appropriate consideration of </w:t>
            </w:r>
            <w:r w:rsidR="007D6316">
              <w:rPr>
                <w:rFonts w:ascii="Arial" w:eastAsia="Batang" w:hAnsi="Arial" w:cs="Arial"/>
              </w:rPr>
              <w:t>Subsidy Control</w:t>
            </w:r>
            <w:r w:rsidRPr="00AA6889">
              <w:rPr>
                <w:rFonts w:ascii="Arial" w:eastAsia="Batang" w:hAnsi="Arial" w:cs="Arial"/>
              </w:rPr>
              <w:t xml:space="preserve"> provided</w:t>
            </w:r>
          </w:p>
        </w:tc>
        <w:tc>
          <w:tcPr>
            <w:tcW w:w="1984" w:type="dxa"/>
          </w:tcPr>
          <w:p w14:paraId="6EB7BA44" w14:textId="3D481273" w:rsidR="00D553CB" w:rsidRPr="00AA6889" w:rsidRDefault="00D553CB" w:rsidP="00D553CB">
            <w:pPr>
              <w:rPr>
                <w:rFonts w:ascii="Arial" w:eastAsia="Batang" w:hAnsi="Arial" w:cs="Arial"/>
              </w:rPr>
            </w:pPr>
            <w:r w:rsidRPr="00AA6889">
              <w:rPr>
                <w:rFonts w:ascii="Arial" w:eastAsia="Batang" w:hAnsi="Arial" w:cs="Arial"/>
              </w:rPr>
              <w:t xml:space="preserve">Request not compliant with </w:t>
            </w:r>
            <w:r w:rsidR="007D6316">
              <w:rPr>
                <w:rFonts w:ascii="Arial" w:eastAsia="Batang" w:hAnsi="Arial" w:cs="Arial"/>
              </w:rPr>
              <w:t>Subsidy Control</w:t>
            </w:r>
            <w:r w:rsidRPr="00AA6889">
              <w:rPr>
                <w:rFonts w:ascii="Arial" w:eastAsia="Batang" w:hAnsi="Arial" w:cs="Arial"/>
              </w:rPr>
              <w:t>.</w:t>
            </w:r>
          </w:p>
        </w:tc>
        <w:tc>
          <w:tcPr>
            <w:tcW w:w="851" w:type="dxa"/>
            <w:vMerge/>
          </w:tcPr>
          <w:p w14:paraId="1971B8A5" w14:textId="77777777" w:rsidR="00D553CB" w:rsidRPr="00AA6889" w:rsidRDefault="00D553CB" w:rsidP="00D553CB">
            <w:pPr>
              <w:rPr>
                <w:rFonts w:ascii="Arial" w:eastAsia="Batang" w:hAnsi="Arial" w:cs="Arial"/>
              </w:rPr>
            </w:pPr>
          </w:p>
        </w:tc>
      </w:tr>
      <w:tr w:rsidR="00D553CB" w:rsidRPr="00AA6889" w14:paraId="35819FE0" w14:textId="77777777" w:rsidTr="001148B4">
        <w:trPr>
          <w:trHeight w:val="161"/>
        </w:trPr>
        <w:tc>
          <w:tcPr>
            <w:tcW w:w="12191" w:type="dxa"/>
            <w:gridSpan w:val="6"/>
          </w:tcPr>
          <w:p w14:paraId="1023C88D" w14:textId="77777777" w:rsidR="00D553CB" w:rsidRPr="00AA6889" w:rsidRDefault="00D553CB" w:rsidP="00D553CB">
            <w:pPr>
              <w:rPr>
                <w:rFonts w:ascii="Arial" w:eastAsia="Batang" w:hAnsi="Arial" w:cs="Arial"/>
              </w:rPr>
            </w:pPr>
          </w:p>
        </w:tc>
        <w:tc>
          <w:tcPr>
            <w:tcW w:w="1984" w:type="dxa"/>
          </w:tcPr>
          <w:p w14:paraId="47D186AA" w14:textId="77777777" w:rsidR="00D553CB" w:rsidRPr="00AA6889" w:rsidRDefault="00D553CB" w:rsidP="00D553CB">
            <w:pPr>
              <w:rPr>
                <w:rFonts w:ascii="Arial" w:eastAsia="Batang" w:hAnsi="Arial" w:cs="Arial"/>
              </w:rPr>
            </w:pPr>
            <w:r w:rsidRPr="00AA6889">
              <w:rPr>
                <w:rFonts w:ascii="Arial" w:eastAsia="Batang" w:hAnsi="Arial" w:cs="Arial"/>
              </w:rPr>
              <w:t xml:space="preserve">Score </w:t>
            </w:r>
          </w:p>
        </w:tc>
        <w:tc>
          <w:tcPr>
            <w:tcW w:w="851" w:type="dxa"/>
          </w:tcPr>
          <w:p w14:paraId="4C27FF80" w14:textId="6CF54C62" w:rsidR="00D553CB" w:rsidRPr="00AA6889" w:rsidRDefault="00D553CB" w:rsidP="00D553CB">
            <w:pPr>
              <w:rPr>
                <w:rFonts w:ascii="Arial" w:eastAsia="Batang" w:hAnsi="Arial" w:cs="Arial"/>
              </w:rPr>
            </w:pPr>
            <w:r w:rsidRPr="00AA6889">
              <w:rPr>
                <w:rFonts w:ascii="Arial" w:eastAsia="Batang" w:hAnsi="Arial" w:cs="Arial"/>
              </w:rPr>
              <w:t xml:space="preserve"> 7</w:t>
            </w:r>
            <w:r w:rsidR="00CB48A5">
              <w:rPr>
                <w:rFonts w:ascii="Arial" w:eastAsia="Batang" w:hAnsi="Arial" w:cs="Arial"/>
              </w:rPr>
              <w:t>0</w:t>
            </w:r>
          </w:p>
        </w:tc>
      </w:tr>
    </w:tbl>
    <w:p w14:paraId="75E6841D" w14:textId="77777777" w:rsidR="001148B4" w:rsidRPr="00AA6889" w:rsidRDefault="001148B4">
      <w:pPr>
        <w:rPr>
          <w:rFonts w:ascii="Arial" w:hAnsi="Arial" w:cs="Arial"/>
        </w:rPr>
      </w:pPr>
    </w:p>
    <w:sectPr w:rsidR="001148B4" w:rsidRPr="00AA6889" w:rsidSect="001148B4">
      <w:headerReference w:type="even" r:id="rId24"/>
      <w:headerReference w:type="default" r:id="rId25"/>
      <w:footerReference w:type="default" r:id="rId26"/>
      <w:head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495F" w14:textId="77777777" w:rsidR="00FE0F46" w:rsidRDefault="00FE0F46" w:rsidP="00A71F7B">
      <w:pPr>
        <w:spacing w:after="0" w:line="240" w:lineRule="auto"/>
      </w:pPr>
      <w:r>
        <w:separator/>
      </w:r>
    </w:p>
  </w:endnote>
  <w:endnote w:type="continuationSeparator" w:id="0">
    <w:p w14:paraId="4C849A18" w14:textId="77777777" w:rsidR="00FE0F46" w:rsidRDefault="00FE0F46" w:rsidP="00A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ADC9" w14:textId="77777777" w:rsidR="00270E78" w:rsidRDefault="0027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DADC" w14:textId="77777777" w:rsidR="00270E78" w:rsidRDefault="0027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DE34" w14:textId="77777777" w:rsidR="00270E78" w:rsidRDefault="00270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09539"/>
      <w:docPartObj>
        <w:docPartGallery w:val="Page Numbers (Bottom of Page)"/>
        <w:docPartUnique/>
      </w:docPartObj>
    </w:sdtPr>
    <w:sdtEndPr>
      <w:rPr>
        <w:noProof/>
      </w:rPr>
    </w:sdtEndPr>
    <w:sdtContent>
      <w:p w14:paraId="1FB955F8" w14:textId="77777777" w:rsidR="00700C49" w:rsidRDefault="00700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3DEA4" w14:textId="77777777" w:rsidR="00700C49" w:rsidRDefault="00700C49">
    <w:pPr>
      <w:pStyle w:val="Footer"/>
    </w:pPr>
  </w:p>
  <w:p w14:paraId="0F21015D" w14:textId="77777777" w:rsidR="00700C49" w:rsidRDefault="00700C49"/>
  <w:p w14:paraId="003E00B7" w14:textId="77777777" w:rsidR="00700C49" w:rsidRDefault="00700C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F48F" w14:textId="77777777" w:rsidR="00FE0F46" w:rsidRDefault="00FE0F46" w:rsidP="00A71F7B">
      <w:pPr>
        <w:spacing w:after="0" w:line="240" w:lineRule="auto"/>
      </w:pPr>
      <w:r>
        <w:separator/>
      </w:r>
    </w:p>
  </w:footnote>
  <w:footnote w:type="continuationSeparator" w:id="0">
    <w:p w14:paraId="0BA89E77" w14:textId="77777777" w:rsidR="00FE0F46" w:rsidRDefault="00FE0F46" w:rsidP="00A71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B452" w14:textId="77777777" w:rsidR="00700C49" w:rsidRDefault="0070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A411" w14:textId="6B21555B" w:rsidR="00700C49" w:rsidRDefault="0070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7128" w14:textId="77777777" w:rsidR="00700C49" w:rsidRDefault="00700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700C49" w:rsidRDefault="00700C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DF11" w14:textId="77777777" w:rsidR="00700C49" w:rsidRDefault="00700C49">
    <w:pPr>
      <w:pStyle w:val="Header"/>
    </w:pPr>
  </w:p>
  <w:p w14:paraId="4E0E505D" w14:textId="77777777" w:rsidR="00700C49" w:rsidRDefault="00700C49"/>
  <w:p w14:paraId="162DDAAD" w14:textId="77777777" w:rsidR="00700C49" w:rsidRDefault="00700C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700C49" w:rsidRDefault="0070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943"/>
    <w:multiLevelType w:val="multilevel"/>
    <w:tmpl w:val="9EE4126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B5D6F"/>
    <w:multiLevelType w:val="hybridMultilevel"/>
    <w:tmpl w:val="887C6FF0"/>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E3F1C"/>
    <w:multiLevelType w:val="hybridMultilevel"/>
    <w:tmpl w:val="B0C4D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5B33CD"/>
    <w:multiLevelType w:val="hybridMultilevel"/>
    <w:tmpl w:val="32BA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6C49BE"/>
    <w:multiLevelType w:val="hybridMultilevel"/>
    <w:tmpl w:val="C70A49F8"/>
    <w:lvl w:ilvl="0" w:tplc="ABDEF0E0">
      <w:start w:val="1"/>
      <w:numFmt w:val="decimal"/>
      <w:lvlText w:val="%1."/>
      <w:lvlJc w:val="left"/>
      <w:pPr>
        <w:ind w:left="0" w:hanging="360"/>
      </w:pPr>
      <w:rPr>
        <w:rFonts w:ascii="Arial" w:hAnsi="Arial" w:cs="Arial"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9900186"/>
    <w:multiLevelType w:val="hybridMultilevel"/>
    <w:tmpl w:val="FCF8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B49E9"/>
    <w:multiLevelType w:val="hybridMultilevel"/>
    <w:tmpl w:val="E65E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24CC"/>
    <w:multiLevelType w:val="hybridMultilevel"/>
    <w:tmpl w:val="DE22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1425D"/>
    <w:multiLevelType w:val="hybridMultilevel"/>
    <w:tmpl w:val="4E3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92D66"/>
    <w:multiLevelType w:val="hybridMultilevel"/>
    <w:tmpl w:val="AF8C139C"/>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2285"/>
    <w:multiLevelType w:val="hybridMultilevel"/>
    <w:tmpl w:val="EBA60892"/>
    <w:lvl w:ilvl="0" w:tplc="8B748856">
      <w:start w:val="1"/>
      <w:numFmt w:val="bullet"/>
      <w:lvlText w:val=""/>
      <w:lvlJc w:val="left"/>
      <w:pPr>
        <w:tabs>
          <w:tab w:val="num" w:pos="720"/>
        </w:tabs>
        <w:ind w:left="720" w:hanging="360"/>
      </w:pPr>
      <w:rPr>
        <w:rFonts w:ascii="Symbol" w:hAnsi="Symbol" w:hint="default"/>
        <w:sz w:val="20"/>
      </w:rPr>
    </w:lvl>
    <w:lvl w:ilvl="1" w:tplc="BCBC0622">
      <w:start w:val="4"/>
      <w:numFmt w:val="decimal"/>
      <w:lvlText w:val="%2."/>
      <w:lvlJc w:val="left"/>
      <w:pPr>
        <w:ind w:left="1440" w:hanging="360"/>
      </w:pPr>
      <w:rPr>
        <w:rFonts w:hint="default"/>
      </w:rPr>
    </w:lvl>
    <w:lvl w:ilvl="2" w:tplc="85E04664" w:tentative="1">
      <w:start w:val="1"/>
      <w:numFmt w:val="bullet"/>
      <w:lvlText w:val=""/>
      <w:lvlJc w:val="left"/>
      <w:pPr>
        <w:tabs>
          <w:tab w:val="num" w:pos="2160"/>
        </w:tabs>
        <w:ind w:left="2160" w:hanging="360"/>
      </w:pPr>
      <w:rPr>
        <w:rFonts w:ascii="Symbol" w:hAnsi="Symbol" w:hint="default"/>
        <w:sz w:val="20"/>
      </w:rPr>
    </w:lvl>
    <w:lvl w:ilvl="3" w:tplc="B5E0F576" w:tentative="1">
      <w:start w:val="1"/>
      <w:numFmt w:val="bullet"/>
      <w:lvlText w:val=""/>
      <w:lvlJc w:val="left"/>
      <w:pPr>
        <w:tabs>
          <w:tab w:val="num" w:pos="2880"/>
        </w:tabs>
        <w:ind w:left="2880" w:hanging="360"/>
      </w:pPr>
      <w:rPr>
        <w:rFonts w:ascii="Symbol" w:hAnsi="Symbol" w:hint="default"/>
        <w:sz w:val="20"/>
      </w:rPr>
    </w:lvl>
    <w:lvl w:ilvl="4" w:tplc="79F2DA5C" w:tentative="1">
      <w:start w:val="1"/>
      <w:numFmt w:val="bullet"/>
      <w:lvlText w:val=""/>
      <w:lvlJc w:val="left"/>
      <w:pPr>
        <w:tabs>
          <w:tab w:val="num" w:pos="3600"/>
        </w:tabs>
        <w:ind w:left="3600" w:hanging="360"/>
      </w:pPr>
      <w:rPr>
        <w:rFonts w:ascii="Symbol" w:hAnsi="Symbol" w:hint="default"/>
        <w:sz w:val="20"/>
      </w:rPr>
    </w:lvl>
    <w:lvl w:ilvl="5" w:tplc="A44462D4" w:tentative="1">
      <w:start w:val="1"/>
      <w:numFmt w:val="bullet"/>
      <w:lvlText w:val=""/>
      <w:lvlJc w:val="left"/>
      <w:pPr>
        <w:tabs>
          <w:tab w:val="num" w:pos="4320"/>
        </w:tabs>
        <w:ind w:left="4320" w:hanging="360"/>
      </w:pPr>
      <w:rPr>
        <w:rFonts w:ascii="Symbol" w:hAnsi="Symbol" w:hint="default"/>
        <w:sz w:val="20"/>
      </w:rPr>
    </w:lvl>
    <w:lvl w:ilvl="6" w:tplc="CB3447A8" w:tentative="1">
      <w:start w:val="1"/>
      <w:numFmt w:val="bullet"/>
      <w:lvlText w:val=""/>
      <w:lvlJc w:val="left"/>
      <w:pPr>
        <w:tabs>
          <w:tab w:val="num" w:pos="5040"/>
        </w:tabs>
        <w:ind w:left="5040" w:hanging="360"/>
      </w:pPr>
      <w:rPr>
        <w:rFonts w:ascii="Symbol" w:hAnsi="Symbol" w:hint="default"/>
        <w:sz w:val="20"/>
      </w:rPr>
    </w:lvl>
    <w:lvl w:ilvl="7" w:tplc="84169E08" w:tentative="1">
      <w:start w:val="1"/>
      <w:numFmt w:val="bullet"/>
      <w:lvlText w:val=""/>
      <w:lvlJc w:val="left"/>
      <w:pPr>
        <w:tabs>
          <w:tab w:val="num" w:pos="5760"/>
        </w:tabs>
        <w:ind w:left="5760" w:hanging="360"/>
      </w:pPr>
      <w:rPr>
        <w:rFonts w:ascii="Symbol" w:hAnsi="Symbol" w:hint="default"/>
        <w:sz w:val="20"/>
      </w:rPr>
    </w:lvl>
    <w:lvl w:ilvl="8" w:tplc="03DC75C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663EF3"/>
    <w:multiLevelType w:val="hybridMultilevel"/>
    <w:tmpl w:val="5EA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B38FB"/>
    <w:multiLevelType w:val="hybridMultilevel"/>
    <w:tmpl w:val="12ACCB6C"/>
    <w:lvl w:ilvl="0" w:tplc="5ACEF6B0">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A78673EE">
      <w:start w:val="1"/>
      <w:numFmt w:val="bullet"/>
      <w:lvlText w:val=""/>
      <w:lvlJc w:val="left"/>
      <w:pPr>
        <w:ind w:left="1800" w:hanging="360"/>
      </w:pPr>
      <w:rPr>
        <w:rFonts w:ascii="Wingdings" w:hAnsi="Wingdings" w:hint="default"/>
      </w:rPr>
    </w:lvl>
    <w:lvl w:ilvl="3" w:tplc="12F80564">
      <w:start w:val="1"/>
      <w:numFmt w:val="bullet"/>
      <w:lvlText w:val=""/>
      <w:lvlJc w:val="left"/>
      <w:pPr>
        <w:ind w:left="2520" w:hanging="360"/>
      </w:pPr>
      <w:rPr>
        <w:rFonts w:ascii="Symbol" w:hAnsi="Symbol" w:hint="default"/>
      </w:rPr>
    </w:lvl>
    <w:lvl w:ilvl="4" w:tplc="17F21532">
      <w:start w:val="1"/>
      <w:numFmt w:val="bullet"/>
      <w:lvlText w:val="o"/>
      <w:lvlJc w:val="left"/>
      <w:pPr>
        <w:ind w:left="3240" w:hanging="360"/>
      </w:pPr>
      <w:rPr>
        <w:rFonts w:ascii="Courier New" w:hAnsi="Courier New" w:hint="default"/>
      </w:rPr>
    </w:lvl>
    <w:lvl w:ilvl="5" w:tplc="8B606936">
      <w:start w:val="1"/>
      <w:numFmt w:val="bullet"/>
      <w:lvlText w:val=""/>
      <w:lvlJc w:val="left"/>
      <w:pPr>
        <w:ind w:left="3960" w:hanging="360"/>
      </w:pPr>
      <w:rPr>
        <w:rFonts w:ascii="Wingdings" w:hAnsi="Wingdings" w:hint="default"/>
      </w:rPr>
    </w:lvl>
    <w:lvl w:ilvl="6" w:tplc="9D7C13CC">
      <w:start w:val="1"/>
      <w:numFmt w:val="bullet"/>
      <w:lvlText w:val=""/>
      <w:lvlJc w:val="left"/>
      <w:pPr>
        <w:ind w:left="4680" w:hanging="360"/>
      </w:pPr>
      <w:rPr>
        <w:rFonts w:ascii="Symbol" w:hAnsi="Symbol" w:hint="default"/>
      </w:rPr>
    </w:lvl>
    <w:lvl w:ilvl="7" w:tplc="C8BA1C08">
      <w:start w:val="1"/>
      <w:numFmt w:val="bullet"/>
      <w:lvlText w:val="o"/>
      <w:lvlJc w:val="left"/>
      <w:pPr>
        <w:ind w:left="5400" w:hanging="360"/>
      </w:pPr>
      <w:rPr>
        <w:rFonts w:ascii="Courier New" w:hAnsi="Courier New" w:hint="default"/>
      </w:rPr>
    </w:lvl>
    <w:lvl w:ilvl="8" w:tplc="B2E20A7C">
      <w:start w:val="1"/>
      <w:numFmt w:val="bullet"/>
      <w:lvlText w:val=""/>
      <w:lvlJc w:val="left"/>
      <w:pPr>
        <w:ind w:left="6120" w:hanging="360"/>
      </w:pPr>
      <w:rPr>
        <w:rFonts w:ascii="Wingdings" w:hAnsi="Wingdings" w:hint="default"/>
      </w:rPr>
    </w:lvl>
  </w:abstractNum>
  <w:abstractNum w:abstractNumId="14" w15:restartNumberingAfterBreak="0">
    <w:nsid w:val="39693B48"/>
    <w:multiLevelType w:val="hybridMultilevel"/>
    <w:tmpl w:val="D5E8A3A4"/>
    <w:lvl w:ilvl="0" w:tplc="D10C3A9A">
      <w:start w:val="4"/>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E20259"/>
    <w:multiLevelType w:val="hybridMultilevel"/>
    <w:tmpl w:val="1F1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653F4"/>
    <w:multiLevelType w:val="hybridMultilevel"/>
    <w:tmpl w:val="FFA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AE4565"/>
    <w:multiLevelType w:val="hybridMultilevel"/>
    <w:tmpl w:val="D1E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D0B1C"/>
    <w:multiLevelType w:val="hybridMultilevel"/>
    <w:tmpl w:val="384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470E4"/>
    <w:multiLevelType w:val="hybridMultilevel"/>
    <w:tmpl w:val="F500993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02A98"/>
    <w:multiLevelType w:val="hybridMultilevel"/>
    <w:tmpl w:val="A8B823AA"/>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7FF34D3"/>
    <w:multiLevelType w:val="hybridMultilevel"/>
    <w:tmpl w:val="9E1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F3723"/>
    <w:multiLevelType w:val="hybridMultilevel"/>
    <w:tmpl w:val="0DB4F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E36C31"/>
    <w:multiLevelType w:val="hybridMultilevel"/>
    <w:tmpl w:val="F84ADC6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B18A0"/>
    <w:multiLevelType w:val="hybridMultilevel"/>
    <w:tmpl w:val="EB56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7FC6"/>
    <w:multiLevelType w:val="hybridMultilevel"/>
    <w:tmpl w:val="29F8649E"/>
    <w:lvl w:ilvl="0" w:tplc="807EEFF8">
      <w:start w:val="1"/>
      <w:numFmt w:val="bullet"/>
      <w:lvlText w:val=""/>
      <w:lvlJc w:val="left"/>
      <w:pPr>
        <w:tabs>
          <w:tab w:val="num" w:pos="720"/>
        </w:tabs>
        <w:ind w:left="720" w:hanging="360"/>
      </w:pPr>
      <w:rPr>
        <w:rFonts w:ascii="Symbol" w:hAnsi="Symbol" w:hint="default"/>
        <w:sz w:val="20"/>
      </w:rPr>
    </w:lvl>
    <w:lvl w:ilvl="1" w:tplc="9754E3FE" w:tentative="1">
      <w:start w:val="1"/>
      <w:numFmt w:val="bullet"/>
      <w:lvlText w:val=""/>
      <w:lvlJc w:val="left"/>
      <w:pPr>
        <w:tabs>
          <w:tab w:val="num" w:pos="1440"/>
        </w:tabs>
        <w:ind w:left="1440" w:hanging="360"/>
      </w:pPr>
      <w:rPr>
        <w:rFonts w:ascii="Symbol" w:hAnsi="Symbol" w:hint="default"/>
        <w:sz w:val="20"/>
      </w:rPr>
    </w:lvl>
    <w:lvl w:ilvl="2" w:tplc="341A4870" w:tentative="1">
      <w:start w:val="1"/>
      <w:numFmt w:val="bullet"/>
      <w:lvlText w:val=""/>
      <w:lvlJc w:val="left"/>
      <w:pPr>
        <w:tabs>
          <w:tab w:val="num" w:pos="2160"/>
        </w:tabs>
        <w:ind w:left="2160" w:hanging="360"/>
      </w:pPr>
      <w:rPr>
        <w:rFonts w:ascii="Symbol" w:hAnsi="Symbol" w:hint="default"/>
        <w:sz w:val="20"/>
      </w:rPr>
    </w:lvl>
    <w:lvl w:ilvl="3" w:tplc="7ED8AE9E" w:tentative="1">
      <w:start w:val="1"/>
      <w:numFmt w:val="bullet"/>
      <w:lvlText w:val=""/>
      <w:lvlJc w:val="left"/>
      <w:pPr>
        <w:tabs>
          <w:tab w:val="num" w:pos="2880"/>
        </w:tabs>
        <w:ind w:left="2880" w:hanging="360"/>
      </w:pPr>
      <w:rPr>
        <w:rFonts w:ascii="Symbol" w:hAnsi="Symbol" w:hint="default"/>
        <w:sz w:val="20"/>
      </w:rPr>
    </w:lvl>
    <w:lvl w:ilvl="4" w:tplc="986030F4" w:tentative="1">
      <w:start w:val="1"/>
      <w:numFmt w:val="bullet"/>
      <w:lvlText w:val=""/>
      <w:lvlJc w:val="left"/>
      <w:pPr>
        <w:tabs>
          <w:tab w:val="num" w:pos="3600"/>
        </w:tabs>
        <w:ind w:left="3600" w:hanging="360"/>
      </w:pPr>
      <w:rPr>
        <w:rFonts w:ascii="Symbol" w:hAnsi="Symbol" w:hint="default"/>
        <w:sz w:val="20"/>
      </w:rPr>
    </w:lvl>
    <w:lvl w:ilvl="5" w:tplc="69BE2984" w:tentative="1">
      <w:start w:val="1"/>
      <w:numFmt w:val="bullet"/>
      <w:lvlText w:val=""/>
      <w:lvlJc w:val="left"/>
      <w:pPr>
        <w:tabs>
          <w:tab w:val="num" w:pos="4320"/>
        </w:tabs>
        <w:ind w:left="4320" w:hanging="360"/>
      </w:pPr>
      <w:rPr>
        <w:rFonts w:ascii="Symbol" w:hAnsi="Symbol" w:hint="default"/>
        <w:sz w:val="20"/>
      </w:rPr>
    </w:lvl>
    <w:lvl w:ilvl="6" w:tplc="0AE8DCA0" w:tentative="1">
      <w:start w:val="1"/>
      <w:numFmt w:val="bullet"/>
      <w:lvlText w:val=""/>
      <w:lvlJc w:val="left"/>
      <w:pPr>
        <w:tabs>
          <w:tab w:val="num" w:pos="5040"/>
        </w:tabs>
        <w:ind w:left="5040" w:hanging="360"/>
      </w:pPr>
      <w:rPr>
        <w:rFonts w:ascii="Symbol" w:hAnsi="Symbol" w:hint="default"/>
        <w:sz w:val="20"/>
      </w:rPr>
    </w:lvl>
    <w:lvl w:ilvl="7" w:tplc="A1C0B25C" w:tentative="1">
      <w:start w:val="1"/>
      <w:numFmt w:val="bullet"/>
      <w:lvlText w:val=""/>
      <w:lvlJc w:val="left"/>
      <w:pPr>
        <w:tabs>
          <w:tab w:val="num" w:pos="5760"/>
        </w:tabs>
        <w:ind w:left="5760" w:hanging="360"/>
      </w:pPr>
      <w:rPr>
        <w:rFonts w:ascii="Symbol" w:hAnsi="Symbol" w:hint="default"/>
        <w:sz w:val="20"/>
      </w:rPr>
    </w:lvl>
    <w:lvl w:ilvl="8" w:tplc="F3129B9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267E0"/>
    <w:multiLevelType w:val="hybridMultilevel"/>
    <w:tmpl w:val="9EBC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C40937"/>
    <w:multiLevelType w:val="hybridMultilevel"/>
    <w:tmpl w:val="53AC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CF47B6"/>
    <w:multiLevelType w:val="hybridMultilevel"/>
    <w:tmpl w:val="D6BEBA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157B7"/>
    <w:multiLevelType w:val="hybridMultilevel"/>
    <w:tmpl w:val="8292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0F4934"/>
    <w:multiLevelType w:val="hybridMultilevel"/>
    <w:tmpl w:val="24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C0E85"/>
    <w:multiLevelType w:val="hybridMultilevel"/>
    <w:tmpl w:val="5372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8E636F"/>
    <w:multiLevelType w:val="hybridMultilevel"/>
    <w:tmpl w:val="D03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03F85"/>
    <w:multiLevelType w:val="hybridMultilevel"/>
    <w:tmpl w:val="4A2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A380E"/>
    <w:multiLevelType w:val="hybridMultilevel"/>
    <w:tmpl w:val="86308688"/>
    <w:lvl w:ilvl="0" w:tplc="0809000F">
      <w:start w:val="1"/>
      <w:numFmt w:val="decimal"/>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DA77D4"/>
    <w:multiLevelType w:val="hybridMultilevel"/>
    <w:tmpl w:val="5BAC560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9B1934"/>
    <w:multiLevelType w:val="hybridMultilevel"/>
    <w:tmpl w:val="1DB63E3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84B11"/>
    <w:multiLevelType w:val="hybridMultilevel"/>
    <w:tmpl w:val="0AACC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F3CCA"/>
    <w:multiLevelType w:val="hybridMultilevel"/>
    <w:tmpl w:val="A5A2A1F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06E5"/>
    <w:multiLevelType w:val="hybridMultilevel"/>
    <w:tmpl w:val="6382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CE4EE9"/>
    <w:multiLevelType w:val="hybridMultilevel"/>
    <w:tmpl w:val="25F0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10"/>
  </w:num>
  <w:num w:numId="4">
    <w:abstractNumId w:val="11"/>
  </w:num>
  <w:num w:numId="5">
    <w:abstractNumId w:val="25"/>
  </w:num>
  <w:num w:numId="6">
    <w:abstractNumId w:val="29"/>
  </w:num>
  <w:num w:numId="7">
    <w:abstractNumId w:val="35"/>
  </w:num>
  <w:num w:numId="8">
    <w:abstractNumId w:val="36"/>
  </w:num>
  <w:num w:numId="9">
    <w:abstractNumId w:val="21"/>
  </w:num>
  <w:num w:numId="10">
    <w:abstractNumId w:val="12"/>
  </w:num>
  <w:num w:numId="11">
    <w:abstractNumId w:val="30"/>
  </w:num>
  <w:num w:numId="12">
    <w:abstractNumId w:val="32"/>
  </w:num>
  <w:num w:numId="13">
    <w:abstractNumId w:val="9"/>
  </w:num>
  <w:num w:numId="14">
    <w:abstractNumId w:val="34"/>
  </w:num>
  <w:num w:numId="15">
    <w:abstractNumId w:val="40"/>
  </w:num>
  <w:num w:numId="16">
    <w:abstractNumId w:val="14"/>
  </w:num>
  <w:num w:numId="17">
    <w:abstractNumId w:val="33"/>
  </w:num>
  <w:num w:numId="18">
    <w:abstractNumId w:val="8"/>
  </w:num>
  <w:num w:numId="19">
    <w:abstractNumId w:val="13"/>
  </w:num>
  <w:num w:numId="20">
    <w:abstractNumId w:val="2"/>
  </w:num>
  <w:num w:numId="21">
    <w:abstractNumId w:val="5"/>
  </w:num>
  <w:num w:numId="22">
    <w:abstractNumId w:val="22"/>
  </w:num>
  <w:num w:numId="23">
    <w:abstractNumId w:val="28"/>
  </w:num>
  <w:num w:numId="24">
    <w:abstractNumId w:val="20"/>
  </w:num>
  <w:num w:numId="25">
    <w:abstractNumId w:val="38"/>
  </w:num>
  <w:num w:numId="26">
    <w:abstractNumId w:val="16"/>
  </w:num>
  <w:num w:numId="27">
    <w:abstractNumId w:val="0"/>
  </w:num>
  <w:num w:numId="28">
    <w:abstractNumId w:val="1"/>
  </w:num>
  <w:num w:numId="29">
    <w:abstractNumId w:val="19"/>
  </w:num>
  <w:num w:numId="30">
    <w:abstractNumId w:val="7"/>
  </w:num>
  <w:num w:numId="31">
    <w:abstractNumId w:val="24"/>
  </w:num>
  <w:num w:numId="32">
    <w:abstractNumId w:val="18"/>
  </w:num>
  <w:num w:numId="33">
    <w:abstractNumId w:val="15"/>
  </w:num>
  <w:num w:numId="34">
    <w:abstractNumId w:val="6"/>
  </w:num>
  <w:num w:numId="35">
    <w:abstractNumId w:val="4"/>
  </w:num>
  <w:num w:numId="36">
    <w:abstractNumId w:val="26"/>
  </w:num>
  <w:num w:numId="37">
    <w:abstractNumId w:val="39"/>
  </w:num>
  <w:num w:numId="38">
    <w:abstractNumId w:val="27"/>
  </w:num>
  <w:num w:numId="39">
    <w:abstractNumId w:val="31"/>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4DFF"/>
    <w:rsid w:val="0001222F"/>
    <w:rsid w:val="00013031"/>
    <w:rsid w:val="000234D8"/>
    <w:rsid w:val="000251C6"/>
    <w:rsid w:val="000267E9"/>
    <w:rsid w:val="0003175F"/>
    <w:rsid w:val="00041DA2"/>
    <w:rsid w:val="00046C9C"/>
    <w:rsid w:val="0005306C"/>
    <w:rsid w:val="0005504D"/>
    <w:rsid w:val="00061363"/>
    <w:rsid w:val="00063142"/>
    <w:rsid w:val="000647C9"/>
    <w:rsid w:val="00066675"/>
    <w:rsid w:val="000711B2"/>
    <w:rsid w:val="00076844"/>
    <w:rsid w:val="0008208F"/>
    <w:rsid w:val="00082B02"/>
    <w:rsid w:val="00095332"/>
    <w:rsid w:val="000A1EB7"/>
    <w:rsid w:val="000A5CDB"/>
    <w:rsid w:val="000D41AF"/>
    <w:rsid w:val="000F25FF"/>
    <w:rsid w:val="001148B4"/>
    <w:rsid w:val="001154A4"/>
    <w:rsid w:val="00120202"/>
    <w:rsid w:val="001206A2"/>
    <w:rsid w:val="00125829"/>
    <w:rsid w:val="00126E88"/>
    <w:rsid w:val="0012792E"/>
    <w:rsid w:val="00130C4C"/>
    <w:rsid w:val="0013262E"/>
    <w:rsid w:val="00134C11"/>
    <w:rsid w:val="001430FF"/>
    <w:rsid w:val="00147968"/>
    <w:rsid w:val="001673B3"/>
    <w:rsid w:val="001705A6"/>
    <w:rsid w:val="00172714"/>
    <w:rsid w:val="0017551E"/>
    <w:rsid w:val="00176AFF"/>
    <w:rsid w:val="0018131F"/>
    <w:rsid w:val="00191FF8"/>
    <w:rsid w:val="00197ECB"/>
    <w:rsid w:val="001A6824"/>
    <w:rsid w:val="001B396D"/>
    <w:rsid w:val="001B4661"/>
    <w:rsid w:val="001B4A78"/>
    <w:rsid w:val="001B7472"/>
    <w:rsid w:val="001B7E74"/>
    <w:rsid w:val="001C17BD"/>
    <w:rsid w:val="001C183A"/>
    <w:rsid w:val="001E2658"/>
    <w:rsid w:val="001E2BF2"/>
    <w:rsid w:val="001E5669"/>
    <w:rsid w:val="001E6FEA"/>
    <w:rsid w:val="001F2C73"/>
    <w:rsid w:val="001F5A7A"/>
    <w:rsid w:val="001F5B2F"/>
    <w:rsid w:val="00206153"/>
    <w:rsid w:val="0021226F"/>
    <w:rsid w:val="00212CE6"/>
    <w:rsid w:val="002141F2"/>
    <w:rsid w:val="002164B5"/>
    <w:rsid w:val="0021761B"/>
    <w:rsid w:val="00227A00"/>
    <w:rsid w:val="00230D22"/>
    <w:rsid w:val="00232D67"/>
    <w:rsid w:val="0024300D"/>
    <w:rsid w:val="00246B1F"/>
    <w:rsid w:val="00250359"/>
    <w:rsid w:val="002554FB"/>
    <w:rsid w:val="0027069B"/>
    <w:rsid w:val="00270891"/>
    <w:rsid w:val="00270E78"/>
    <w:rsid w:val="00271CCD"/>
    <w:rsid w:val="0027698E"/>
    <w:rsid w:val="00276B68"/>
    <w:rsid w:val="00277D58"/>
    <w:rsid w:val="0028223A"/>
    <w:rsid w:val="00285826"/>
    <w:rsid w:val="00290308"/>
    <w:rsid w:val="00291E1B"/>
    <w:rsid w:val="002A1A06"/>
    <w:rsid w:val="002A3187"/>
    <w:rsid w:val="002B40D4"/>
    <w:rsid w:val="002B4542"/>
    <w:rsid w:val="002C6982"/>
    <w:rsid w:val="002D33E7"/>
    <w:rsid w:val="002E10A7"/>
    <w:rsid w:val="002F47BE"/>
    <w:rsid w:val="003110E7"/>
    <w:rsid w:val="0032071D"/>
    <w:rsid w:val="00330CB8"/>
    <w:rsid w:val="003622D4"/>
    <w:rsid w:val="003653FD"/>
    <w:rsid w:val="003663BB"/>
    <w:rsid w:val="00371DCF"/>
    <w:rsid w:val="00384FA3"/>
    <w:rsid w:val="003911B2"/>
    <w:rsid w:val="003A51F9"/>
    <w:rsid w:val="003A7630"/>
    <w:rsid w:val="003B2723"/>
    <w:rsid w:val="003C71E3"/>
    <w:rsid w:val="003D171B"/>
    <w:rsid w:val="003F402B"/>
    <w:rsid w:val="003F571D"/>
    <w:rsid w:val="004119EC"/>
    <w:rsid w:val="0042155B"/>
    <w:rsid w:val="00423417"/>
    <w:rsid w:val="00433022"/>
    <w:rsid w:val="00440980"/>
    <w:rsid w:val="00450FF3"/>
    <w:rsid w:val="004641A4"/>
    <w:rsid w:val="004649D6"/>
    <w:rsid w:val="0048661E"/>
    <w:rsid w:val="004870AA"/>
    <w:rsid w:val="00490AB0"/>
    <w:rsid w:val="004B05E5"/>
    <w:rsid w:val="004B5B85"/>
    <w:rsid w:val="004C3C82"/>
    <w:rsid w:val="004C745F"/>
    <w:rsid w:val="004D7BC9"/>
    <w:rsid w:val="004E0320"/>
    <w:rsid w:val="004E1E55"/>
    <w:rsid w:val="004F447D"/>
    <w:rsid w:val="00502E18"/>
    <w:rsid w:val="00503085"/>
    <w:rsid w:val="005056FD"/>
    <w:rsid w:val="00506E47"/>
    <w:rsid w:val="0051750D"/>
    <w:rsid w:val="00533D46"/>
    <w:rsid w:val="005402B9"/>
    <w:rsid w:val="00551BAA"/>
    <w:rsid w:val="005520E0"/>
    <w:rsid w:val="0055351B"/>
    <w:rsid w:val="00554EE5"/>
    <w:rsid w:val="005566A7"/>
    <w:rsid w:val="00567A08"/>
    <w:rsid w:val="005704A6"/>
    <w:rsid w:val="00572DE1"/>
    <w:rsid w:val="0058396A"/>
    <w:rsid w:val="005A628E"/>
    <w:rsid w:val="005C3824"/>
    <w:rsid w:val="005E1701"/>
    <w:rsid w:val="005E1C91"/>
    <w:rsid w:val="005E345E"/>
    <w:rsid w:val="005E4172"/>
    <w:rsid w:val="005E739D"/>
    <w:rsid w:val="00600336"/>
    <w:rsid w:val="00603729"/>
    <w:rsid w:val="006051A2"/>
    <w:rsid w:val="00606EEA"/>
    <w:rsid w:val="0060707B"/>
    <w:rsid w:val="0061086B"/>
    <w:rsid w:val="006110A9"/>
    <w:rsid w:val="00615285"/>
    <w:rsid w:val="006255CB"/>
    <w:rsid w:val="00631C70"/>
    <w:rsid w:val="00633B7E"/>
    <w:rsid w:val="00636075"/>
    <w:rsid w:val="00636E59"/>
    <w:rsid w:val="0064668E"/>
    <w:rsid w:val="0064744B"/>
    <w:rsid w:val="00650391"/>
    <w:rsid w:val="00666C59"/>
    <w:rsid w:val="00676F23"/>
    <w:rsid w:val="006775A3"/>
    <w:rsid w:val="0067774E"/>
    <w:rsid w:val="00682934"/>
    <w:rsid w:val="00686342"/>
    <w:rsid w:val="00687874"/>
    <w:rsid w:val="00690364"/>
    <w:rsid w:val="006920F3"/>
    <w:rsid w:val="00694B75"/>
    <w:rsid w:val="006B5DEC"/>
    <w:rsid w:val="006C00F8"/>
    <w:rsid w:val="006C01D0"/>
    <w:rsid w:val="006C097B"/>
    <w:rsid w:val="006C3C15"/>
    <w:rsid w:val="006D042A"/>
    <w:rsid w:val="006D2FD6"/>
    <w:rsid w:val="006E0C96"/>
    <w:rsid w:val="006E4907"/>
    <w:rsid w:val="006F1017"/>
    <w:rsid w:val="006F2121"/>
    <w:rsid w:val="006F2DEF"/>
    <w:rsid w:val="00700C49"/>
    <w:rsid w:val="0070209F"/>
    <w:rsid w:val="007031FF"/>
    <w:rsid w:val="007053BD"/>
    <w:rsid w:val="0070788A"/>
    <w:rsid w:val="00713481"/>
    <w:rsid w:val="007134CA"/>
    <w:rsid w:val="0071547C"/>
    <w:rsid w:val="00722868"/>
    <w:rsid w:val="00722B78"/>
    <w:rsid w:val="00743D48"/>
    <w:rsid w:val="00750A49"/>
    <w:rsid w:val="00760754"/>
    <w:rsid w:val="00764F50"/>
    <w:rsid w:val="00766A60"/>
    <w:rsid w:val="0077054F"/>
    <w:rsid w:val="00771759"/>
    <w:rsid w:val="007812E6"/>
    <w:rsid w:val="0078210C"/>
    <w:rsid w:val="0079312A"/>
    <w:rsid w:val="007939CC"/>
    <w:rsid w:val="00795FC3"/>
    <w:rsid w:val="007960AA"/>
    <w:rsid w:val="007967ED"/>
    <w:rsid w:val="007A410C"/>
    <w:rsid w:val="007A60CD"/>
    <w:rsid w:val="007B220E"/>
    <w:rsid w:val="007C008A"/>
    <w:rsid w:val="007D4444"/>
    <w:rsid w:val="007D6316"/>
    <w:rsid w:val="007E7368"/>
    <w:rsid w:val="007E7A1D"/>
    <w:rsid w:val="008032C8"/>
    <w:rsid w:val="00824E84"/>
    <w:rsid w:val="008336FE"/>
    <w:rsid w:val="00837B87"/>
    <w:rsid w:val="008417AE"/>
    <w:rsid w:val="00843ACE"/>
    <w:rsid w:val="008605E0"/>
    <w:rsid w:val="0087056D"/>
    <w:rsid w:val="00872322"/>
    <w:rsid w:val="00876F45"/>
    <w:rsid w:val="00881CF4"/>
    <w:rsid w:val="00886B20"/>
    <w:rsid w:val="0089028E"/>
    <w:rsid w:val="00895C7B"/>
    <w:rsid w:val="008A4490"/>
    <w:rsid w:val="008B279D"/>
    <w:rsid w:val="008B7A17"/>
    <w:rsid w:val="008D39E3"/>
    <w:rsid w:val="008D71D5"/>
    <w:rsid w:val="008E1387"/>
    <w:rsid w:val="009002FC"/>
    <w:rsid w:val="00913DC7"/>
    <w:rsid w:val="009167AE"/>
    <w:rsid w:val="00917193"/>
    <w:rsid w:val="009173F1"/>
    <w:rsid w:val="00920B68"/>
    <w:rsid w:val="009215B8"/>
    <w:rsid w:val="00930C08"/>
    <w:rsid w:val="00931E19"/>
    <w:rsid w:val="009412FD"/>
    <w:rsid w:val="00970190"/>
    <w:rsid w:val="00973A84"/>
    <w:rsid w:val="00976FE3"/>
    <w:rsid w:val="00977E6F"/>
    <w:rsid w:val="009913BA"/>
    <w:rsid w:val="009A6CCB"/>
    <w:rsid w:val="009B0DDD"/>
    <w:rsid w:val="009B1AD8"/>
    <w:rsid w:val="009B4CE1"/>
    <w:rsid w:val="009C4EDB"/>
    <w:rsid w:val="009D4028"/>
    <w:rsid w:val="009D5372"/>
    <w:rsid w:val="009D5A8B"/>
    <w:rsid w:val="009D62B3"/>
    <w:rsid w:val="009E3A41"/>
    <w:rsid w:val="009F5096"/>
    <w:rsid w:val="009F7CD8"/>
    <w:rsid w:val="00A00C9A"/>
    <w:rsid w:val="00A03313"/>
    <w:rsid w:val="00A05B3E"/>
    <w:rsid w:val="00A1131B"/>
    <w:rsid w:val="00A23AC0"/>
    <w:rsid w:val="00A25A6A"/>
    <w:rsid w:val="00A37CE4"/>
    <w:rsid w:val="00A411A0"/>
    <w:rsid w:val="00A411D9"/>
    <w:rsid w:val="00A41355"/>
    <w:rsid w:val="00A43262"/>
    <w:rsid w:val="00A60C59"/>
    <w:rsid w:val="00A611D0"/>
    <w:rsid w:val="00A62434"/>
    <w:rsid w:val="00A63933"/>
    <w:rsid w:val="00A63FBE"/>
    <w:rsid w:val="00A65035"/>
    <w:rsid w:val="00A71F7B"/>
    <w:rsid w:val="00A85E1E"/>
    <w:rsid w:val="00A8673B"/>
    <w:rsid w:val="00AA2B92"/>
    <w:rsid w:val="00AA6889"/>
    <w:rsid w:val="00AB361C"/>
    <w:rsid w:val="00AE140D"/>
    <w:rsid w:val="00B032CD"/>
    <w:rsid w:val="00B04960"/>
    <w:rsid w:val="00B11982"/>
    <w:rsid w:val="00B1380B"/>
    <w:rsid w:val="00B31465"/>
    <w:rsid w:val="00B32AAD"/>
    <w:rsid w:val="00B33507"/>
    <w:rsid w:val="00B47ECA"/>
    <w:rsid w:val="00B51242"/>
    <w:rsid w:val="00B54B4C"/>
    <w:rsid w:val="00B57341"/>
    <w:rsid w:val="00B57424"/>
    <w:rsid w:val="00B5779C"/>
    <w:rsid w:val="00B603D2"/>
    <w:rsid w:val="00B67A32"/>
    <w:rsid w:val="00B7756D"/>
    <w:rsid w:val="00B80C69"/>
    <w:rsid w:val="00B812A4"/>
    <w:rsid w:val="00BB4235"/>
    <w:rsid w:val="00BC1800"/>
    <w:rsid w:val="00BC1C8F"/>
    <w:rsid w:val="00BC2C2C"/>
    <w:rsid w:val="00BC3C8F"/>
    <w:rsid w:val="00BE0209"/>
    <w:rsid w:val="00BE57B4"/>
    <w:rsid w:val="00BF6AC7"/>
    <w:rsid w:val="00BF6EA1"/>
    <w:rsid w:val="00BF7E7F"/>
    <w:rsid w:val="00C033FE"/>
    <w:rsid w:val="00C04F18"/>
    <w:rsid w:val="00C056A5"/>
    <w:rsid w:val="00C067E3"/>
    <w:rsid w:val="00C07D2A"/>
    <w:rsid w:val="00C2004E"/>
    <w:rsid w:val="00C21BA1"/>
    <w:rsid w:val="00C220C9"/>
    <w:rsid w:val="00C23B89"/>
    <w:rsid w:val="00C24F46"/>
    <w:rsid w:val="00C32AB4"/>
    <w:rsid w:val="00C52965"/>
    <w:rsid w:val="00C54BE7"/>
    <w:rsid w:val="00C75360"/>
    <w:rsid w:val="00C8279F"/>
    <w:rsid w:val="00CA3ED0"/>
    <w:rsid w:val="00CA7F8C"/>
    <w:rsid w:val="00CB48A5"/>
    <w:rsid w:val="00CE37C5"/>
    <w:rsid w:val="00CE43F6"/>
    <w:rsid w:val="00CE68F9"/>
    <w:rsid w:val="00D00577"/>
    <w:rsid w:val="00D07DC4"/>
    <w:rsid w:val="00D106C4"/>
    <w:rsid w:val="00D12EA9"/>
    <w:rsid w:val="00D16EAA"/>
    <w:rsid w:val="00D3278C"/>
    <w:rsid w:val="00D34B33"/>
    <w:rsid w:val="00D3585C"/>
    <w:rsid w:val="00D42DAC"/>
    <w:rsid w:val="00D50E97"/>
    <w:rsid w:val="00D553CB"/>
    <w:rsid w:val="00D81800"/>
    <w:rsid w:val="00D81ED1"/>
    <w:rsid w:val="00D8417D"/>
    <w:rsid w:val="00D85F2D"/>
    <w:rsid w:val="00D87AB9"/>
    <w:rsid w:val="00D90DEF"/>
    <w:rsid w:val="00DA095C"/>
    <w:rsid w:val="00DA107C"/>
    <w:rsid w:val="00DA1098"/>
    <w:rsid w:val="00DA5D53"/>
    <w:rsid w:val="00DB369A"/>
    <w:rsid w:val="00DC4804"/>
    <w:rsid w:val="00DC7B4F"/>
    <w:rsid w:val="00DE1541"/>
    <w:rsid w:val="00DE3BFD"/>
    <w:rsid w:val="00DE66CF"/>
    <w:rsid w:val="00DE6D2F"/>
    <w:rsid w:val="00DF12B5"/>
    <w:rsid w:val="00DF5A00"/>
    <w:rsid w:val="00E02803"/>
    <w:rsid w:val="00E04D85"/>
    <w:rsid w:val="00E209ED"/>
    <w:rsid w:val="00E25841"/>
    <w:rsid w:val="00E27304"/>
    <w:rsid w:val="00E301C8"/>
    <w:rsid w:val="00E305BB"/>
    <w:rsid w:val="00E30A36"/>
    <w:rsid w:val="00E32F74"/>
    <w:rsid w:val="00E355C6"/>
    <w:rsid w:val="00E44214"/>
    <w:rsid w:val="00E6190D"/>
    <w:rsid w:val="00E61BEF"/>
    <w:rsid w:val="00E62A01"/>
    <w:rsid w:val="00E664A1"/>
    <w:rsid w:val="00E820D9"/>
    <w:rsid w:val="00E87B18"/>
    <w:rsid w:val="00E937FE"/>
    <w:rsid w:val="00E951C9"/>
    <w:rsid w:val="00E970B5"/>
    <w:rsid w:val="00E976D4"/>
    <w:rsid w:val="00EA18E4"/>
    <w:rsid w:val="00EB0384"/>
    <w:rsid w:val="00EB4220"/>
    <w:rsid w:val="00EB6485"/>
    <w:rsid w:val="00EB709F"/>
    <w:rsid w:val="00ED3B69"/>
    <w:rsid w:val="00EF1F53"/>
    <w:rsid w:val="00EF266C"/>
    <w:rsid w:val="00F02361"/>
    <w:rsid w:val="00F02769"/>
    <w:rsid w:val="00F131A2"/>
    <w:rsid w:val="00F142A4"/>
    <w:rsid w:val="00F33132"/>
    <w:rsid w:val="00F43A3B"/>
    <w:rsid w:val="00F462FC"/>
    <w:rsid w:val="00F50ACC"/>
    <w:rsid w:val="00F62A22"/>
    <w:rsid w:val="00F64909"/>
    <w:rsid w:val="00F705F4"/>
    <w:rsid w:val="00F82446"/>
    <w:rsid w:val="00F837AA"/>
    <w:rsid w:val="00F94B31"/>
    <w:rsid w:val="00FA152A"/>
    <w:rsid w:val="00FA285B"/>
    <w:rsid w:val="00FA375A"/>
    <w:rsid w:val="00FD33E7"/>
    <w:rsid w:val="00FD3A3A"/>
    <w:rsid w:val="00FE0F46"/>
    <w:rsid w:val="00FE2C80"/>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4DFC87"/>
  <w15:chartTrackingRefBased/>
  <w15:docId w15:val="{2E95BE44-6465-4B4E-AECE-A3031D8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1"/>
    <w:qFormat/>
    <w:rsid w:val="00A71F7B"/>
    <w:pPr>
      <w:spacing w:after="200" w:line="276" w:lineRule="auto"/>
      <w:ind w:left="720"/>
      <w:contextualSpacing/>
    </w:pPr>
    <w:rPr>
      <w:rFonts w:ascii="Calibri" w:hAnsi="Calibri" w:cs="Calibri"/>
    </w:rPr>
  </w:style>
  <w:style w:type="paragraph" w:customStyle="1" w:styleId="paragraph">
    <w:name w:val="paragraph"/>
    <w:basedOn w:val="Normal"/>
    <w:rsid w:val="00A7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iPriority w:val="99"/>
    <w:unhideWhenUsed/>
    <w:rsid w:val="00A71F7B"/>
    <w:rPr>
      <w:color w:val="0000FF"/>
      <w:u w:val="single"/>
    </w:rPr>
  </w:style>
  <w:style w:type="paragraph" w:styleId="FootnoteText">
    <w:name w:val="footnote text"/>
    <w:basedOn w:val="Normal"/>
    <w:link w:val="FootnoteTextChar"/>
    <w:uiPriority w:val="99"/>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rsid w:val="00A71F7B"/>
    <w:rPr>
      <w:sz w:val="20"/>
      <w:szCs w:val="20"/>
    </w:rPr>
  </w:style>
  <w:style w:type="character" w:styleId="FootnoteReference">
    <w:name w:val="footnote reference"/>
    <w:basedOn w:val="DefaultParagraphFont"/>
    <w:uiPriority w:val="99"/>
    <w:semiHidden/>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1"/>
    <w:qFormat/>
    <w:locked/>
    <w:rsid w:val="00A71F7B"/>
    <w:rPr>
      <w:rFonts w:ascii="Calibri" w:hAnsi="Calibri" w:cs="Calibri"/>
    </w:rPr>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paragraph" w:customStyle="1" w:styleId="Default">
    <w:name w:val="Default"/>
    <w:rsid w:val="001F5B2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3262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13262E"/>
    <w:rPr>
      <w:rFonts w:ascii="Arial" w:eastAsia="Arial" w:hAnsi="Arial" w:cs="Arial"/>
      <w:sz w:val="24"/>
      <w:szCs w:val="24"/>
      <w:lang w:eastAsia="en-GB" w:bidi="en-GB"/>
    </w:rPr>
  </w:style>
  <w:style w:type="table" w:customStyle="1" w:styleId="TableGrid11">
    <w:name w:val="Table Grid11"/>
    <w:basedOn w:val="TableNormal"/>
    <w:next w:val="TableGrid"/>
    <w:uiPriority w:val="39"/>
    <w:rsid w:val="00700C4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gaul@northoftyne-ca.gov.uk"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17" Type="http://schemas.openxmlformats.org/officeDocument/2006/relationships/hyperlink" Target="https://www.northeastlep.co.uk/wp-content/uploads/2020/06/economic-response-summary-report-final-1.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northeastlep.co.uk/the-plan"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northumberland.gov.uk/NorthumberlandCountyCouncil/media/About-the-Council/North%20of%20Tyne%20Authority/Inclusive-Economy-Policy-Statement.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oftyne-ca.gov.uk/wp-content/uploads/2020/09/NorthofTyne_EconomicVision_webfinal.pdf"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BD4C93E2BBE4CBA06B8B9DA1BE06D" ma:contentTypeVersion="11" ma:contentTypeDescription="Create a new document." ma:contentTypeScope="" ma:versionID="e445c3be9bb20e64fe59f8c718f22cfc">
  <xsd:schema xmlns:xsd="http://www.w3.org/2001/XMLSchema" xmlns:xs="http://www.w3.org/2001/XMLSchema" xmlns:p="http://schemas.microsoft.com/office/2006/metadata/properties" xmlns:ns2="dddc3c5b-2aa6-4bed-8d50-93dcfde82c44" xmlns:ns3="ac6ed4eb-f6b7-4094-9fe5-33045d06869d" targetNamespace="http://schemas.microsoft.com/office/2006/metadata/properties" ma:root="true" ma:fieldsID="060d946a80f7b799faeb3292b9315d22" ns2:_="" ns3:_="">
    <xsd:import namespace="dddc3c5b-2aa6-4bed-8d50-93dcfde82c44"/>
    <xsd:import namespace="ac6ed4eb-f6b7-4094-9fe5-33045d0686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c3c5b-2aa6-4bed-8d50-93dcfde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ed4eb-f6b7-4094-9fe5-33045d0686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DD90F-8A43-49AD-A7A2-65096C631198}">
  <ds:schemaRefs>
    <ds:schemaRef ds:uri="http://schemas.openxmlformats.org/officeDocument/2006/bibliography"/>
  </ds:schemaRefs>
</ds:datastoreItem>
</file>

<file path=customXml/itemProps2.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3.xml><?xml version="1.0" encoding="utf-8"?>
<ds:datastoreItem xmlns:ds="http://schemas.openxmlformats.org/officeDocument/2006/customXml" ds:itemID="{6AD705A0-588C-4578-9528-FF41638C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c3c5b-2aa6-4bed-8d50-93dcfde82c44"/>
    <ds:schemaRef ds:uri="ac6ed4eb-f6b7-4094-9fe5-33045d06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9F9E-F410-4658-88D3-D7DEF08C0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Gaul, Ruth (North Of Tyne)</cp:lastModifiedBy>
  <cp:revision>3</cp:revision>
  <cp:lastPrinted>2021-04-16T07:53:00Z</cp:lastPrinted>
  <dcterms:created xsi:type="dcterms:W3CDTF">2021-04-26T07:26:00Z</dcterms:created>
  <dcterms:modified xsi:type="dcterms:W3CDTF">2021-04-26T07:27:00Z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0x0101002ACBD4C93E2BBE4CBA06B8B9DA1BE06D</vt:lpwstr>
  </property>
</Properties>
</file>