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5F1E4" w14:textId="6953760D" w:rsidR="008C39E6" w:rsidRPr="009B4508" w:rsidRDefault="00E7182F" w:rsidP="004A7CDB">
      <w:pPr>
        <w:pStyle w:val="Heading1"/>
        <w:rPr>
          <w:rStyle w:val="eop"/>
        </w:rPr>
      </w:pPr>
      <w:r w:rsidRPr="00E7182F">
        <w:rPr>
          <w:rFonts w:eastAsia="Calibri"/>
          <w:caps w:val="0"/>
          <w:color w:val="auto"/>
        </w:rPr>
        <w:t xml:space="preserve">Recovery Innovation Fund: </w:t>
      </w:r>
      <w:r w:rsidR="00FC0760" w:rsidRPr="00E7182F">
        <w:rPr>
          <w:rFonts w:eastAsia="Calibri"/>
          <w:caps w:val="0"/>
          <w:color w:val="auto"/>
        </w:rPr>
        <w:t xml:space="preserve">A </w:t>
      </w:r>
      <w:r w:rsidR="00FC0760">
        <w:rPr>
          <w:rFonts w:eastAsia="Calibri"/>
          <w:caps w:val="0"/>
          <w:color w:val="auto"/>
        </w:rPr>
        <w:t>C</w:t>
      </w:r>
      <w:r w:rsidR="00FC0760" w:rsidRPr="00E7182F">
        <w:rPr>
          <w:rFonts w:eastAsia="Calibri"/>
          <w:caps w:val="0"/>
          <w:color w:val="auto"/>
        </w:rPr>
        <w:t xml:space="preserve">all </w:t>
      </w:r>
      <w:r w:rsidR="00FC0760">
        <w:rPr>
          <w:rFonts w:eastAsia="Calibri"/>
          <w:caps w:val="0"/>
          <w:color w:val="auto"/>
        </w:rPr>
        <w:t>to promote</w:t>
      </w:r>
      <w:r w:rsidR="00FC0760" w:rsidRPr="00E7182F">
        <w:rPr>
          <w:rFonts w:eastAsia="Calibri"/>
          <w:caps w:val="0"/>
          <w:color w:val="auto"/>
        </w:rPr>
        <w:t xml:space="preserve"> </w:t>
      </w:r>
      <w:r w:rsidR="00FC0760">
        <w:rPr>
          <w:rFonts w:eastAsia="Calibri"/>
          <w:caps w:val="0"/>
          <w:color w:val="auto"/>
        </w:rPr>
        <w:t>Localised Supply Chains and Tourism Product Innovation</w:t>
      </w:r>
    </w:p>
    <w:p w14:paraId="43D8B9A9" w14:textId="65D08B1E" w:rsidR="00A71F7B" w:rsidRPr="00D07D23" w:rsidRDefault="00A71F7B" w:rsidP="008E581B">
      <w:pPr>
        <w:pStyle w:val="Heading2"/>
      </w:pPr>
      <w:r w:rsidRPr="008E581B">
        <w:t>Introduction</w:t>
      </w:r>
    </w:p>
    <w:p w14:paraId="5E06E0E3" w14:textId="3DAAF36A" w:rsidR="00801D62" w:rsidRDefault="00801D62" w:rsidP="00801D62">
      <w:r w:rsidRPr="005E12B4">
        <w:t>NTCA is seeking new ways to unlock potential</w:t>
      </w:r>
      <w:r w:rsidRPr="00772F6F">
        <w:t xml:space="preserve"> </w:t>
      </w:r>
      <w:r>
        <w:t xml:space="preserve">for a </w:t>
      </w:r>
      <w:r w:rsidR="002C7C27">
        <w:t>more</w:t>
      </w:r>
      <w:r>
        <w:t xml:space="preserve"> social and inclusive economy.</w:t>
      </w:r>
      <w:r w:rsidRPr="005E12B4">
        <w:t xml:space="preserve"> In a post-Covid-19 world, we are aiming to create conditions where businesses </w:t>
      </w:r>
      <w:r>
        <w:t xml:space="preserve">are sustainable and </w:t>
      </w:r>
      <w:r w:rsidRPr="005E12B4">
        <w:t xml:space="preserve">can flourish, and </w:t>
      </w:r>
      <w:r>
        <w:t xml:space="preserve">where </w:t>
      </w:r>
      <w:r w:rsidRPr="005E12B4">
        <w:t>good jobs can be created</w:t>
      </w:r>
      <w:r>
        <w:t xml:space="preserve"> across all sectors of the economy</w:t>
      </w:r>
      <w:r w:rsidRPr="005E12B4">
        <w:t xml:space="preserve">. </w:t>
      </w:r>
      <w:r w:rsidR="004516AA">
        <w:t>We are keen to explore innovative approaches</w:t>
      </w:r>
      <w:r w:rsidRPr="005E12B4">
        <w:t xml:space="preserve"> to </w:t>
      </w:r>
      <w:r w:rsidR="00AF0D20">
        <w:t>revitalis</w:t>
      </w:r>
      <w:r w:rsidR="004516AA">
        <w:t>ing</w:t>
      </w:r>
      <w:r w:rsidR="00AF0D20">
        <w:t xml:space="preserve"> </w:t>
      </w:r>
      <w:r w:rsidR="00EE3E1B">
        <w:t xml:space="preserve">our tourism sector and to </w:t>
      </w:r>
      <w:r w:rsidR="00FF4514">
        <w:t xml:space="preserve">explore approaches to </w:t>
      </w:r>
      <w:r w:rsidR="00326560">
        <w:t xml:space="preserve">better joining up </w:t>
      </w:r>
      <w:r w:rsidR="00E24443">
        <w:t xml:space="preserve">local </w:t>
      </w:r>
      <w:r w:rsidRPr="005E12B4">
        <w:t xml:space="preserve">supply </w:t>
      </w:r>
      <w:r w:rsidR="00E24443">
        <w:t>with local</w:t>
      </w:r>
      <w:r w:rsidRPr="005E12B4">
        <w:t xml:space="preserve"> demand </w:t>
      </w:r>
      <w:r w:rsidR="00807F8E">
        <w:t>across our economy</w:t>
      </w:r>
      <w:r w:rsidR="00FF4514">
        <w:t>, including</w:t>
      </w:r>
      <w:r w:rsidRPr="005E12B4">
        <w:t xml:space="preserve"> in the foundational everyday parts of the economy</w:t>
      </w:r>
      <w:r>
        <w:t xml:space="preserve"> such as</w:t>
      </w:r>
      <w:r w:rsidRPr="005E12B4">
        <w:t xml:space="preserve"> food and drink, </w:t>
      </w:r>
      <w:r w:rsidR="00444F92">
        <w:t xml:space="preserve">hospitality, </w:t>
      </w:r>
      <w:r w:rsidR="00C72CA4">
        <w:t>retail</w:t>
      </w:r>
      <w:r w:rsidR="00444F92">
        <w:t xml:space="preserve"> </w:t>
      </w:r>
      <w:r w:rsidR="003F42BA">
        <w:t>and leisure</w:t>
      </w:r>
      <w:r w:rsidRPr="005E12B4">
        <w:t xml:space="preserve">. </w:t>
      </w:r>
    </w:p>
    <w:p w14:paraId="4D1222AE" w14:textId="38FA9F58" w:rsidR="00421A09" w:rsidRDefault="00421A09" w:rsidP="008C260E">
      <w:pPr>
        <w:rPr>
          <w:rFonts w:ascii="Arial" w:hAnsi="Arial" w:cs="Arial"/>
        </w:rPr>
      </w:pPr>
      <w:r>
        <w:rPr>
          <w:rFonts w:ascii="Arial" w:hAnsi="Arial" w:cs="Arial"/>
        </w:rPr>
        <w:t xml:space="preserve">This call is one element of </w:t>
      </w:r>
      <w:r w:rsidR="00D928EB">
        <w:rPr>
          <w:rFonts w:ascii="Arial" w:hAnsi="Arial" w:cs="Arial"/>
        </w:rPr>
        <w:t>the</w:t>
      </w:r>
      <w:r>
        <w:rPr>
          <w:rFonts w:ascii="Arial" w:hAnsi="Arial" w:cs="Arial"/>
        </w:rPr>
        <w:t xml:space="preserve"> </w:t>
      </w:r>
      <w:r w:rsidR="00B029AA">
        <w:rPr>
          <w:rFonts w:ascii="Arial" w:hAnsi="Arial" w:cs="Arial"/>
        </w:rPr>
        <w:t>NTCA’s</w:t>
      </w:r>
      <w:r>
        <w:rPr>
          <w:rFonts w:ascii="Arial" w:hAnsi="Arial" w:cs="Arial"/>
        </w:rPr>
        <w:t xml:space="preserve"> Innovation Recovery Fund – which is intended to </w:t>
      </w:r>
      <w:r w:rsidRPr="00B0235C">
        <w:rPr>
          <w:rFonts w:ascii="Arial" w:hAnsi="Arial" w:cs="Arial"/>
        </w:rPr>
        <w:t xml:space="preserve">support </w:t>
      </w:r>
      <w:r>
        <w:rPr>
          <w:rFonts w:ascii="Arial" w:hAnsi="Arial" w:cs="Arial"/>
        </w:rPr>
        <w:t>innovation</w:t>
      </w:r>
      <w:r w:rsidRPr="00B0235C">
        <w:rPr>
          <w:rFonts w:ascii="Arial" w:hAnsi="Arial" w:cs="Arial"/>
        </w:rPr>
        <w:t xml:space="preserve"> </w:t>
      </w:r>
      <w:r w:rsidR="00D051ED">
        <w:rPr>
          <w:rFonts w:ascii="Arial" w:hAnsi="Arial" w:cs="Arial"/>
        </w:rPr>
        <w:t xml:space="preserve">in </w:t>
      </w:r>
      <w:r w:rsidRPr="00B0235C">
        <w:rPr>
          <w:rFonts w:ascii="Arial" w:hAnsi="Arial" w:cs="Arial"/>
        </w:rPr>
        <w:t>the period when COVID-19 restrictions have eased</w:t>
      </w:r>
      <w:r>
        <w:rPr>
          <w:rFonts w:ascii="Arial" w:hAnsi="Arial" w:cs="Arial"/>
        </w:rPr>
        <w:t xml:space="preserve">. </w:t>
      </w:r>
    </w:p>
    <w:p w14:paraId="01BFCFBC" w14:textId="0AB05987" w:rsidR="007660CB" w:rsidRDefault="007660CB" w:rsidP="008C260E">
      <w:pPr>
        <w:rPr>
          <w:rFonts w:ascii="Arial" w:hAnsi="Arial" w:cs="Arial"/>
        </w:rPr>
      </w:pPr>
      <w:r w:rsidRPr="007660CB">
        <w:rPr>
          <w:rFonts w:ascii="Arial" w:hAnsi="Arial" w:cs="Arial"/>
        </w:rPr>
        <w:t>The purpose of this call definition document is to provide eligible potential applicants with the information needed to submit a single stage application to the Tourism and Local Supply Call. It is expected that a delivery organisation(s) will be appointed following this application process.</w:t>
      </w:r>
    </w:p>
    <w:p w14:paraId="18D82CE9" w14:textId="77777777" w:rsidR="00D928EB" w:rsidRPr="008C39E6" w:rsidRDefault="00D928EB" w:rsidP="00D928EB">
      <w:pPr>
        <w:spacing w:after="120" w:afterAutospacing="0"/>
      </w:pPr>
      <w:r w:rsidRPr="00803C71">
        <w:rPr>
          <w:color w:val="000000"/>
          <w:shd w:val="clear" w:color="auto" w:fill="FFFFFF"/>
        </w:rPr>
        <w:t>T</w:t>
      </w:r>
      <w:r w:rsidRPr="00803C71">
        <w:t xml:space="preserve">his document sets out the </w:t>
      </w:r>
      <w:r>
        <w:t>parameters for the Call a</w:t>
      </w:r>
      <w:r w:rsidRPr="00803C71">
        <w:t xml:space="preserve">nd explains the application process, eligibility </w:t>
      </w:r>
      <w:r>
        <w:t>criteria</w:t>
      </w:r>
      <w:r w:rsidRPr="00803C71">
        <w:t xml:space="preserve"> and the indicative timetable.</w:t>
      </w:r>
    </w:p>
    <w:p w14:paraId="25B3E9D5" w14:textId="11B14AF0" w:rsidR="00A71F7B" w:rsidRPr="006941C7" w:rsidRDefault="00A71F7B" w:rsidP="008E581B">
      <w:pPr>
        <w:pStyle w:val="Heading2"/>
      </w:pPr>
      <w:r w:rsidRPr="006941C7">
        <w:t>Background &amp; Strategic Context</w:t>
      </w:r>
    </w:p>
    <w:p w14:paraId="79ED5F2D" w14:textId="6D0F98C3" w:rsidR="004A554D" w:rsidRPr="004A554D" w:rsidRDefault="004A554D" w:rsidP="004A7CDB">
      <w:pPr>
        <w:rPr>
          <w:b/>
          <w:bCs/>
        </w:rPr>
      </w:pPr>
      <w:r w:rsidRPr="004A554D">
        <w:rPr>
          <w:b/>
          <w:bCs/>
        </w:rPr>
        <w:t>Innovation Recovery Fund</w:t>
      </w:r>
    </w:p>
    <w:p w14:paraId="48688CF3" w14:textId="52C5E0AE" w:rsidR="003369DB" w:rsidRDefault="00F64723" w:rsidP="004A7CDB">
      <w:r w:rsidRPr="00F64723">
        <w:t xml:space="preserve">In November, </w:t>
      </w:r>
      <w:r w:rsidR="00966C22">
        <w:t xml:space="preserve">NTCA </w:t>
      </w:r>
      <w:r w:rsidRPr="00F64723">
        <w:t>Cabinet approved £10million of funding to support post-COVID-19 economic recover</w:t>
      </w:r>
      <w:r w:rsidR="007660CB">
        <w:t>y.</w:t>
      </w:r>
      <w:r w:rsidR="00A841E7">
        <w:t xml:space="preserve"> </w:t>
      </w:r>
      <w:r w:rsidRPr="00F64723">
        <w:t>This followed on from the £5m North of Tyne COVID-19 Capacity Fund, which was agreed in March 2020 and is supporting businesses, VCS</w:t>
      </w:r>
      <w:r w:rsidR="00A00434">
        <w:t>E</w:t>
      </w:r>
      <w:r w:rsidRPr="00F64723">
        <w:t xml:space="preserve"> organisations and residents in their response to the COVID-19 pandemic – aligned to national Government support but helping to fill gaps in provision.</w:t>
      </w:r>
    </w:p>
    <w:p w14:paraId="27C58588" w14:textId="0E2F187F" w:rsidR="000C2D68" w:rsidRDefault="001D3EB5" w:rsidP="004A7CDB">
      <w:r w:rsidRPr="001D3EB5">
        <w:t xml:space="preserve">Since November, NTCA has been undertaking detailed co-design on this programme with our constituent local authorities, </w:t>
      </w:r>
      <w:r w:rsidR="00895932">
        <w:t>and wider stakeholders including business representative bodies and the voluntary sector</w:t>
      </w:r>
      <w:r w:rsidRPr="001D3EB5">
        <w:t>.</w:t>
      </w:r>
      <w:r>
        <w:t xml:space="preserve"> </w:t>
      </w:r>
    </w:p>
    <w:p w14:paraId="2530B5CF" w14:textId="2A5938A8" w:rsidR="005F0353" w:rsidRDefault="000C2D68" w:rsidP="004A7CDB">
      <w:r>
        <w:t xml:space="preserve">This </w:t>
      </w:r>
      <w:r w:rsidR="0080465C">
        <w:t>C</w:t>
      </w:r>
      <w:r>
        <w:t xml:space="preserve">all </w:t>
      </w:r>
      <w:r w:rsidR="0080465C">
        <w:t>follows</w:t>
      </w:r>
      <w:r>
        <w:t xml:space="preserve"> t</w:t>
      </w:r>
      <w:r w:rsidR="002D5647" w:rsidRPr="00FA71AB">
        <w:t>wo compl</w:t>
      </w:r>
      <w:r w:rsidR="002D5647">
        <w:t>em</w:t>
      </w:r>
      <w:r w:rsidR="002D5647" w:rsidRPr="00FA71AB">
        <w:t xml:space="preserve">entary </w:t>
      </w:r>
      <w:r>
        <w:t>programmes</w:t>
      </w:r>
      <w:r w:rsidR="002D5647" w:rsidRPr="00FA71AB">
        <w:t xml:space="preserve">, ‘Business Innovation Vouchers’ and ‘Adapting Places and Spaces’, </w:t>
      </w:r>
      <w:r w:rsidR="002B23A4">
        <w:t>which</w:t>
      </w:r>
      <w:r w:rsidR="0059536F">
        <w:t xml:space="preserve"> are separate programme but will</w:t>
      </w:r>
      <w:r w:rsidR="002D5647" w:rsidRPr="00FA71AB">
        <w:t xml:space="preserve"> run concurrently</w:t>
      </w:r>
      <w:r w:rsidR="0059536F">
        <w:t>.</w:t>
      </w:r>
    </w:p>
    <w:p w14:paraId="55A791E6" w14:textId="3BA4A207" w:rsidR="00C840C0" w:rsidRDefault="0012709A" w:rsidP="00D35B06">
      <w:pPr>
        <w:spacing w:after="0" w:afterAutospacing="0"/>
      </w:pPr>
      <w:r>
        <w:t xml:space="preserve">This </w:t>
      </w:r>
      <w:r>
        <w:rPr>
          <w:rFonts w:eastAsia="Calibri"/>
        </w:rPr>
        <w:t>C</w:t>
      </w:r>
      <w:r w:rsidRPr="00E7182F">
        <w:rPr>
          <w:rFonts w:eastAsia="Calibri"/>
        </w:rPr>
        <w:t xml:space="preserve">all for </w:t>
      </w:r>
      <w:r w:rsidRPr="0012709A">
        <w:rPr>
          <w:rFonts w:eastAsia="Calibri"/>
        </w:rPr>
        <w:t>Localised Supply Chains and Tourism Product Innovation</w:t>
      </w:r>
      <w:r>
        <w:rPr>
          <w:rFonts w:eastAsia="Calibri"/>
        </w:rPr>
        <w:t xml:space="preserve"> </w:t>
      </w:r>
      <w:r w:rsidRPr="00E7182F">
        <w:rPr>
          <w:rFonts w:eastAsia="Calibri"/>
        </w:rPr>
        <w:t>Propositions</w:t>
      </w:r>
      <w:r w:rsidR="00C41F00">
        <w:t xml:space="preserve"> </w:t>
      </w:r>
      <w:r w:rsidR="002129B0">
        <w:t xml:space="preserve">is </w:t>
      </w:r>
      <w:r w:rsidR="003A29D0">
        <w:t xml:space="preserve">focussed on two linked but distinct </w:t>
      </w:r>
      <w:r w:rsidR="00E66900">
        <w:t>funding priorities</w:t>
      </w:r>
      <w:r w:rsidR="00142075">
        <w:t>.</w:t>
      </w:r>
      <w:r w:rsidR="00142075" w:rsidRPr="00142075">
        <w:t xml:space="preserve"> </w:t>
      </w:r>
      <w:r w:rsidR="00142075">
        <w:t>Support for innovation in</w:t>
      </w:r>
      <w:r w:rsidR="00C4402B">
        <w:t>:</w:t>
      </w:r>
      <w:r w:rsidR="00C41F00">
        <w:t xml:space="preserve"> </w:t>
      </w:r>
    </w:p>
    <w:p w14:paraId="287448E8" w14:textId="76732331" w:rsidR="00C840C0" w:rsidRDefault="00E31226" w:rsidP="00D35B06">
      <w:pPr>
        <w:pStyle w:val="ListParagraph"/>
        <w:numPr>
          <w:ilvl w:val="0"/>
          <w:numId w:val="21"/>
        </w:numPr>
      </w:pPr>
      <w:r w:rsidRPr="006B018A">
        <w:rPr>
          <w:b/>
          <w:bCs/>
        </w:rPr>
        <w:t>Tourism Innovation:</w:t>
      </w:r>
      <w:r>
        <w:t xml:space="preserve"> </w:t>
      </w:r>
      <w:r w:rsidR="00E66900">
        <w:t>New p</w:t>
      </w:r>
      <w:r w:rsidR="00C41F00">
        <w:t xml:space="preserve">roduct </w:t>
      </w:r>
      <w:r w:rsidR="00C41F00" w:rsidRPr="00FA71AB">
        <w:t>development</w:t>
      </w:r>
      <w:r w:rsidR="009E552D">
        <w:t xml:space="preserve"> and </w:t>
      </w:r>
      <w:r w:rsidR="00E66900">
        <w:t xml:space="preserve">innovative </w:t>
      </w:r>
      <w:r w:rsidR="002E0CEC">
        <w:t xml:space="preserve">service </w:t>
      </w:r>
      <w:r w:rsidR="00C41F00" w:rsidRPr="00FA71AB">
        <w:t xml:space="preserve">delivery </w:t>
      </w:r>
      <w:r w:rsidR="00E66900">
        <w:t>approaches</w:t>
      </w:r>
      <w:r w:rsidR="00C41F00" w:rsidRPr="00FA71AB">
        <w:t xml:space="preserve"> </w:t>
      </w:r>
      <w:r w:rsidR="009E552D">
        <w:t>in</w:t>
      </w:r>
      <w:r w:rsidR="00C41F00" w:rsidRPr="00FA71AB">
        <w:t xml:space="preserve"> the tourism sector </w:t>
      </w:r>
    </w:p>
    <w:p w14:paraId="5E5266F2" w14:textId="1B4ED6CF" w:rsidR="00C840C0" w:rsidRDefault="007558CD" w:rsidP="00D35B06">
      <w:pPr>
        <w:pStyle w:val="ListParagraph"/>
        <w:numPr>
          <w:ilvl w:val="0"/>
          <w:numId w:val="21"/>
        </w:numPr>
      </w:pPr>
      <w:r w:rsidRPr="006B018A">
        <w:rPr>
          <w:b/>
        </w:rPr>
        <w:t>Strengthening l</w:t>
      </w:r>
      <w:r w:rsidR="00C41F00" w:rsidRPr="006B018A">
        <w:rPr>
          <w:b/>
        </w:rPr>
        <w:t xml:space="preserve">ocal </w:t>
      </w:r>
      <w:r w:rsidRPr="006B018A">
        <w:rPr>
          <w:b/>
        </w:rPr>
        <w:t>supply</w:t>
      </w:r>
      <w:r w:rsidR="00E31226">
        <w:t>:</w:t>
      </w:r>
      <w:r w:rsidR="00C41F00" w:rsidRPr="00FA71AB">
        <w:t xml:space="preserve"> improving the connection between local demand and local supply chains across a range of sectors.</w:t>
      </w:r>
      <w:r w:rsidR="00F55EA1">
        <w:t xml:space="preserve"> </w:t>
      </w:r>
    </w:p>
    <w:p w14:paraId="45715D81" w14:textId="30DEE187" w:rsidR="00C41F00" w:rsidRDefault="00F55EA1" w:rsidP="004A7CDB">
      <w:r>
        <w:lastRenderedPageBreak/>
        <w:t xml:space="preserve">The funding allocated </w:t>
      </w:r>
      <w:r w:rsidR="00F948D3">
        <w:t>across</w:t>
      </w:r>
      <w:r>
        <w:t xml:space="preserve"> th</w:t>
      </w:r>
      <w:r w:rsidR="00F948D3">
        <w:t xml:space="preserve">ese </w:t>
      </w:r>
      <w:r w:rsidR="007558CD">
        <w:t xml:space="preserve">two priorities </w:t>
      </w:r>
      <w:r>
        <w:t xml:space="preserve">is </w:t>
      </w:r>
      <w:r w:rsidR="00FA3458">
        <w:t>£1</w:t>
      </w:r>
      <w:r w:rsidR="0047768A">
        <w:t>m</w:t>
      </w:r>
      <w:r w:rsidR="00440FB9">
        <w:t>illion</w:t>
      </w:r>
      <w:r w:rsidR="00A50D12">
        <w:t xml:space="preserve"> and we expect these pr</w:t>
      </w:r>
      <w:r w:rsidR="000F7B54">
        <w:t>iorities to receive a broa</w:t>
      </w:r>
      <w:r w:rsidR="002E5F55">
        <w:t>dl</w:t>
      </w:r>
      <w:r w:rsidR="004E3701">
        <w:t xml:space="preserve">y equal share of </w:t>
      </w:r>
      <w:r w:rsidR="00244FBB">
        <w:t xml:space="preserve">the available funding – though final allocations will </w:t>
      </w:r>
      <w:r w:rsidR="00136D1A">
        <w:t>depe</w:t>
      </w:r>
      <w:r w:rsidR="007358E8">
        <w:t>nd</w:t>
      </w:r>
      <w:r w:rsidR="00244FBB">
        <w:t xml:space="preserve"> on the quality of propositions received.</w:t>
      </w:r>
      <w:r w:rsidR="004E3701">
        <w:t xml:space="preserve"> </w:t>
      </w:r>
    </w:p>
    <w:p w14:paraId="1241C1FF" w14:textId="2736CD8A" w:rsidR="00A71F7B" w:rsidRPr="00803C71" w:rsidRDefault="00A71F7B" w:rsidP="008E581B">
      <w:pPr>
        <w:pStyle w:val="Heading2"/>
      </w:pPr>
      <w:r w:rsidRPr="00803C71">
        <w:t xml:space="preserve">Call Details: </w:t>
      </w:r>
      <w:r w:rsidR="0031532F">
        <w:t>DELIVERY BODY ROLE</w:t>
      </w:r>
      <w:r w:rsidRPr="00803C71">
        <w:t>, Funding Priorities &amp; Focus</w:t>
      </w:r>
    </w:p>
    <w:p w14:paraId="00523B02" w14:textId="736E46D2" w:rsidR="008F3238" w:rsidRPr="006B018A" w:rsidRDefault="0031532F" w:rsidP="004A7CDB">
      <w:pPr>
        <w:rPr>
          <w:b/>
        </w:rPr>
      </w:pPr>
      <w:r w:rsidRPr="006B018A">
        <w:rPr>
          <w:b/>
          <w:bCs/>
        </w:rPr>
        <w:t xml:space="preserve">Delivery Body Role </w:t>
      </w:r>
    </w:p>
    <w:p w14:paraId="5BC65CBC" w14:textId="1AFEA0EB" w:rsidR="00147653" w:rsidRDefault="00A71F7B" w:rsidP="00147653">
      <w:r w:rsidRPr="006B018A">
        <w:t>Th</w:t>
      </w:r>
      <w:r w:rsidR="002E0B5B" w:rsidRPr="006B018A">
        <w:t xml:space="preserve">is </w:t>
      </w:r>
      <w:r w:rsidR="00255C0B" w:rsidRPr="006B018A">
        <w:t>C</w:t>
      </w:r>
      <w:r w:rsidR="002E0B5B" w:rsidRPr="006B018A">
        <w:t xml:space="preserve">all seeks to identify </w:t>
      </w:r>
      <w:r w:rsidR="00E03FC9">
        <w:t>one or more</w:t>
      </w:r>
      <w:r w:rsidR="00CF309B" w:rsidRPr="006B018A">
        <w:t xml:space="preserve"> </w:t>
      </w:r>
      <w:r w:rsidR="002E0B5B" w:rsidRPr="006B018A">
        <w:t>delivery bod</w:t>
      </w:r>
      <w:r w:rsidR="00E03FC9">
        <w:t>ies</w:t>
      </w:r>
      <w:r w:rsidR="005F3384" w:rsidRPr="006B018A">
        <w:t xml:space="preserve"> </w:t>
      </w:r>
      <w:r w:rsidR="00BB271F" w:rsidRPr="006B018A">
        <w:t>– including</w:t>
      </w:r>
      <w:r w:rsidR="00244FBB" w:rsidRPr="006B018A">
        <w:t xml:space="preserve"> </w:t>
      </w:r>
      <w:r w:rsidR="00C47035">
        <w:t>the op</w:t>
      </w:r>
      <w:r w:rsidR="009E3AA6">
        <w:t xml:space="preserve">tion of </w:t>
      </w:r>
      <w:r w:rsidR="00042FA2" w:rsidRPr="006B018A">
        <w:t>a</w:t>
      </w:r>
      <w:r w:rsidR="005F3384" w:rsidRPr="006B018A">
        <w:t xml:space="preserve"> partnership </w:t>
      </w:r>
      <w:r w:rsidR="00244FBB" w:rsidRPr="006B018A">
        <w:t>under a lead applicant -</w:t>
      </w:r>
      <w:r w:rsidR="005F3384" w:rsidRPr="006B018A">
        <w:t xml:space="preserve"> with </w:t>
      </w:r>
      <w:r w:rsidR="00244FBB" w:rsidRPr="006B018A">
        <w:t xml:space="preserve">the </w:t>
      </w:r>
      <w:r w:rsidR="005F3384" w:rsidRPr="006B018A">
        <w:t>expertise</w:t>
      </w:r>
      <w:r w:rsidR="005B5E4F" w:rsidRPr="006B018A">
        <w:t xml:space="preserve"> </w:t>
      </w:r>
      <w:r w:rsidR="002E0B5B" w:rsidRPr="006B018A">
        <w:t>to</w:t>
      </w:r>
      <w:r w:rsidR="00FA580D" w:rsidRPr="006B018A">
        <w:t xml:space="preserve"> </w:t>
      </w:r>
      <w:r w:rsidR="00FA580D" w:rsidRPr="006B018A">
        <w:rPr>
          <w:b/>
        </w:rPr>
        <w:t>design</w:t>
      </w:r>
      <w:r w:rsidR="00FA580D" w:rsidRPr="006B018A">
        <w:t>,</w:t>
      </w:r>
      <w:r w:rsidR="002E0B5B" w:rsidRPr="006B018A">
        <w:t xml:space="preserve"> </w:t>
      </w:r>
      <w:r w:rsidR="002E0B5B" w:rsidRPr="006B018A">
        <w:rPr>
          <w:b/>
        </w:rPr>
        <w:t>launch</w:t>
      </w:r>
      <w:r w:rsidR="002E0B5B" w:rsidRPr="006B018A">
        <w:t xml:space="preserve"> and </w:t>
      </w:r>
      <w:r w:rsidR="002E0B5B" w:rsidRPr="006B018A">
        <w:rPr>
          <w:b/>
        </w:rPr>
        <w:t>deliver</w:t>
      </w:r>
      <w:r w:rsidR="00BE5394" w:rsidRPr="006B018A">
        <w:rPr>
          <w:b/>
        </w:rPr>
        <w:t xml:space="preserve"> </w:t>
      </w:r>
      <w:r w:rsidR="00B93946" w:rsidRPr="006B018A">
        <w:t>a</w:t>
      </w:r>
      <w:r w:rsidRPr="006B018A">
        <w:t xml:space="preserve"> </w:t>
      </w:r>
      <w:r w:rsidR="008B5263" w:rsidRPr="006B018A">
        <w:t xml:space="preserve">recovery programme </w:t>
      </w:r>
      <w:r w:rsidR="00244FBB" w:rsidRPr="006B018A">
        <w:t xml:space="preserve">for each priority based on an innovation challenge methodology. The purpose is to </w:t>
      </w:r>
      <w:r w:rsidR="00A266F8" w:rsidRPr="006B018A">
        <w:t>encourage and facilitate cross-sector collaboration that brings forward</w:t>
      </w:r>
      <w:r w:rsidR="00D93CE9" w:rsidRPr="006B018A">
        <w:t xml:space="preserve"> </w:t>
      </w:r>
      <w:r w:rsidR="00A266F8" w:rsidRPr="006B018A">
        <w:t>innovative products</w:t>
      </w:r>
      <w:r w:rsidR="00244FBB" w:rsidRPr="006B018A">
        <w:t>,</w:t>
      </w:r>
      <w:r w:rsidR="00730F10" w:rsidRPr="006B018A">
        <w:t xml:space="preserve"> </w:t>
      </w:r>
      <w:r w:rsidR="008A3725" w:rsidRPr="006B018A">
        <w:t>services,</w:t>
      </w:r>
      <w:r w:rsidR="00244FBB" w:rsidRPr="006B018A">
        <w:t xml:space="preserve"> and approaches </w:t>
      </w:r>
      <w:r w:rsidR="00E052AF" w:rsidRPr="006B018A">
        <w:t>in line with the priorities set out.</w:t>
      </w:r>
    </w:p>
    <w:p w14:paraId="35420135" w14:textId="77777777" w:rsidR="00BB2FB8" w:rsidRDefault="00BB2FB8" w:rsidP="00BB2FB8">
      <w:r w:rsidRPr="006B018A">
        <w:t xml:space="preserve">Applications are encouraged </w:t>
      </w:r>
      <w:r>
        <w:t>that</w:t>
      </w:r>
      <w:r w:rsidRPr="006B018A">
        <w:t xml:space="preserve"> cover one or both funding priorities below. The maximum number of grants awarded under this call will be two – one for each funding priority</w:t>
      </w:r>
      <w:r>
        <w:t xml:space="preserve"> –</w:t>
      </w:r>
      <w:r w:rsidRPr="006B018A">
        <w:t xml:space="preserve"> unless</w:t>
      </w:r>
      <w:r>
        <w:t xml:space="preserve"> </w:t>
      </w:r>
      <w:r w:rsidRPr="006B018A">
        <w:t>there are exceptional circumstances. NTCA will consider the impact on value for money and overall overhead costs from multiple grant awards and would welcome partnership approaches that reduce overhead costs if possible.</w:t>
      </w:r>
    </w:p>
    <w:p w14:paraId="1CC28FB0" w14:textId="2B01ED5E" w:rsidR="00A5762E" w:rsidRPr="006B018A" w:rsidRDefault="00E052AF" w:rsidP="00A5762E">
      <w:r w:rsidRPr="006B018A">
        <w:t xml:space="preserve">The </w:t>
      </w:r>
      <w:r w:rsidR="00312D60" w:rsidRPr="006B018A">
        <w:t>successful applicant(s) will be expected to</w:t>
      </w:r>
      <w:r w:rsidR="00CE6D8E" w:rsidRPr="006B018A">
        <w:t>:</w:t>
      </w:r>
    </w:p>
    <w:p w14:paraId="7141DE10" w14:textId="57277E46" w:rsidR="0075193D" w:rsidRPr="00D627AE" w:rsidRDefault="007E0C8F" w:rsidP="00E31226">
      <w:pPr>
        <w:pStyle w:val="ListParagraph"/>
        <w:numPr>
          <w:ilvl w:val="0"/>
          <w:numId w:val="24"/>
        </w:numPr>
      </w:pPr>
      <w:r>
        <w:t>D</w:t>
      </w:r>
      <w:r w:rsidR="00D627AE">
        <w:t xml:space="preserve">esign, implement and manage a programme of activity that </w:t>
      </w:r>
      <w:r w:rsidR="00F04FB5">
        <w:t>frames the funding priorities</w:t>
      </w:r>
      <w:r w:rsidR="00DB4754">
        <w:t xml:space="preserve"> and targets SME participant</w:t>
      </w:r>
      <w:r w:rsidR="006C4877">
        <w:t xml:space="preserve">s will the potential </w:t>
      </w:r>
      <w:r w:rsidR="00DB4754">
        <w:t xml:space="preserve">to bring forward projects </w:t>
      </w:r>
      <w:r w:rsidR="006C4877">
        <w:t>with</w:t>
      </w:r>
      <w:r w:rsidR="00730A6A">
        <w:t>in</w:t>
      </w:r>
      <w:r w:rsidR="006C4877">
        <w:t xml:space="preserve"> the Call parameters</w:t>
      </w:r>
      <w:r w:rsidR="00155869">
        <w:t xml:space="preserve">, </w:t>
      </w:r>
      <w:r w:rsidR="00730A6A">
        <w:t xml:space="preserve">support these projects, </w:t>
      </w:r>
      <w:r w:rsidR="00155869">
        <w:t>and</w:t>
      </w:r>
      <w:r w:rsidR="00730A6A">
        <w:t xml:space="preserve"> </w:t>
      </w:r>
      <w:r w:rsidR="003C1A6B">
        <w:t>monitor and</w:t>
      </w:r>
      <w:r w:rsidR="00BB2FB8">
        <w:t xml:space="preserve"> evaluate the programme.</w:t>
      </w:r>
    </w:p>
    <w:p w14:paraId="7BB0A15E" w14:textId="002EBE39" w:rsidR="00E31226" w:rsidRPr="00BA2139" w:rsidRDefault="003C1A6B" w:rsidP="00E31226">
      <w:pPr>
        <w:pStyle w:val="ListParagraph"/>
        <w:numPr>
          <w:ilvl w:val="0"/>
          <w:numId w:val="24"/>
        </w:numPr>
      </w:pPr>
      <w:r>
        <w:t>Coordinate or directly deliver</w:t>
      </w:r>
      <w:r w:rsidR="00E31226" w:rsidRPr="00BA2139">
        <w:t xml:space="preserve"> business support</w:t>
      </w:r>
      <w:r w:rsidR="00E31226">
        <w:t xml:space="preserve"> and engagement strategy (e.g. events, mentorship, etc.)</w:t>
      </w:r>
    </w:p>
    <w:p w14:paraId="422B7B39" w14:textId="5AECE703" w:rsidR="00E31226" w:rsidRDefault="00E31226" w:rsidP="00E31226">
      <w:pPr>
        <w:pStyle w:val="ListParagraph"/>
        <w:numPr>
          <w:ilvl w:val="0"/>
          <w:numId w:val="24"/>
        </w:numPr>
      </w:pPr>
      <w:r>
        <w:t>Forg</w:t>
      </w:r>
      <w:r w:rsidR="003C1A6B">
        <w:t>e</w:t>
      </w:r>
      <w:r>
        <w:t xml:space="preserve"> new cross-sector partnerships and commercial relationships</w:t>
      </w:r>
    </w:p>
    <w:p w14:paraId="19231F16" w14:textId="281BDD7E" w:rsidR="00E31226" w:rsidRDefault="00BB2FB8" w:rsidP="00E31226">
      <w:pPr>
        <w:pStyle w:val="ListParagraph"/>
        <w:numPr>
          <w:ilvl w:val="0"/>
          <w:numId w:val="24"/>
        </w:numPr>
      </w:pPr>
      <w:r>
        <w:t>Manage g</w:t>
      </w:r>
      <w:r w:rsidR="00E31226" w:rsidRPr="00BA2139">
        <w:t xml:space="preserve">rant funding </w:t>
      </w:r>
      <w:r w:rsidR="00E31226">
        <w:t>to participants bringing forward the most impactful projects within the programme, regarding the desired outputs and outcomes.</w:t>
      </w:r>
    </w:p>
    <w:p w14:paraId="764663D4" w14:textId="77777777" w:rsidR="00685A33" w:rsidRPr="00BA2139" w:rsidRDefault="00685A33" w:rsidP="00685A33">
      <w:r w:rsidRPr="00BA2139">
        <w:t xml:space="preserve">The </w:t>
      </w:r>
      <w:r w:rsidRPr="006B018A">
        <w:rPr>
          <w:b/>
          <w:bCs/>
        </w:rPr>
        <w:t>overarching principles</w:t>
      </w:r>
      <w:r w:rsidRPr="00BA2139">
        <w:t xml:space="preserve"> for this Call are that proposals should: </w:t>
      </w:r>
    </w:p>
    <w:p w14:paraId="1D5D563B" w14:textId="3C5B9F23" w:rsidR="00685A33" w:rsidRDefault="00B176E4" w:rsidP="00136D1A">
      <w:pPr>
        <w:pStyle w:val="ListParagraph"/>
        <w:numPr>
          <w:ilvl w:val="0"/>
          <w:numId w:val="12"/>
        </w:numPr>
      </w:pPr>
      <w:r>
        <w:t>H</w:t>
      </w:r>
      <w:r w:rsidR="00685A33" w:rsidRPr="00436D30">
        <w:t>ave the potential to contribute to increased productivity</w:t>
      </w:r>
      <w:r w:rsidR="00685A33">
        <w:t xml:space="preserve"> and</w:t>
      </w:r>
      <w:r w:rsidR="00685A33" w:rsidRPr="00436D30">
        <w:t xml:space="preserve"> job creation/safeguarding, and help realise our ambitions to be smarter, greener, more inclusive, authentic and resilient</w:t>
      </w:r>
    </w:p>
    <w:p w14:paraId="0570AE36" w14:textId="4EF42A44" w:rsidR="00685A33" w:rsidRPr="00BA2139" w:rsidRDefault="00557FE5" w:rsidP="00685A33">
      <w:pPr>
        <w:pStyle w:val="ListParagraph"/>
        <w:numPr>
          <w:ilvl w:val="0"/>
          <w:numId w:val="12"/>
        </w:numPr>
      </w:pPr>
      <w:r>
        <w:t>Set out</w:t>
      </w:r>
      <w:r w:rsidR="00685A33">
        <w:t xml:space="preserve"> a programme of activity based on a solid understanding of the relevant industries, their strategic and operational challenges and opportunities, and the local ecosystem composition, as well as the innovation ecosystem and its capabilities </w:t>
      </w:r>
    </w:p>
    <w:p w14:paraId="4ED7FA33" w14:textId="49E824A3" w:rsidR="00685A33" w:rsidRPr="00BA2139" w:rsidRDefault="00685A33" w:rsidP="00685A33">
      <w:pPr>
        <w:pStyle w:val="ListParagraph"/>
        <w:numPr>
          <w:ilvl w:val="0"/>
          <w:numId w:val="12"/>
        </w:numPr>
      </w:pPr>
      <w:r w:rsidRPr="00BA2139">
        <w:t>Add value to the wider innovation ecosystem in the region, rather than duplicating</w:t>
      </w:r>
      <w:r>
        <w:t xml:space="preserve"> existing activity</w:t>
      </w:r>
    </w:p>
    <w:p w14:paraId="4EA6534A" w14:textId="69D25A4D" w:rsidR="00685A33" w:rsidRPr="00BA2139" w:rsidRDefault="00685A33" w:rsidP="00685A33">
      <w:pPr>
        <w:pStyle w:val="ListParagraph"/>
        <w:numPr>
          <w:ilvl w:val="0"/>
          <w:numId w:val="12"/>
        </w:numPr>
      </w:pPr>
      <w:r w:rsidRPr="00BA2139">
        <w:t xml:space="preserve">Recognise the value and encourage a culture of cross-sector </w:t>
      </w:r>
      <w:r>
        <w:t xml:space="preserve">and supply chain </w:t>
      </w:r>
      <w:r w:rsidRPr="00BA2139">
        <w:t>collaboration</w:t>
      </w:r>
    </w:p>
    <w:p w14:paraId="5DD612C6" w14:textId="45DF3B0D" w:rsidR="00685A33" w:rsidRPr="00BA2139" w:rsidRDefault="00685A33" w:rsidP="00685A33">
      <w:pPr>
        <w:pStyle w:val="ListParagraph"/>
        <w:numPr>
          <w:ilvl w:val="0"/>
          <w:numId w:val="12"/>
        </w:numPr>
      </w:pPr>
      <w:r w:rsidRPr="00BA2139">
        <w:t>Be flexible to changing circumstances and environments, evolving national support, and changing needs of the sector</w:t>
      </w:r>
      <w:r>
        <w:t>s</w:t>
      </w:r>
    </w:p>
    <w:p w14:paraId="789B2E69" w14:textId="1FE93DF6" w:rsidR="00685A33" w:rsidRPr="00BA2139" w:rsidRDefault="00685A33" w:rsidP="00685A33">
      <w:pPr>
        <w:pStyle w:val="ListParagraph"/>
        <w:numPr>
          <w:ilvl w:val="0"/>
          <w:numId w:val="12"/>
        </w:numPr>
      </w:pPr>
      <w:r w:rsidRPr="00BA2139">
        <w:t>Reflect NTCA values, including around an inclusive economy and sustainability objectives</w:t>
      </w:r>
    </w:p>
    <w:p w14:paraId="0A26449F" w14:textId="77777777" w:rsidR="007A7293" w:rsidRDefault="00E31226" w:rsidP="00905612">
      <w:r w:rsidRPr="006B018A">
        <w:rPr>
          <w:b/>
          <w:bCs/>
        </w:rPr>
        <w:t xml:space="preserve">Funding Priority 1: Tourism Innovation </w:t>
      </w:r>
      <w:r w:rsidR="00E854AC">
        <w:t xml:space="preserve">Within </w:t>
      </w:r>
      <w:r w:rsidR="00E854AC" w:rsidRPr="00661D1C">
        <w:rPr>
          <w:b/>
          <w:bCs/>
        </w:rPr>
        <w:t>tourism</w:t>
      </w:r>
      <w:r w:rsidR="00E854AC">
        <w:t xml:space="preserve"> innovation, w</w:t>
      </w:r>
      <w:r w:rsidR="00FD6184">
        <w:t xml:space="preserve">e would welcome </w:t>
      </w:r>
      <w:r w:rsidR="00912FCC">
        <w:t>applications that include</w:t>
      </w:r>
      <w:r w:rsidR="00FD6184">
        <w:t xml:space="preserve"> activity that</w:t>
      </w:r>
      <w:r w:rsidR="00A266F8">
        <w:t xml:space="preserve"> </w:t>
      </w:r>
      <w:r w:rsidR="005C4507">
        <w:t>un</w:t>
      </w:r>
      <w:r w:rsidR="00555EFC">
        <w:t>der</w:t>
      </w:r>
      <w:r w:rsidR="005C4507">
        <w:t>pin</w:t>
      </w:r>
      <w:r w:rsidR="00FD6184">
        <w:t>s</w:t>
      </w:r>
      <w:r w:rsidR="005C4507">
        <w:t xml:space="preserve"> and accompan</w:t>
      </w:r>
      <w:r w:rsidR="00FD6184">
        <w:t>ies</w:t>
      </w:r>
      <w:r w:rsidR="00A266F8" w:rsidRPr="00A266F8">
        <w:t xml:space="preserve"> the activity of the </w:t>
      </w:r>
      <w:r w:rsidR="007C53C0" w:rsidRPr="00A266F8">
        <w:t>N</w:t>
      </w:r>
      <w:r w:rsidR="007C53C0">
        <w:t>orth of Tyne</w:t>
      </w:r>
      <w:r w:rsidR="007C53C0" w:rsidRPr="00A266F8">
        <w:t xml:space="preserve"> </w:t>
      </w:r>
      <w:r w:rsidR="00A266F8" w:rsidRPr="00A266F8">
        <w:t>Tourism</w:t>
      </w:r>
      <w:r w:rsidR="007C53C0">
        <w:t xml:space="preserve"> &amp; Events</w:t>
      </w:r>
      <w:r w:rsidR="00A266F8" w:rsidRPr="00A266F8">
        <w:t xml:space="preserve"> programme</w:t>
      </w:r>
      <w:r w:rsidR="009E3CDA">
        <w:t>,</w:t>
      </w:r>
      <w:r w:rsidR="00A266F8" w:rsidRPr="00A266F8">
        <w:t xml:space="preserve"> compl</w:t>
      </w:r>
      <w:r w:rsidR="005C4507">
        <w:t>e</w:t>
      </w:r>
      <w:r w:rsidR="00A266F8" w:rsidRPr="00A266F8">
        <w:t>ment the plans of our DMOs</w:t>
      </w:r>
      <w:r w:rsidR="00F66832">
        <w:t xml:space="preserve"> (destination marketing/management organisations)</w:t>
      </w:r>
      <w:r w:rsidR="009E3CDA">
        <w:t>,</w:t>
      </w:r>
      <w:r w:rsidR="00BE68A7">
        <w:t xml:space="preserve"> bring together key private sector a</w:t>
      </w:r>
      <w:r w:rsidR="00903992">
        <w:t>nchors in hospitality,</w:t>
      </w:r>
      <w:r w:rsidR="009E3CDA">
        <w:t xml:space="preserve"> and </w:t>
      </w:r>
      <w:r w:rsidR="008D750D">
        <w:t>promote</w:t>
      </w:r>
      <w:r w:rsidR="007B6397">
        <w:t xml:space="preserve"> a</w:t>
      </w:r>
      <w:r w:rsidR="008C6B18">
        <w:t xml:space="preserve"> </w:t>
      </w:r>
      <w:r w:rsidR="00F41CDA">
        <w:t>local</w:t>
      </w:r>
      <w:r w:rsidR="007B6397">
        <w:t xml:space="preserve"> sustainable</w:t>
      </w:r>
      <w:r w:rsidR="00F41CDA">
        <w:t xml:space="preserve"> </w:t>
      </w:r>
      <w:r w:rsidR="008C6B18">
        <w:t>economy</w:t>
      </w:r>
      <w:r w:rsidR="00A953FC">
        <w:t xml:space="preserve"> by </w:t>
      </w:r>
      <w:r w:rsidR="000A0DBB">
        <w:t>exposing local produce to b</w:t>
      </w:r>
      <w:r w:rsidR="00165A6B">
        <w:t>igger markets</w:t>
      </w:r>
      <w:r w:rsidR="00A266F8" w:rsidRPr="00A266F8">
        <w:t>.</w:t>
      </w:r>
    </w:p>
    <w:p w14:paraId="5F7CFF09" w14:textId="1F6BEB15" w:rsidR="00905612" w:rsidRPr="00905612" w:rsidRDefault="00635CA4" w:rsidP="00905612">
      <w:r>
        <w:lastRenderedPageBreak/>
        <w:t xml:space="preserve">Any approach should </w:t>
      </w:r>
      <w:r w:rsidR="009B4508">
        <w:t>b</w:t>
      </w:r>
      <w:r w:rsidR="009B4508" w:rsidRPr="00A266F8">
        <w:t>uild</w:t>
      </w:r>
      <w:r w:rsidR="00A266F8" w:rsidRPr="00A266F8">
        <w:t xml:space="preserve"> on the success of similar </w:t>
      </w:r>
      <w:r>
        <w:t xml:space="preserve">historical </w:t>
      </w:r>
      <w:r w:rsidR="00F66832">
        <w:t xml:space="preserve">subregional </w:t>
      </w:r>
      <w:r w:rsidR="00A266F8" w:rsidRPr="00A266F8">
        <w:t>activity</w:t>
      </w:r>
      <w:r w:rsidR="002C56AE">
        <w:t>,</w:t>
      </w:r>
      <w:r w:rsidR="00A266F8" w:rsidRPr="00A266F8">
        <w:t xml:space="preserve"> such</w:t>
      </w:r>
      <w:r w:rsidR="00B0447B">
        <w:t xml:space="preserve"> </w:t>
      </w:r>
      <w:r w:rsidR="00A266F8" w:rsidRPr="00A266F8">
        <w:t>as</w:t>
      </w:r>
      <w:r w:rsidR="002C56AE">
        <w:t>:</w:t>
      </w:r>
      <w:r w:rsidR="00A266F8" w:rsidRPr="00A266F8">
        <w:t xml:space="preserve"> the GX Project</w:t>
      </w:r>
      <w:r w:rsidR="00B0447B">
        <w:t xml:space="preserve">, which </w:t>
      </w:r>
      <w:r w:rsidR="001358DC">
        <w:t>supported innovation adoption across multiple sectors includ</w:t>
      </w:r>
      <w:r w:rsidR="00573734">
        <w:t>ing</w:t>
      </w:r>
      <w:r w:rsidR="001358DC">
        <w:t xml:space="preserve"> tourism</w:t>
      </w:r>
      <w:r w:rsidR="00E632B2">
        <w:t xml:space="preserve"> </w:t>
      </w:r>
      <w:r w:rsidR="00EC2AA2">
        <w:t>schemes</w:t>
      </w:r>
      <w:r w:rsidR="001358DC">
        <w:t xml:space="preserve"> by Advance Northumberland to support SMEs wi</w:t>
      </w:r>
      <w:r w:rsidR="00F9351F">
        <w:t>th</w:t>
      </w:r>
      <w:r w:rsidR="001358DC">
        <w:t xml:space="preserve"> e-commerce and web platform </w:t>
      </w:r>
      <w:r>
        <w:t>adoption</w:t>
      </w:r>
      <w:r w:rsidR="009A572E">
        <w:t xml:space="preserve">, </w:t>
      </w:r>
      <w:r w:rsidR="009E30F7">
        <w:t>for example</w:t>
      </w:r>
      <w:r>
        <w:t xml:space="preserve">. </w:t>
      </w:r>
      <w:r w:rsidR="00544096">
        <w:t>Projects should s</w:t>
      </w:r>
      <w:r w:rsidR="00A02D9B" w:rsidRPr="00BA2139">
        <w:t>howcas</w:t>
      </w:r>
      <w:r w:rsidR="00544096">
        <w:t>e</w:t>
      </w:r>
      <w:r w:rsidR="00A02D9B" w:rsidRPr="00BA2139">
        <w:t xml:space="preserve"> exemplar tourism </w:t>
      </w:r>
      <w:r w:rsidR="00A02D9B">
        <w:t>products or services that inspire the NTCA tourism industry to adopt</w:t>
      </w:r>
      <w:r w:rsidR="00DC421F">
        <w:t xml:space="preserve"> and </w:t>
      </w:r>
      <w:r w:rsidR="00A02D9B">
        <w:t>develop innovation</w:t>
      </w:r>
      <w:r w:rsidR="00DC421F">
        <w:t>.</w:t>
      </w:r>
    </w:p>
    <w:p w14:paraId="30E6414C" w14:textId="77777777" w:rsidR="00244FBB" w:rsidRDefault="00244FBB" w:rsidP="00244FBB">
      <w:r>
        <w:t>NTCA has simultaneously initiated delivery of its £3.5million North of Tyne Tourism and Events Programme, introduced to support the development of the tourism sector with an aim to enable and inspire more visitors to stay longer, do more and spend more in the North of Tyne area. This programme is entering Year Two of three years, with an outline commitment to a further seven years of activity. It will introduce 8 new bookable tourism products in the NTCA area and initialise a year-round events programme incorporating mid- to major-scale events.</w:t>
      </w:r>
    </w:p>
    <w:p w14:paraId="7D537CA7" w14:textId="3EE54328" w:rsidR="00685A33" w:rsidRDefault="00244FBB" w:rsidP="00142075">
      <w:r>
        <w:t xml:space="preserve">Outputs of the </w:t>
      </w:r>
      <w:r w:rsidRPr="00917ACF">
        <w:t xml:space="preserve">Tourism and Local Supply </w:t>
      </w:r>
      <w:r>
        <w:t>programme will link into the North of Tyne Tourism and Events Programme in the medium to long term.</w:t>
      </w:r>
    </w:p>
    <w:p w14:paraId="629F5F64" w14:textId="502FD7AE" w:rsidR="00685A33" w:rsidRPr="00803C71" w:rsidRDefault="00685A33" w:rsidP="00685A33">
      <w:r w:rsidRPr="00803C71">
        <w:t xml:space="preserve">The following are examples of </w:t>
      </w:r>
      <w:r w:rsidRPr="00B91E0A">
        <w:rPr>
          <w:b/>
        </w:rPr>
        <w:t>Outcomes</w:t>
      </w:r>
      <w:r w:rsidRPr="00803C71">
        <w:rPr>
          <w:bCs/>
        </w:rPr>
        <w:t xml:space="preserve"> </w:t>
      </w:r>
      <w:r w:rsidR="005D05B1">
        <w:t>because of</w:t>
      </w:r>
      <w:r>
        <w:t xml:space="preserve"> this funding priority</w:t>
      </w:r>
      <w:r w:rsidRPr="00803C71">
        <w:t>:</w:t>
      </w:r>
    </w:p>
    <w:p w14:paraId="171B57E5" w14:textId="724F8928" w:rsidR="00685A33" w:rsidRPr="009B035F" w:rsidRDefault="00685A33" w:rsidP="00685A33">
      <w:pPr>
        <w:pStyle w:val="ListParagraph"/>
        <w:numPr>
          <w:ilvl w:val="0"/>
          <w:numId w:val="13"/>
        </w:numPr>
      </w:pPr>
      <w:r w:rsidRPr="009B035F">
        <w:t>Increased adoption of digital and/or green technologies within products and services delivered by the tourism industry, and introduction of new service lines into the industry</w:t>
      </w:r>
    </w:p>
    <w:p w14:paraId="0F07BA7F" w14:textId="77777777" w:rsidR="00685A33" w:rsidRPr="009B035F" w:rsidRDefault="00685A33" w:rsidP="00685A33">
      <w:pPr>
        <w:pStyle w:val="ListParagraph"/>
        <w:numPr>
          <w:ilvl w:val="0"/>
          <w:numId w:val="13"/>
        </w:numPr>
      </w:pPr>
      <w:r w:rsidRPr="009B035F">
        <w:t>Increased collaboration between traditional tourism subsectors (food and drink, hospitality, leisure, attractions, etc.) and non-tourism sectors, particularly those in the NTCA priority areas (digital, renewables, culture and creative, and ageing)</w:t>
      </w:r>
    </w:p>
    <w:p w14:paraId="368A467F" w14:textId="77777777" w:rsidR="00685A33" w:rsidRPr="009B035F" w:rsidRDefault="00685A33" w:rsidP="00685A33">
      <w:pPr>
        <w:pStyle w:val="ListParagraph"/>
        <w:numPr>
          <w:ilvl w:val="0"/>
          <w:numId w:val="13"/>
        </w:numPr>
      </w:pPr>
      <w:r w:rsidRPr="009B035F">
        <w:t xml:space="preserve">Improve the credentials of the North of Tyne tourism ecosystem by becoming; smarter, greener, more inclusive, and more authentic (routed in placed-based initiatives and activity) </w:t>
      </w:r>
    </w:p>
    <w:p w14:paraId="71BF3DFE" w14:textId="77777777" w:rsidR="00685A33" w:rsidRPr="009B035F" w:rsidRDefault="00685A33" w:rsidP="00685A33">
      <w:pPr>
        <w:pStyle w:val="ListParagraph"/>
        <w:numPr>
          <w:ilvl w:val="0"/>
          <w:numId w:val="13"/>
        </w:numPr>
      </w:pPr>
      <w:r w:rsidRPr="009B035F">
        <w:t>Improve the productivity, turnover and resilience of the North of Tyne tourism ecosystem and local supply chains</w:t>
      </w:r>
    </w:p>
    <w:p w14:paraId="50BA1A88" w14:textId="77777777" w:rsidR="00685A33" w:rsidRPr="009B035F" w:rsidRDefault="00685A33" w:rsidP="00685A33">
      <w:pPr>
        <w:pStyle w:val="ListParagraph"/>
        <w:numPr>
          <w:ilvl w:val="0"/>
          <w:numId w:val="13"/>
        </w:numPr>
      </w:pPr>
      <w:r w:rsidRPr="009B035F">
        <w:t>Improved marketing of local produce and services through stronger place-based branding and subregional B2B relationships</w:t>
      </w:r>
    </w:p>
    <w:p w14:paraId="4CDFD03A" w14:textId="1F1AA0F4" w:rsidR="00D548D2" w:rsidRPr="009B035F" w:rsidRDefault="00685A33" w:rsidP="006B018A">
      <w:pPr>
        <w:pStyle w:val="ListParagraph"/>
        <w:numPr>
          <w:ilvl w:val="0"/>
          <w:numId w:val="13"/>
        </w:numPr>
      </w:pPr>
      <w:r w:rsidRPr="009B035F">
        <w:t>Leverage private sector funding into the North of Tyne geography</w:t>
      </w:r>
    </w:p>
    <w:p w14:paraId="0E4E37B5" w14:textId="39AE21DB" w:rsidR="00544F92" w:rsidRPr="006B018A" w:rsidRDefault="00544F92" w:rsidP="00142075">
      <w:pPr>
        <w:rPr>
          <w:b/>
        </w:rPr>
      </w:pPr>
      <w:r w:rsidRPr="006B018A">
        <w:rPr>
          <w:b/>
        </w:rPr>
        <w:t>Funding Priority 2</w:t>
      </w:r>
      <w:r w:rsidR="006D251A" w:rsidRPr="006B018A">
        <w:rPr>
          <w:b/>
          <w:bCs/>
        </w:rPr>
        <w:t xml:space="preserve">: </w:t>
      </w:r>
      <w:r w:rsidR="00851ABD">
        <w:rPr>
          <w:b/>
          <w:bCs/>
        </w:rPr>
        <w:t>S</w:t>
      </w:r>
      <w:r w:rsidR="006D251A" w:rsidRPr="006B018A">
        <w:rPr>
          <w:b/>
          <w:bCs/>
        </w:rPr>
        <w:t>trengthening Local Supply</w:t>
      </w:r>
    </w:p>
    <w:p w14:paraId="3347FB07" w14:textId="3F073565" w:rsidR="000A014C" w:rsidRDefault="00790E53" w:rsidP="00142075">
      <w:r>
        <w:t xml:space="preserve">Through this activity our </w:t>
      </w:r>
      <w:r w:rsidR="00A01EA6">
        <w:t xml:space="preserve">aim </w:t>
      </w:r>
      <w:r>
        <w:t xml:space="preserve">is to explore new approaches </w:t>
      </w:r>
      <w:r w:rsidR="00A01EA6">
        <w:t>to stimulate</w:t>
      </w:r>
      <w:r>
        <w:t xml:space="preserve"> and improve </w:t>
      </w:r>
      <w:r w:rsidR="008379F1">
        <w:t>the connection between</w:t>
      </w:r>
      <w:r w:rsidR="002C62B7">
        <w:t xml:space="preserve"> </w:t>
      </w:r>
      <w:r w:rsidR="002C62B7" w:rsidRPr="00142075">
        <w:rPr>
          <w:b/>
          <w:bCs/>
        </w:rPr>
        <w:t>local</w:t>
      </w:r>
      <w:r w:rsidR="00ED2F3B" w:rsidRPr="00142075">
        <w:rPr>
          <w:b/>
          <w:bCs/>
        </w:rPr>
        <w:t xml:space="preserve"> </w:t>
      </w:r>
      <w:r w:rsidR="002C62B7" w:rsidRPr="00142075">
        <w:rPr>
          <w:b/>
          <w:bCs/>
        </w:rPr>
        <w:t>supply</w:t>
      </w:r>
      <w:r w:rsidR="00681A1E" w:rsidRPr="00142075">
        <w:rPr>
          <w:b/>
          <w:bCs/>
        </w:rPr>
        <w:t xml:space="preserve"> and demand</w:t>
      </w:r>
      <w:r w:rsidR="002C62B7" w:rsidRPr="00142075">
        <w:rPr>
          <w:b/>
          <w:bCs/>
        </w:rPr>
        <w:t xml:space="preserve"> </w:t>
      </w:r>
      <w:r w:rsidR="008379F1" w:rsidRPr="006B018A">
        <w:t>across a range of sectors</w:t>
      </w:r>
      <w:r w:rsidR="008379F1">
        <w:t>, including those in the foundational economy</w:t>
      </w:r>
      <w:r w:rsidR="003409BE" w:rsidRPr="003409BE">
        <w:t xml:space="preserve"> </w:t>
      </w:r>
      <w:r w:rsidR="000A014C">
        <w:t>such as</w:t>
      </w:r>
      <w:r w:rsidR="003409BE" w:rsidRPr="003409BE">
        <w:t xml:space="preserve"> </w:t>
      </w:r>
      <w:r w:rsidR="00B83362">
        <w:t xml:space="preserve">food and drink, </w:t>
      </w:r>
      <w:r w:rsidR="00B83362" w:rsidRPr="007731B3">
        <w:t>hospitality</w:t>
      </w:r>
      <w:r w:rsidR="00B83362">
        <w:t>,</w:t>
      </w:r>
      <w:r w:rsidR="00B83362" w:rsidRPr="007731B3">
        <w:t xml:space="preserve"> </w:t>
      </w:r>
      <w:r w:rsidR="007731B3" w:rsidRPr="007731B3">
        <w:t>retail, leisure</w:t>
      </w:r>
      <w:r w:rsidR="00B83362">
        <w:t xml:space="preserve"> </w:t>
      </w:r>
      <w:r w:rsidR="007731B3" w:rsidRPr="007731B3">
        <w:t>and</w:t>
      </w:r>
      <w:r w:rsidR="00B83362">
        <w:t xml:space="preserve"> their</w:t>
      </w:r>
      <w:r w:rsidR="007731B3" w:rsidRPr="007731B3">
        <w:t xml:space="preserve"> </w:t>
      </w:r>
      <w:r w:rsidR="00D05185">
        <w:t xml:space="preserve">associated </w:t>
      </w:r>
      <w:r w:rsidR="007731B3" w:rsidRPr="007731B3">
        <w:t>supply-chain businesses</w:t>
      </w:r>
      <w:r w:rsidR="003409BE" w:rsidRPr="003409BE">
        <w:t>.</w:t>
      </w:r>
      <w:r w:rsidR="003D7095">
        <w:t xml:space="preserve"> </w:t>
      </w:r>
    </w:p>
    <w:p w14:paraId="2DF153E7" w14:textId="74E7E2CD" w:rsidR="000A014C" w:rsidRDefault="0057266C" w:rsidP="00142075">
      <w:r>
        <w:t xml:space="preserve">This might </w:t>
      </w:r>
      <w:r w:rsidR="003D7095">
        <w:t xml:space="preserve">include </w:t>
      </w:r>
      <w:r w:rsidR="00957536">
        <w:t>seeking new approaches to:</w:t>
      </w:r>
      <w:r w:rsidR="003D7095" w:rsidRPr="00DB3602">
        <w:t xml:space="preserve"> </w:t>
      </w:r>
    </w:p>
    <w:p w14:paraId="751327BF" w14:textId="17844E0D" w:rsidR="00414996" w:rsidRDefault="003C0446" w:rsidP="000A014C">
      <w:pPr>
        <w:pStyle w:val="ListParagraph"/>
        <w:numPr>
          <w:ilvl w:val="0"/>
          <w:numId w:val="25"/>
        </w:numPr>
      </w:pPr>
      <w:r>
        <w:t>P</w:t>
      </w:r>
      <w:r w:rsidR="00C72A90">
        <w:t>romot</w:t>
      </w:r>
      <w:r w:rsidR="00DA1317">
        <w:t>ing</w:t>
      </w:r>
      <w:r w:rsidR="00C72A90">
        <w:t xml:space="preserve"> local products, independent </w:t>
      </w:r>
      <w:r w:rsidR="009B035F">
        <w:t>outlets,</w:t>
      </w:r>
      <w:r w:rsidR="00C72A90">
        <w:t xml:space="preserve"> and local markets </w:t>
      </w:r>
      <w:r w:rsidR="00C76567">
        <w:t xml:space="preserve">to wider audiences </w:t>
      </w:r>
      <w:r w:rsidR="00C72A90">
        <w:t xml:space="preserve">with </w:t>
      </w:r>
      <w:r w:rsidR="003D7095" w:rsidRPr="00DB3602">
        <w:t>more place-based authenticity</w:t>
      </w:r>
    </w:p>
    <w:p w14:paraId="4FB098EE" w14:textId="63EF4269" w:rsidR="00EA3609" w:rsidRDefault="00EA3609" w:rsidP="00EA3609">
      <w:pPr>
        <w:pStyle w:val="ListParagraph"/>
        <w:numPr>
          <w:ilvl w:val="0"/>
          <w:numId w:val="25"/>
        </w:numPr>
      </w:pPr>
      <w:r>
        <w:t>Support</w:t>
      </w:r>
      <w:r w:rsidR="00DA1317">
        <w:t>ing</w:t>
      </w:r>
      <w:r>
        <w:t xml:space="preserve"> the development and expansion of Social Enterprise</w:t>
      </w:r>
      <w:r w:rsidR="00515158">
        <w:t xml:space="preserve"> </w:t>
      </w:r>
    </w:p>
    <w:p w14:paraId="7782E7E0" w14:textId="4907C8A6" w:rsidR="00414996" w:rsidRDefault="0032155E" w:rsidP="000A014C">
      <w:pPr>
        <w:pStyle w:val="ListParagraph"/>
        <w:numPr>
          <w:ilvl w:val="0"/>
          <w:numId w:val="25"/>
        </w:numPr>
      </w:pPr>
      <w:r>
        <w:t>D</w:t>
      </w:r>
      <w:r w:rsidR="005E5910">
        <w:t>evelop</w:t>
      </w:r>
      <w:r w:rsidR="00035E60">
        <w:t>ing</w:t>
      </w:r>
      <w:r w:rsidR="00832422" w:rsidRPr="00142075">
        <w:t xml:space="preserve"> local produce in the supply chain and</w:t>
      </w:r>
      <w:r w:rsidR="003B052C">
        <w:t xml:space="preserve"> establishing</w:t>
      </w:r>
      <w:r w:rsidR="00832422" w:rsidRPr="00142075">
        <w:t xml:space="preserve"> 'buy local' initiatives</w:t>
      </w:r>
      <w:r w:rsidR="009831F3" w:rsidRPr="00142075">
        <w:t>.</w:t>
      </w:r>
      <w:r w:rsidR="009831F3">
        <w:t xml:space="preserve"> </w:t>
      </w:r>
    </w:p>
    <w:p w14:paraId="66547945" w14:textId="621DD4F8" w:rsidR="005A2FB0" w:rsidRDefault="0032155E" w:rsidP="000A014C">
      <w:pPr>
        <w:pStyle w:val="ListParagraph"/>
        <w:numPr>
          <w:ilvl w:val="0"/>
          <w:numId w:val="25"/>
        </w:numPr>
      </w:pPr>
      <w:r>
        <w:t>I</w:t>
      </w:r>
      <w:r w:rsidR="00FA1614">
        <w:t>ntroduc</w:t>
      </w:r>
      <w:r w:rsidR="0097294C">
        <w:t>in</w:t>
      </w:r>
      <w:r w:rsidR="00B3676C">
        <w:t>g</w:t>
      </w:r>
      <w:r w:rsidR="005A2FB0">
        <w:t xml:space="preserve"> </w:t>
      </w:r>
      <w:r w:rsidR="00FA1614">
        <w:t>innovative products/services, or e-platforms, to enhance the diversity and resilience of supply chains, in collaboration with industry bodies (e.g. food and drink, events, logistics, etc.)</w:t>
      </w:r>
      <w:r w:rsidR="00690858">
        <w:t xml:space="preserve"> </w:t>
      </w:r>
    </w:p>
    <w:p w14:paraId="6595A90D" w14:textId="275AC3DB" w:rsidR="00FC6EAD" w:rsidRPr="00FC6EAD" w:rsidRDefault="0032155E" w:rsidP="00FC6EAD">
      <w:pPr>
        <w:pStyle w:val="ListParagraph"/>
        <w:numPr>
          <w:ilvl w:val="0"/>
          <w:numId w:val="25"/>
        </w:numPr>
      </w:pPr>
      <w:r>
        <w:t>D</w:t>
      </w:r>
      <w:r w:rsidR="005A2FB0">
        <w:t>evelop</w:t>
      </w:r>
      <w:r w:rsidR="00044196">
        <w:t>ing</w:t>
      </w:r>
      <w:r w:rsidR="001C75B9">
        <w:t xml:space="preserve"> p</w:t>
      </w:r>
      <w:r w:rsidR="00FA1614">
        <w:t xml:space="preserve">roactive approaches </w:t>
      </w:r>
      <w:r w:rsidR="00D601CE">
        <w:t>by</w:t>
      </w:r>
      <w:r w:rsidR="00FA1614">
        <w:t xml:space="preserve"> anchor employers in localities including </w:t>
      </w:r>
      <w:r w:rsidR="00251C8A">
        <w:t xml:space="preserve">those which </w:t>
      </w:r>
      <w:r w:rsidR="00FA1614">
        <w:t>encourage</w:t>
      </w:r>
      <w:r w:rsidR="00251C8A">
        <w:t xml:space="preserve"> and </w:t>
      </w:r>
      <w:r w:rsidR="00FA1614">
        <w:t>incentivis</w:t>
      </w:r>
      <w:r w:rsidR="00251C8A">
        <w:t>e</w:t>
      </w:r>
      <w:r w:rsidR="00FA1614">
        <w:t xml:space="preserve"> shopping locally.</w:t>
      </w:r>
    </w:p>
    <w:p w14:paraId="5B8F4B97" w14:textId="48E31166" w:rsidR="00685A33" w:rsidRDefault="00685A33" w:rsidP="005D05B1">
      <w:r w:rsidRPr="00803C71">
        <w:t xml:space="preserve">The following are examples of </w:t>
      </w:r>
      <w:r w:rsidRPr="00136D1A">
        <w:rPr>
          <w:b/>
        </w:rPr>
        <w:t>Outcomes</w:t>
      </w:r>
      <w:r w:rsidRPr="0082469F">
        <w:rPr>
          <w:bCs/>
        </w:rPr>
        <w:t xml:space="preserve"> </w:t>
      </w:r>
      <w:r w:rsidR="00361D22">
        <w:t>because of</w:t>
      </w:r>
      <w:r>
        <w:t xml:space="preserve"> this funding priority</w:t>
      </w:r>
      <w:r w:rsidRPr="00803C71">
        <w:t>:</w:t>
      </w:r>
    </w:p>
    <w:p w14:paraId="6BC28109" w14:textId="4AF0EDDD" w:rsidR="001224C5" w:rsidRDefault="005D05B1" w:rsidP="005D05B1">
      <w:pPr>
        <w:pStyle w:val="ListParagraph"/>
        <w:numPr>
          <w:ilvl w:val="0"/>
          <w:numId w:val="28"/>
        </w:numPr>
      </w:pPr>
      <w:r>
        <w:t>Increased</w:t>
      </w:r>
      <w:r w:rsidR="00396F51">
        <w:t xml:space="preserve"> awareness of </w:t>
      </w:r>
      <w:r w:rsidR="00F2557A">
        <w:t xml:space="preserve">local </w:t>
      </w:r>
      <w:r w:rsidR="00D27F02">
        <w:t xml:space="preserve">produce </w:t>
      </w:r>
      <w:r w:rsidR="004F055C">
        <w:t xml:space="preserve">options </w:t>
      </w:r>
      <w:r w:rsidR="000927CF">
        <w:t xml:space="preserve">across </w:t>
      </w:r>
      <w:r w:rsidR="00DE0929">
        <w:t>public</w:t>
      </w:r>
      <w:r w:rsidR="001603E9">
        <w:t>, VCSE</w:t>
      </w:r>
      <w:r w:rsidR="00DE0929">
        <w:t xml:space="preserve"> and private sector workforce</w:t>
      </w:r>
      <w:r w:rsidR="006D1146">
        <w:t>s</w:t>
      </w:r>
    </w:p>
    <w:p w14:paraId="77403DB5" w14:textId="4D02494A" w:rsidR="00D93235" w:rsidRDefault="00D93235" w:rsidP="005D05B1">
      <w:pPr>
        <w:pStyle w:val="ListParagraph"/>
        <w:numPr>
          <w:ilvl w:val="0"/>
          <w:numId w:val="28"/>
        </w:numPr>
      </w:pPr>
      <w:r>
        <w:lastRenderedPageBreak/>
        <w:t>Introduction of new</w:t>
      </w:r>
      <w:r w:rsidR="006557CD">
        <w:t xml:space="preserve"> suppliers and new</w:t>
      </w:r>
      <w:r>
        <w:t xml:space="preserve"> products</w:t>
      </w:r>
      <w:r w:rsidR="006557CD">
        <w:t xml:space="preserve"> and services</w:t>
      </w:r>
      <w:r>
        <w:t xml:space="preserve"> </w:t>
      </w:r>
      <w:r w:rsidR="00D04E6B">
        <w:t xml:space="preserve">in </w:t>
      </w:r>
      <w:r w:rsidR="00451C97">
        <w:t>local supply chains</w:t>
      </w:r>
    </w:p>
    <w:p w14:paraId="00F77A34" w14:textId="40E055CF" w:rsidR="0082469F" w:rsidRPr="006B018A" w:rsidRDefault="0082469F" w:rsidP="005D05B1">
      <w:pPr>
        <w:pStyle w:val="ListParagraph"/>
        <w:numPr>
          <w:ilvl w:val="0"/>
          <w:numId w:val="28"/>
        </w:numPr>
      </w:pPr>
      <w:r w:rsidRPr="006B018A">
        <w:t>Increased adoption of digital and green technologies within</w:t>
      </w:r>
      <w:r w:rsidR="00920491">
        <w:t xml:space="preserve"> </w:t>
      </w:r>
      <w:r w:rsidR="00EA5F51">
        <w:t>local production and distribution</w:t>
      </w:r>
      <w:r w:rsidRPr="006B018A">
        <w:t xml:space="preserve"> </w:t>
      </w:r>
      <w:r w:rsidR="007F53F2">
        <w:t>and local provision of services</w:t>
      </w:r>
    </w:p>
    <w:p w14:paraId="3117C0EF" w14:textId="6A63F8BD" w:rsidR="0082469F" w:rsidRPr="006B018A" w:rsidRDefault="0082469F" w:rsidP="005D05B1">
      <w:pPr>
        <w:pStyle w:val="ListParagraph"/>
        <w:numPr>
          <w:ilvl w:val="0"/>
          <w:numId w:val="28"/>
        </w:numPr>
      </w:pPr>
      <w:r w:rsidRPr="006B018A">
        <w:t xml:space="preserve">Increased collaboration between </w:t>
      </w:r>
      <w:r w:rsidR="00EA5F51">
        <w:t xml:space="preserve">local producers and </w:t>
      </w:r>
      <w:r w:rsidR="00274667">
        <w:t>local outlets</w:t>
      </w:r>
    </w:p>
    <w:p w14:paraId="05D562B5" w14:textId="305EAAEB" w:rsidR="0082469F" w:rsidRPr="006B018A" w:rsidRDefault="0082469F" w:rsidP="005D05B1">
      <w:pPr>
        <w:pStyle w:val="ListParagraph"/>
        <w:numPr>
          <w:ilvl w:val="0"/>
          <w:numId w:val="28"/>
        </w:numPr>
      </w:pPr>
      <w:r w:rsidRPr="006B018A">
        <w:t>Improve</w:t>
      </w:r>
      <w:r w:rsidR="00036F4F">
        <w:t>d</w:t>
      </w:r>
      <w:r w:rsidRPr="006B018A">
        <w:t xml:space="preserve"> productivity, turnover and resilience of local supply chains</w:t>
      </w:r>
    </w:p>
    <w:p w14:paraId="66386FED" w14:textId="77777777" w:rsidR="0082469F" w:rsidRPr="006B018A" w:rsidRDefault="0082469F" w:rsidP="005D05B1">
      <w:pPr>
        <w:pStyle w:val="ListParagraph"/>
        <w:numPr>
          <w:ilvl w:val="0"/>
          <w:numId w:val="28"/>
        </w:numPr>
      </w:pPr>
      <w:r w:rsidRPr="006B018A">
        <w:t>Improved marketing of local produce and services through stronger place-based branding and subregional B2B relationships</w:t>
      </w:r>
    </w:p>
    <w:p w14:paraId="7E2A1FDB" w14:textId="26DFE471" w:rsidR="00A71F7B" w:rsidRPr="00803C71" w:rsidRDefault="00A71F7B" w:rsidP="004A7CDB">
      <w:pPr>
        <w:rPr>
          <w:lang w:eastAsia="en-GB"/>
        </w:rPr>
      </w:pPr>
      <w:r w:rsidRPr="00803C71">
        <w:rPr>
          <w:lang w:eastAsia="en-GB"/>
        </w:rPr>
        <w:t xml:space="preserve">Proposals </w:t>
      </w:r>
      <w:r w:rsidR="001126C1">
        <w:rPr>
          <w:lang w:eastAsia="en-GB"/>
        </w:rPr>
        <w:t>across both funding priorities</w:t>
      </w:r>
      <w:r w:rsidRPr="00803C71">
        <w:rPr>
          <w:lang w:eastAsia="en-GB"/>
        </w:rPr>
        <w:t xml:space="preserve"> should deliver against</w:t>
      </w:r>
      <w:r w:rsidR="0024300D">
        <w:rPr>
          <w:lang w:eastAsia="en-GB"/>
        </w:rPr>
        <w:t xml:space="preserve"> several of</w:t>
      </w:r>
      <w:r w:rsidRPr="00803C71">
        <w:rPr>
          <w:lang w:eastAsia="en-GB"/>
        </w:rPr>
        <w:t xml:space="preserve"> the following NTCA </w:t>
      </w:r>
      <w:r w:rsidRPr="00B91E0A">
        <w:rPr>
          <w:b/>
          <w:lang w:eastAsia="en-GB"/>
        </w:rPr>
        <w:t>Outputs</w:t>
      </w:r>
      <w:r w:rsidRPr="00803C71">
        <w:rPr>
          <w:bCs/>
          <w:lang w:eastAsia="en-GB"/>
        </w:rPr>
        <w:t xml:space="preserve"> and performance Indicators</w:t>
      </w:r>
      <w:r w:rsidRPr="00803C71">
        <w:rPr>
          <w:lang w:eastAsia="en-GB"/>
        </w:rPr>
        <w:t>: </w:t>
      </w:r>
    </w:p>
    <w:p w14:paraId="12627C3A" w14:textId="77777777" w:rsidR="00A71F7B" w:rsidRPr="00BA2139" w:rsidRDefault="00A71F7B" w:rsidP="004A7CDB">
      <w:pPr>
        <w:pStyle w:val="ListParagraph"/>
        <w:numPr>
          <w:ilvl w:val="0"/>
          <w:numId w:val="14"/>
        </w:numPr>
        <w:rPr>
          <w:lang w:eastAsia="en-GB"/>
        </w:rPr>
      </w:pPr>
      <w:r w:rsidRPr="00BA2139">
        <w:rPr>
          <w:lang w:eastAsia="en-GB"/>
        </w:rPr>
        <w:t>Direct jobs created</w:t>
      </w:r>
    </w:p>
    <w:p w14:paraId="67446D52" w14:textId="77777777" w:rsidR="00A71F7B" w:rsidRPr="00BA2139" w:rsidRDefault="00A71F7B" w:rsidP="004A7CDB">
      <w:pPr>
        <w:pStyle w:val="ListParagraph"/>
        <w:numPr>
          <w:ilvl w:val="0"/>
          <w:numId w:val="14"/>
        </w:numPr>
        <w:rPr>
          <w:lang w:eastAsia="en-GB"/>
        </w:rPr>
      </w:pPr>
      <w:r w:rsidRPr="00BA2139">
        <w:rPr>
          <w:lang w:eastAsia="en-GB"/>
        </w:rPr>
        <w:t>Indirect jobs created</w:t>
      </w:r>
    </w:p>
    <w:p w14:paraId="4722E218" w14:textId="77777777" w:rsidR="00A71F7B" w:rsidRPr="00BA2139" w:rsidRDefault="00A71F7B" w:rsidP="004A7CDB">
      <w:pPr>
        <w:pStyle w:val="ListParagraph"/>
        <w:numPr>
          <w:ilvl w:val="0"/>
          <w:numId w:val="14"/>
        </w:numPr>
        <w:rPr>
          <w:rFonts w:eastAsia="Times New Roman"/>
          <w:lang w:eastAsia="en-GB"/>
        </w:rPr>
      </w:pPr>
      <w:r w:rsidRPr="00BA2139">
        <w:rPr>
          <w:lang w:eastAsia="en-GB"/>
        </w:rPr>
        <w:t>Direct jobs safeguarded</w:t>
      </w:r>
      <w:r w:rsidRPr="00BA2139">
        <w:rPr>
          <w:rFonts w:eastAsia="Times New Roman"/>
          <w:lang w:eastAsia="en-GB"/>
        </w:rPr>
        <w:t> </w:t>
      </w:r>
    </w:p>
    <w:p w14:paraId="20487D80" w14:textId="77777777" w:rsidR="00A71F7B" w:rsidRPr="00BA2139" w:rsidRDefault="00A71F7B" w:rsidP="004A7CDB">
      <w:pPr>
        <w:pStyle w:val="ListParagraph"/>
        <w:numPr>
          <w:ilvl w:val="0"/>
          <w:numId w:val="14"/>
        </w:numPr>
        <w:rPr>
          <w:rFonts w:eastAsia="Times New Roman"/>
          <w:lang w:eastAsia="en-GB"/>
        </w:rPr>
      </w:pPr>
      <w:r w:rsidRPr="00BA2139">
        <w:rPr>
          <w:lang w:eastAsia="en-GB"/>
        </w:rPr>
        <w:t>Indirect jobs safeguarded</w:t>
      </w:r>
      <w:r w:rsidRPr="00BA2139">
        <w:rPr>
          <w:rFonts w:eastAsia="Times New Roman"/>
          <w:lang w:eastAsia="en-GB"/>
        </w:rPr>
        <w:t> </w:t>
      </w:r>
    </w:p>
    <w:p w14:paraId="1803559E" w14:textId="18F7515E" w:rsidR="00A71F7B" w:rsidRPr="00BA2139" w:rsidRDefault="00A71F7B" w:rsidP="004A7CDB">
      <w:pPr>
        <w:pStyle w:val="ListParagraph"/>
        <w:numPr>
          <w:ilvl w:val="0"/>
          <w:numId w:val="14"/>
        </w:numPr>
        <w:rPr>
          <w:lang w:eastAsia="en-GB"/>
        </w:rPr>
      </w:pPr>
      <w:r w:rsidRPr="00BA2139">
        <w:rPr>
          <w:lang w:eastAsia="en-GB"/>
        </w:rPr>
        <w:t>Private sector leverage</w:t>
      </w:r>
    </w:p>
    <w:p w14:paraId="52F85821" w14:textId="77777777" w:rsidR="00A71F7B" w:rsidRPr="00BA2139" w:rsidRDefault="00A71F7B" w:rsidP="004A7CDB">
      <w:pPr>
        <w:pStyle w:val="ListParagraph"/>
        <w:numPr>
          <w:ilvl w:val="0"/>
          <w:numId w:val="14"/>
        </w:numPr>
        <w:rPr>
          <w:lang w:eastAsia="en-GB"/>
        </w:rPr>
      </w:pPr>
      <w:r w:rsidRPr="00BA2139">
        <w:rPr>
          <w:lang w:eastAsia="en-GB"/>
        </w:rPr>
        <w:t>Number of apprenticeship/ traineeship opportunities achieved.</w:t>
      </w:r>
    </w:p>
    <w:p w14:paraId="1C59B9A4" w14:textId="77777777" w:rsidR="00A71F7B" w:rsidRPr="00BA2139" w:rsidRDefault="00A71F7B" w:rsidP="004A7CDB">
      <w:pPr>
        <w:pStyle w:val="ListParagraph"/>
        <w:numPr>
          <w:ilvl w:val="0"/>
          <w:numId w:val="14"/>
        </w:numPr>
        <w:rPr>
          <w:lang w:eastAsia="en-GB"/>
        </w:rPr>
      </w:pPr>
      <w:r w:rsidRPr="00BA2139">
        <w:rPr>
          <w:lang w:eastAsia="en-GB"/>
        </w:rPr>
        <w:t>Number of enterprises receiving support</w:t>
      </w:r>
    </w:p>
    <w:p w14:paraId="39337F47" w14:textId="77777777" w:rsidR="00A71F7B" w:rsidRPr="00BA2139" w:rsidRDefault="00A71F7B" w:rsidP="004A7CDB">
      <w:pPr>
        <w:pStyle w:val="ListParagraph"/>
        <w:numPr>
          <w:ilvl w:val="0"/>
          <w:numId w:val="14"/>
        </w:numPr>
        <w:rPr>
          <w:lang w:eastAsia="en-GB"/>
        </w:rPr>
      </w:pPr>
      <w:r w:rsidRPr="00BA2139">
        <w:rPr>
          <w:lang w:eastAsia="en-GB"/>
        </w:rPr>
        <w:t>Number of enterprises receiving grants</w:t>
      </w:r>
    </w:p>
    <w:p w14:paraId="22751098" w14:textId="2973BD01" w:rsidR="00A71F7B" w:rsidRPr="00BA2139" w:rsidRDefault="00A71F7B" w:rsidP="004A7CDB">
      <w:pPr>
        <w:pStyle w:val="ListParagraph"/>
        <w:numPr>
          <w:ilvl w:val="0"/>
          <w:numId w:val="14"/>
        </w:numPr>
        <w:rPr>
          <w:lang w:eastAsia="en-GB"/>
        </w:rPr>
      </w:pPr>
      <w:r w:rsidRPr="00A43262">
        <w:t>Number of new enterprises starting up</w:t>
      </w:r>
    </w:p>
    <w:p w14:paraId="000A6500" w14:textId="77777777" w:rsidR="00A71F7B" w:rsidRPr="00803C71" w:rsidRDefault="00A71F7B" w:rsidP="004A7CDB">
      <w:pPr>
        <w:rPr>
          <w:bCs/>
          <w:lang w:eastAsia="en-GB"/>
        </w:rPr>
      </w:pPr>
      <w:r w:rsidRPr="00803C71">
        <w:rPr>
          <w:lang w:eastAsia="en-GB"/>
        </w:rPr>
        <w:t xml:space="preserve">A full list of all NTCA </w:t>
      </w:r>
      <w:r w:rsidRPr="00B91E0A">
        <w:rPr>
          <w:b/>
          <w:bCs/>
          <w:lang w:eastAsia="en-GB"/>
        </w:rPr>
        <w:t>Outputs</w:t>
      </w:r>
      <w:r w:rsidRPr="00803C71">
        <w:rPr>
          <w:lang w:eastAsia="en-GB"/>
        </w:rPr>
        <w:t xml:space="preserve"> and associated guidance is included with the project proposal form.</w:t>
      </w:r>
    </w:p>
    <w:p w14:paraId="0B237A8D" w14:textId="5AC2201B" w:rsidR="00A71F7B" w:rsidRPr="00BA2139" w:rsidRDefault="00A71F7B" w:rsidP="008E581B">
      <w:pPr>
        <w:pStyle w:val="Heading2"/>
      </w:pPr>
      <w:r w:rsidRPr="00BA2139">
        <w:t>Summary of Call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8331"/>
      </w:tblGrid>
      <w:tr w:rsidR="00C85C88" w:rsidRPr="00803C71" w14:paraId="4C4A21FA" w14:textId="77777777" w:rsidTr="009A7D49">
        <w:trPr>
          <w:trHeight w:val="670"/>
        </w:trPr>
        <w:tc>
          <w:tcPr>
            <w:tcW w:w="1016" w:type="pct"/>
            <w:tcBorders>
              <w:top w:val="single" w:sz="4" w:space="0" w:color="auto"/>
              <w:left w:val="single" w:sz="4" w:space="0" w:color="auto"/>
              <w:bottom w:val="single" w:sz="4" w:space="0" w:color="auto"/>
              <w:right w:val="single" w:sz="4" w:space="0" w:color="auto"/>
            </w:tcBorders>
          </w:tcPr>
          <w:p w14:paraId="6FD9A996" w14:textId="5FEC6649" w:rsidR="00C85C88" w:rsidRPr="008E581B" w:rsidRDefault="00C85C88" w:rsidP="00C85C88">
            <w:pPr>
              <w:rPr>
                <w:b/>
                <w:bCs/>
              </w:rPr>
            </w:pPr>
            <w:bookmarkStart w:id="0" w:name="_Hlk3993158"/>
            <w:r w:rsidRPr="008E581B">
              <w:rPr>
                <w:b/>
                <w:bCs/>
              </w:rPr>
              <w:t>Dates</w:t>
            </w:r>
          </w:p>
        </w:tc>
        <w:tc>
          <w:tcPr>
            <w:tcW w:w="3984" w:type="pct"/>
            <w:tcBorders>
              <w:top w:val="single" w:sz="4" w:space="0" w:color="auto"/>
              <w:left w:val="single" w:sz="4" w:space="0" w:color="auto"/>
              <w:bottom w:val="single" w:sz="4" w:space="0" w:color="auto"/>
              <w:right w:val="single" w:sz="4" w:space="0" w:color="auto"/>
            </w:tcBorders>
          </w:tcPr>
          <w:p w14:paraId="41148BF6" w14:textId="2D9FA25B" w:rsidR="00C85C88" w:rsidRPr="00A05B3E" w:rsidRDefault="00C85C88" w:rsidP="00C85C88">
            <w:r w:rsidRPr="00790B72">
              <w:t>The Recovery Innovation Deal –</w:t>
            </w:r>
            <w:r>
              <w:t xml:space="preserve"> </w:t>
            </w:r>
            <w:r w:rsidRPr="00790B72">
              <w:t>Tourism and Local Delivery Models</w:t>
            </w:r>
            <w:r>
              <w:t xml:space="preserve"> </w:t>
            </w:r>
            <w:r w:rsidRPr="00790B72">
              <w:t>call</w:t>
            </w:r>
            <w:r>
              <w:t xml:space="preserve"> </w:t>
            </w:r>
            <w:r w:rsidRPr="00790B72">
              <w:t xml:space="preserve">for a partner will open </w:t>
            </w:r>
            <w:r>
              <w:t xml:space="preserve">on </w:t>
            </w:r>
            <w:r w:rsidR="00AA269C">
              <w:t>Wednesday 5 May</w:t>
            </w:r>
            <w:r>
              <w:t xml:space="preserve"> 2021 and close at midnight on </w:t>
            </w:r>
            <w:r w:rsidR="001B37BC">
              <w:t>Wednesday 16 June</w:t>
            </w:r>
            <w:r>
              <w:t xml:space="preserve"> 2021. With an award </w:t>
            </w:r>
            <w:r w:rsidR="001B37BC">
              <w:t xml:space="preserve">around </w:t>
            </w:r>
            <w:r w:rsidR="00A1383F">
              <w:t xml:space="preserve">mid-July </w:t>
            </w:r>
            <w:r>
              <w:t xml:space="preserve">2021, the programme is expected to go live in </w:t>
            </w:r>
            <w:r w:rsidR="00A1383F">
              <w:t xml:space="preserve">late </w:t>
            </w:r>
            <w:r>
              <w:t>Summer 2021.</w:t>
            </w:r>
            <w:r w:rsidRPr="00EC038C" w:rsidDel="00C66A51">
              <w:rPr>
                <w:highlight w:val="yellow"/>
              </w:rPr>
              <w:t xml:space="preserve"> </w:t>
            </w:r>
          </w:p>
        </w:tc>
      </w:tr>
      <w:tr w:rsidR="00C85C88" w:rsidRPr="00803C71" w14:paraId="6F0A7F68" w14:textId="77777777" w:rsidTr="009A7D49">
        <w:trPr>
          <w:trHeight w:val="670"/>
        </w:trPr>
        <w:tc>
          <w:tcPr>
            <w:tcW w:w="1016" w:type="pct"/>
            <w:tcBorders>
              <w:top w:val="single" w:sz="4" w:space="0" w:color="auto"/>
              <w:left w:val="single" w:sz="4" w:space="0" w:color="auto"/>
              <w:bottom w:val="single" w:sz="4" w:space="0" w:color="auto"/>
              <w:right w:val="single" w:sz="4" w:space="0" w:color="auto"/>
            </w:tcBorders>
            <w:hideMark/>
          </w:tcPr>
          <w:p w14:paraId="530643D8" w14:textId="69DAEF76" w:rsidR="00C85C88" w:rsidRPr="008E581B" w:rsidRDefault="00C85C88" w:rsidP="00C85C88">
            <w:pPr>
              <w:rPr>
                <w:b/>
                <w:bCs/>
              </w:rPr>
            </w:pPr>
            <w:r w:rsidRPr="008E581B">
              <w:rPr>
                <w:b/>
                <w:bCs/>
              </w:rPr>
              <w:t>Indicative Fund Allocation</w:t>
            </w:r>
          </w:p>
        </w:tc>
        <w:tc>
          <w:tcPr>
            <w:tcW w:w="3984" w:type="pct"/>
            <w:tcBorders>
              <w:top w:val="single" w:sz="4" w:space="0" w:color="auto"/>
              <w:left w:val="single" w:sz="4" w:space="0" w:color="auto"/>
              <w:bottom w:val="single" w:sz="4" w:space="0" w:color="auto"/>
              <w:right w:val="single" w:sz="4" w:space="0" w:color="auto"/>
            </w:tcBorders>
            <w:hideMark/>
          </w:tcPr>
          <w:p w14:paraId="1100FB50" w14:textId="77777777" w:rsidR="00C85C88" w:rsidRDefault="00C85C88" w:rsidP="00C85C88">
            <w:r w:rsidRPr="00920443">
              <w:t>£1m (including programme delivery costs).</w:t>
            </w:r>
          </w:p>
          <w:p w14:paraId="2036BD57" w14:textId="6DB5E59B" w:rsidR="00C85C88" w:rsidRPr="00803C71" w:rsidRDefault="00C85C88" w:rsidP="00C85C88">
            <w:r w:rsidRPr="00920443">
              <w:t>NTCA reserves the right to decrease or increase the indicative allocation or support more or fewer proposals subject to the volume and quality of proposals received.</w:t>
            </w:r>
          </w:p>
        </w:tc>
      </w:tr>
      <w:tr w:rsidR="00C85C88" w:rsidRPr="00803C71" w14:paraId="1B32868D" w14:textId="77777777" w:rsidTr="009A7D49">
        <w:trPr>
          <w:trHeight w:val="525"/>
        </w:trPr>
        <w:tc>
          <w:tcPr>
            <w:tcW w:w="1016" w:type="pct"/>
            <w:tcBorders>
              <w:top w:val="single" w:sz="4" w:space="0" w:color="auto"/>
              <w:left w:val="single" w:sz="4" w:space="0" w:color="auto"/>
              <w:bottom w:val="single" w:sz="4" w:space="0" w:color="auto"/>
              <w:right w:val="single" w:sz="4" w:space="0" w:color="auto"/>
            </w:tcBorders>
            <w:hideMark/>
          </w:tcPr>
          <w:p w14:paraId="00C69998" w14:textId="1DE77372" w:rsidR="00C85C88" w:rsidRPr="008E581B" w:rsidRDefault="00C85C88" w:rsidP="00C85C88">
            <w:pPr>
              <w:rPr>
                <w:b/>
                <w:bCs/>
              </w:rPr>
            </w:pPr>
            <w:r w:rsidRPr="008E581B">
              <w:rPr>
                <w:b/>
                <w:bCs/>
              </w:rPr>
              <w:t xml:space="preserve">Applications </w:t>
            </w:r>
          </w:p>
        </w:tc>
        <w:tc>
          <w:tcPr>
            <w:tcW w:w="3984" w:type="pct"/>
            <w:tcBorders>
              <w:top w:val="single" w:sz="4" w:space="0" w:color="auto"/>
              <w:left w:val="single" w:sz="4" w:space="0" w:color="auto"/>
              <w:bottom w:val="single" w:sz="4" w:space="0" w:color="auto"/>
              <w:right w:val="single" w:sz="4" w:space="0" w:color="auto"/>
            </w:tcBorders>
          </w:tcPr>
          <w:p w14:paraId="5DFF0368" w14:textId="0C2DC304" w:rsidR="00C85C88" w:rsidRPr="00803C71" w:rsidRDefault="00C85C88" w:rsidP="00C85C88">
            <w:r w:rsidRPr="00920443">
              <w:t>Applicants are expected to show previous experience of cross-sector innovation programme delivery and an ability to deliver across the region, possibly through a consortium.</w:t>
            </w:r>
          </w:p>
        </w:tc>
      </w:tr>
      <w:tr w:rsidR="00C85C88" w:rsidRPr="00803C71" w14:paraId="252C0DDA" w14:textId="77777777" w:rsidTr="009A7D49">
        <w:trPr>
          <w:trHeight w:val="220"/>
        </w:trPr>
        <w:tc>
          <w:tcPr>
            <w:tcW w:w="1016" w:type="pct"/>
            <w:tcBorders>
              <w:top w:val="single" w:sz="4" w:space="0" w:color="auto"/>
              <w:left w:val="single" w:sz="4" w:space="0" w:color="auto"/>
              <w:bottom w:val="single" w:sz="4" w:space="0" w:color="auto"/>
              <w:right w:val="single" w:sz="4" w:space="0" w:color="auto"/>
            </w:tcBorders>
            <w:hideMark/>
          </w:tcPr>
          <w:p w14:paraId="7C607F06" w14:textId="3E65F0CE" w:rsidR="00C85C88" w:rsidRPr="008E581B" w:rsidRDefault="00C85C88" w:rsidP="00C85C88">
            <w:pPr>
              <w:rPr>
                <w:b/>
                <w:bCs/>
              </w:rPr>
            </w:pPr>
            <w:r w:rsidRPr="008E581B">
              <w:rPr>
                <w:b/>
                <w:bCs/>
              </w:rPr>
              <w:t xml:space="preserve">Geographical Scope </w:t>
            </w:r>
          </w:p>
        </w:tc>
        <w:tc>
          <w:tcPr>
            <w:tcW w:w="3984" w:type="pct"/>
            <w:tcBorders>
              <w:top w:val="single" w:sz="4" w:space="0" w:color="auto"/>
              <w:left w:val="single" w:sz="4" w:space="0" w:color="auto"/>
              <w:bottom w:val="single" w:sz="4" w:space="0" w:color="auto"/>
              <w:right w:val="single" w:sz="4" w:space="0" w:color="auto"/>
            </w:tcBorders>
          </w:tcPr>
          <w:p w14:paraId="1CF6050A" w14:textId="47E282E6" w:rsidR="00C85C88" w:rsidRPr="00803C71" w:rsidRDefault="00C85C88" w:rsidP="00C85C88">
            <w:r w:rsidRPr="00803C71">
              <w:t>All interventions should be focused on activity</w:t>
            </w:r>
            <w:r>
              <w:t xml:space="preserve"> and outputs</w:t>
            </w:r>
            <w:r w:rsidRPr="00803C71">
              <w:t xml:space="preserve"> within the North of Tyne area. </w:t>
            </w:r>
          </w:p>
        </w:tc>
      </w:tr>
      <w:tr w:rsidR="00C85C88" w:rsidRPr="00803C71" w14:paraId="5313EA81" w14:textId="77777777" w:rsidTr="009A7D49">
        <w:trPr>
          <w:trHeight w:val="220"/>
        </w:trPr>
        <w:tc>
          <w:tcPr>
            <w:tcW w:w="1016" w:type="pct"/>
            <w:tcBorders>
              <w:top w:val="single" w:sz="4" w:space="0" w:color="auto"/>
              <w:left w:val="single" w:sz="4" w:space="0" w:color="auto"/>
              <w:bottom w:val="single" w:sz="4" w:space="0" w:color="auto"/>
              <w:right w:val="single" w:sz="4" w:space="0" w:color="auto"/>
            </w:tcBorders>
            <w:hideMark/>
          </w:tcPr>
          <w:p w14:paraId="261C2709" w14:textId="2A07B4A8" w:rsidR="00C85C88" w:rsidRPr="008E581B" w:rsidRDefault="00C85C88" w:rsidP="00C85C88">
            <w:pPr>
              <w:rPr>
                <w:b/>
                <w:bCs/>
              </w:rPr>
            </w:pPr>
            <w:r w:rsidRPr="008E581B">
              <w:rPr>
                <w:b/>
                <w:bCs/>
              </w:rPr>
              <w:t xml:space="preserve">Deadlines </w:t>
            </w:r>
          </w:p>
        </w:tc>
        <w:tc>
          <w:tcPr>
            <w:tcW w:w="3984" w:type="pct"/>
            <w:tcBorders>
              <w:top w:val="single" w:sz="4" w:space="0" w:color="auto"/>
              <w:left w:val="single" w:sz="4" w:space="0" w:color="auto"/>
              <w:bottom w:val="single" w:sz="4" w:space="0" w:color="auto"/>
              <w:right w:val="single" w:sz="4" w:space="0" w:color="auto"/>
            </w:tcBorders>
            <w:hideMark/>
          </w:tcPr>
          <w:p w14:paraId="211238A6" w14:textId="192EBA8C" w:rsidR="00C85C88" w:rsidRPr="00803C71" w:rsidRDefault="00C85C88" w:rsidP="00C85C88">
            <w:r w:rsidRPr="007454E9">
              <w:t>For this specific call, applications will be assessed following closure of the call. Applications received after the published call close date will not be considered.</w:t>
            </w:r>
          </w:p>
        </w:tc>
      </w:tr>
      <w:tr w:rsidR="00C85C88" w:rsidRPr="00803C71" w14:paraId="038BC310" w14:textId="77777777" w:rsidTr="009A7D49">
        <w:trPr>
          <w:trHeight w:val="220"/>
        </w:trPr>
        <w:tc>
          <w:tcPr>
            <w:tcW w:w="1016" w:type="pct"/>
            <w:tcBorders>
              <w:top w:val="single" w:sz="4" w:space="0" w:color="auto"/>
              <w:left w:val="single" w:sz="4" w:space="0" w:color="auto"/>
              <w:bottom w:val="single" w:sz="4" w:space="0" w:color="auto"/>
              <w:right w:val="single" w:sz="4" w:space="0" w:color="auto"/>
            </w:tcBorders>
            <w:hideMark/>
          </w:tcPr>
          <w:p w14:paraId="3E184B87" w14:textId="04569073" w:rsidR="00C85C88" w:rsidRPr="008E581B" w:rsidRDefault="00C85C88" w:rsidP="00C85C88">
            <w:pPr>
              <w:rPr>
                <w:b/>
                <w:bCs/>
              </w:rPr>
            </w:pPr>
            <w:r w:rsidRPr="008E581B">
              <w:rPr>
                <w:b/>
                <w:bCs/>
              </w:rPr>
              <w:t xml:space="preserve">Application selection </w:t>
            </w:r>
          </w:p>
        </w:tc>
        <w:tc>
          <w:tcPr>
            <w:tcW w:w="3984" w:type="pct"/>
            <w:tcBorders>
              <w:top w:val="single" w:sz="4" w:space="0" w:color="auto"/>
              <w:left w:val="single" w:sz="4" w:space="0" w:color="auto"/>
              <w:bottom w:val="single" w:sz="4" w:space="0" w:color="auto"/>
              <w:right w:val="single" w:sz="4" w:space="0" w:color="auto"/>
            </w:tcBorders>
            <w:hideMark/>
          </w:tcPr>
          <w:p w14:paraId="45164CC4" w14:textId="4B52D53D" w:rsidR="00C85C88" w:rsidRPr="00803C71" w:rsidRDefault="00C85C88" w:rsidP="00C85C88">
            <w:r w:rsidRPr="00803C71">
              <w:t>All applications will be scored in line with the NTCA assessment criteria included below</w:t>
            </w:r>
            <w:r w:rsidR="00AD4CE0">
              <w:t xml:space="preserve"> with the highest scoring project proposal being subject to a full green book appraisal</w:t>
            </w:r>
            <w:r w:rsidR="00AD4CE0" w:rsidRPr="00803C71">
              <w:t>.</w:t>
            </w:r>
          </w:p>
        </w:tc>
      </w:tr>
      <w:tr w:rsidR="00C85C88" w:rsidRPr="00803C71" w14:paraId="30D6A140" w14:textId="77777777" w:rsidTr="009A7D49">
        <w:trPr>
          <w:trHeight w:val="220"/>
        </w:trPr>
        <w:tc>
          <w:tcPr>
            <w:tcW w:w="1016" w:type="pct"/>
            <w:tcBorders>
              <w:top w:val="single" w:sz="4" w:space="0" w:color="auto"/>
              <w:left w:val="single" w:sz="4" w:space="0" w:color="auto"/>
              <w:bottom w:val="single" w:sz="4" w:space="0" w:color="auto"/>
              <w:right w:val="single" w:sz="4" w:space="0" w:color="auto"/>
            </w:tcBorders>
            <w:hideMark/>
          </w:tcPr>
          <w:p w14:paraId="404AC11F" w14:textId="5B5B603D" w:rsidR="00C85C88" w:rsidRPr="008E581B" w:rsidRDefault="00C85C88" w:rsidP="00C85C88">
            <w:pPr>
              <w:rPr>
                <w:b/>
                <w:bCs/>
              </w:rPr>
            </w:pPr>
            <w:r w:rsidRPr="008E581B">
              <w:rPr>
                <w:b/>
                <w:bCs/>
              </w:rPr>
              <w:t xml:space="preserve">Eligible match funding </w:t>
            </w:r>
          </w:p>
        </w:tc>
        <w:tc>
          <w:tcPr>
            <w:tcW w:w="3984" w:type="pct"/>
            <w:tcBorders>
              <w:top w:val="single" w:sz="4" w:space="0" w:color="auto"/>
              <w:left w:val="single" w:sz="4" w:space="0" w:color="auto"/>
              <w:bottom w:val="single" w:sz="4" w:space="0" w:color="auto"/>
              <w:right w:val="single" w:sz="4" w:space="0" w:color="auto"/>
            </w:tcBorders>
            <w:hideMark/>
          </w:tcPr>
          <w:p w14:paraId="0EDF8AA5" w14:textId="06177AC8" w:rsidR="00C85C88" w:rsidRPr="00803C71" w:rsidRDefault="00C85C88" w:rsidP="00C85C88">
            <w:r w:rsidRPr="00263466">
              <w:t>Delivery partners will not be expected to identify match funding for the Challenge programme itself but should support individual projects to identify match funding, depending on the nature of the project</w:t>
            </w:r>
            <w:r>
              <w:t>s</w:t>
            </w:r>
            <w:r w:rsidRPr="00263466">
              <w:t>.</w:t>
            </w:r>
            <w:r>
              <w:t xml:space="preserve"> Applicants are asked to set out match funding levels for different types of project.</w:t>
            </w:r>
          </w:p>
        </w:tc>
      </w:tr>
      <w:tr w:rsidR="00C85C88" w:rsidRPr="00803C71" w14:paraId="348D30F3" w14:textId="77777777" w:rsidTr="009A7D49">
        <w:trPr>
          <w:trHeight w:val="39"/>
        </w:trPr>
        <w:tc>
          <w:tcPr>
            <w:tcW w:w="1016" w:type="pct"/>
            <w:tcBorders>
              <w:top w:val="single" w:sz="4" w:space="0" w:color="auto"/>
              <w:left w:val="single" w:sz="4" w:space="0" w:color="auto"/>
              <w:bottom w:val="single" w:sz="4" w:space="0" w:color="auto"/>
              <w:right w:val="single" w:sz="4" w:space="0" w:color="auto"/>
            </w:tcBorders>
            <w:hideMark/>
          </w:tcPr>
          <w:p w14:paraId="34F4EEC4" w14:textId="701D0CBB" w:rsidR="00C85C88" w:rsidRPr="008E581B" w:rsidRDefault="00C85C88" w:rsidP="00C85C88">
            <w:pPr>
              <w:rPr>
                <w:b/>
                <w:bCs/>
              </w:rPr>
            </w:pPr>
            <w:r w:rsidRPr="008E581B">
              <w:rPr>
                <w:b/>
                <w:bCs/>
              </w:rPr>
              <w:t xml:space="preserve">Procurement </w:t>
            </w:r>
          </w:p>
        </w:tc>
        <w:tc>
          <w:tcPr>
            <w:tcW w:w="3984" w:type="pct"/>
            <w:tcBorders>
              <w:top w:val="single" w:sz="4" w:space="0" w:color="auto"/>
              <w:left w:val="single" w:sz="4" w:space="0" w:color="auto"/>
              <w:bottom w:val="single" w:sz="4" w:space="0" w:color="auto"/>
              <w:right w:val="single" w:sz="4" w:space="0" w:color="auto"/>
            </w:tcBorders>
            <w:hideMark/>
          </w:tcPr>
          <w:p w14:paraId="337898DD" w14:textId="7B963552" w:rsidR="00C85C88" w:rsidRPr="00803C71" w:rsidRDefault="00C85C88" w:rsidP="00C85C88">
            <w:r w:rsidRPr="00263466">
              <w:t xml:space="preserve">All procurement must be undertaken in line with current </w:t>
            </w:r>
            <w:r>
              <w:t>S</w:t>
            </w:r>
            <w:r w:rsidRPr="00263466">
              <w:t xml:space="preserve">tate </w:t>
            </w:r>
            <w:r>
              <w:t>Ai</w:t>
            </w:r>
            <w:r w:rsidRPr="00263466">
              <w:t>d regulations and the emerging</w:t>
            </w:r>
            <w:r>
              <w:t xml:space="preserve"> </w:t>
            </w:r>
            <w:r w:rsidRPr="00263466">
              <w:t>subsidy control regime.</w:t>
            </w:r>
          </w:p>
        </w:tc>
      </w:tr>
      <w:tr w:rsidR="00C85C88" w:rsidRPr="00803C71" w14:paraId="424EB3F5" w14:textId="77777777" w:rsidTr="009A7D49">
        <w:trPr>
          <w:trHeight w:val="39"/>
        </w:trPr>
        <w:tc>
          <w:tcPr>
            <w:tcW w:w="1016" w:type="pct"/>
            <w:tcBorders>
              <w:top w:val="single" w:sz="4" w:space="0" w:color="auto"/>
              <w:left w:val="single" w:sz="4" w:space="0" w:color="auto"/>
              <w:bottom w:val="single" w:sz="4" w:space="0" w:color="auto"/>
              <w:right w:val="single" w:sz="4" w:space="0" w:color="auto"/>
            </w:tcBorders>
          </w:tcPr>
          <w:p w14:paraId="4D817A2A" w14:textId="4C889269" w:rsidR="00C85C88" w:rsidRPr="008E581B" w:rsidRDefault="00C85C88" w:rsidP="00C85C88">
            <w:pPr>
              <w:rPr>
                <w:b/>
                <w:bCs/>
              </w:rPr>
            </w:pPr>
            <w:r>
              <w:rPr>
                <w:b/>
                <w:bCs/>
              </w:rPr>
              <w:lastRenderedPageBreak/>
              <w:t>Eligible expenditure</w:t>
            </w:r>
          </w:p>
        </w:tc>
        <w:tc>
          <w:tcPr>
            <w:tcW w:w="3984" w:type="pct"/>
            <w:tcBorders>
              <w:top w:val="single" w:sz="4" w:space="0" w:color="auto"/>
              <w:left w:val="single" w:sz="4" w:space="0" w:color="auto"/>
              <w:bottom w:val="single" w:sz="4" w:space="0" w:color="auto"/>
              <w:right w:val="single" w:sz="4" w:space="0" w:color="auto"/>
            </w:tcBorders>
          </w:tcPr>
          <w:p w14:paraId="7B3884E1" w14:textId="3EC1FEC3" w:rsidR="00C85C88" w:rsidRPr="00263466" w:rsidRDefault="00C85C88" w:rsidP="00C85C88">
            <w:r>
              <w:t xml:space="preserve">NTCA funding is paid quarterly in arrears against actual project expenditure. Costs must be able to be fully evidenced through a robust audit trail and be necessary for delivering project activity. </w:t>
            </w:r>
          </w:p>
        </w:tc>
      </w:tr>
      <w:tr w:rsidR="00C85C88" w:rsidRPr="00803C71" w14:paraId="792F9E74" w14:textId="77777777" w:rsidTr="009A7D49">
        <w:trPr>
          <w:trHeight w:val="39"/>
        </w:trPr>
        <w:tc>
          <w:tcPr>
            <w:tcW w:w="1016" w:type="pct"/>
            <w:tcBorders>
              <w:top w:val="single" w:sz="4" w:space="0" w:color="auto"/>
              <w:left w:val="single" w:sz="4" w:space="0" w:color="auto"/>
              <w:bottom w:val="single" w:sz="4" w:space="0" w:color="auto"/>
              <w:right w:val="single" w:sz="4" w:space="0" w:color="auto"/>
            </w:tcBorders>
          </w:tcPr>
          <w:p w14:paraId="279BABE0" w14:textId="5DDFD027" w:rsidR="00C85C88" w:rsidRPr="008E581B" w:rsidRDefault="00C85C88" w:rsidP="00C85C88">
            <w:pPr>
              <w:rPr>
                <w:b/>
                <w:bCs/>
              </w:rPr>
            </w:pPr>
            <w:r w:rsidRPr="008E581B">
              <w:rPr>
                <w:b/>
                <w:bCs/>
              </w:rPr>
              <w:t>Eligible Applicants</w:t>
            </w:r>
          </w:p>
        </w:tc>
        <w:tc>
          <w:tcPr>
            <w:tcW w:w="3984" w:type="pct"/>
            <w:tcBorders>
              <w:top w:val="single" w:sz="4" w:space="0" w:color="auto"/>
              <w:left w:val="single" w:sz="4" w:space="0" w:color="auto"/>
              <w:bottom w:val="single" w:sz="4" w:space="0" w:color="auto"/>
              <w:right w:val="single" w:sz="4" w:space="0" w:color="auto"/>
            </w:tcBorders>
          </w:tcPr>
          <w:p w14:paraId="1A1D82CC" w14:textId="5B8AC176" w:rsidR="00C85C88" w:rsidRPr="00803C71" w:rsidRDefault="00C85C88" w:rsidP="00C85C88">
            <w:r w:rsidRPr="00263466">
              <w:t>Applicants must be legally constituted at the point of signing a Funding Agreement</w:t>
            </w:r>
            <w:r>
              <w:t xml:space="preserve"> </w:t>
            </w:r>
            <w:r w:rsidRPr="00263466">
              <w:t>and</w:t>
            </w:r>
            <w:r>
              <w:t xml:space="preserve"> </w:t>
            </w:r>
            <w:r w:rsidRPr="00263466">
              <w:t>be</w:t>
            </w:r>
            <w:r>
              <w:t xml:space="preserve"> </w:t>
            </w:r>
            <w:r w:rsidRPr="00263466">
              <w:t>able</w:t>
            </w:r>
            <w:r>
              <w:t xml:space="preserve"> </w:t>
            </w:r>
            <w:r w:rsidRPr="00263466">
              <w:t>to</w:t>
            </w:r>
            <w:r>
              <w:t xml:space="preserve"> </w:t>
            </w:r>
            <w:r w:rsidRPr="00263466">
              <w:t>enter</w:t>
            </w:r>
            <w:r>
              <w:t xml:space="preserve"> </w:t>
            </w:r>
            <w:r w:rsidRPr="00263466">
              <w:t>into</w:t>
            </w:r>
            <w:r>
              <w:t xml:space="preserve"> </w:t>
            </w:r>
            <w:r w:rsidRPr="00263466">
              <w:t>a</w:t>
            </w:r>
            <w:r>
              <w:t xml:space="preserve"> </w:t>
            </w:r>
            <w:r w:rsidRPr="00263466">
              <w:t>legally</w:t>
            </w:r>
            <w:r>
              <w:t xml:space="preserve"> </w:t>
            </w:r>
            <w:r w:rsidRPr="00263466">
              <w:t>binding</w:t>
            </w:r>
            <w:r>
              <w:t xml:space="preserve"> </w:t>
            </w:r>
            <w:r w:rsidRPr="00263466">
              <w:t>Funding</w:t>
            </w:r>
            <w:r>
              <w:t xml:space="preserve"> </w:t>
            </w:r>
            <w:r w:rsidRPr="00263466">
              <w:t>Agreement. The Applicant will be the organisation that, if the application is successful, enters a contract with the NTCA and therefore carries the liability for ensuring that the terms of the Funding Agreement are met by them and to all delivery partners.</w:t>
            </w:r>
            <w:r>
              <w:t xml:space="preserve"> </w:t>
            </w:r>
            <w:r w:rsidRPr="00263466">
              <w:t>Applications are encouraged from consortia or other similar types of partnership arrangements; however, a lead organisation must be selected to become the Applicant.</w:t>
            </w:r>
            <w:r>
              <w:t xml:space="preserve"> </w:t>
            </w:r>
            <w:r w:rsidRPr="00263466">
              <w:t>It is this organisation that carries the responsibility and liability for carrying out a compliant project.</w:t>
            </w:r>
          </w:p>
        </w:tc>
      </w:tr>
    </w:tbl>
    <w:bookmarkEnd w:id="0"/>
    <w:p w14:paraId="4F40BCCF" w14:textId="38D23FA2" w:rsidR="00A71F7B" w:rsidRPr="00AB3AE8" w:rsidRDefault="00A71F7B" w:rsidP="008E581B">
      <w:pPr>
        <w:pStyle w:val="Heading2"/>
      </w:pPr>
      <w:r w:rsidRPr="00AB3AE8">
        <w:t>Assessment criteria</w:t>
      </w:r>
    </w:p>
    <w:p w14:paraId="492788BB" w14:textId="4D2741F1" w:rsidR="00A71F7B" w:rsidRPr="00803C71" w:rsidRDefault="00A17F53" w:rsidP="004A7CDB">
      <w:r>
        <w:t>Applications</w:t>
      </w:r>
      <w:r w:rsidR="00A71F7B" w:rsidRPr="00803C71">
        <w:t xml:space="preserve"> will be scored against the following criteria. Applicants should note that</w:t>
      </w:r>
      <w:r w:rsidR="001B396D">
        <w:t>,</w:t>
      </w:r>
      <w:r w:rsidR="00A71F7B" w:rsidRPr="00803C71">
        <w:t xml:space="preserve"> in line with the overarching principles of the call</w:t>
      </w:r>
      <w:r w:rsidR="0067774E">
        <w:t>,</w:t>
      </w:r>
      <w:r w:rsidR="00A71F7B" w:rsidRPr="00803C71">
        <w:t xml:space="preserve"> strategic fit and delivery of desired outcomes criteria are </w:t>
      </w:r>
      <w:r w:rsidR="00A71F7B" w:rsidRPr="00803C71">
        <w:rPr>
          <w:b/>
          <w:bCs/>
        </w:rPr>
        <w:t>pass/fail</w:t>
      </w:r>
      <w:r w:rsidR="00A71F7B" w:rsidRPr="00803C71">
        <w:t xml:space="preserve">. </w:t>
      </w:r>
    </w:p>
    <w:tbl>
      <w:tblPr>
        <w:tblStyle w:val="TableGrid1"/>
        <w:tblW w:w="5000" w:type="pct"/>
        <w:tblLook w:val="04A0" w:firstRow="1" w:lastRow="0" w:firstColumn="1" w:lastColumn="0" w:noHBand="0" w:noVBand="1"/>
      </w:tblPr>
      <w:tblGrid>
        <w:gridCol w:w="2248"/>
        <w:gridCol w:w="6276"/>
        <w:gridCol w:w="1932"/>
      </w:tblGrid>
      <w:tr w:rsidR="00A71F7B" w:rsidRPr="00803C71" w14:paraId="6242FA95" w14:textId="77777777" w:rsidTr="00167EAD">
        <w:tc>
          <w:tcPr>
            <w:tcW w:w="1075" w:type="pct"/>
            <w:shd w:val="clear" w:color="auto" w:fill="D0CECE" w:themeFill="background2" w:themeFillShade="E6"/>
          </w:tcPr>
          <w:p w14:paraId="223BCC4F" w14:textId="77777777" w:rsidR="00A71F7B" w:rsidRPr="008E581B" w:rsidRDefault="00A71F7B" w:rsidP="004A7CDB">
            <w:pPr>
              <w:rPr>
                <w:b/>
                <w:bCs/>
              </w:rPr>
            </w:pPr>
            <w:r w:rsidRPr="008E581B">
              <w:rPr>
                <w:b/>
                <w:bCs/>
              </w:rPr>
              <w:t>Criteria</w:t>
            </w:r>
          </w:p>
        </w:tc>
        <w:tc>
          <w:tcPr>
            <w:tcW w:w="3001" w:type="pct"/>
            <w:shd w:val="clear" w:color="auto" w:fill="D0CECE" w:themeFill="background2" w:themeFillShade="E6"/>
          </w:tcPr>
          <w:p w14:paraId="6B19B2FC" w14:textId="77777777" w:rsidR="00A71F7B" w:rsidRPr="008E581B" w:rsidRDefault="00A71F7B" w:rsidP="004A7CDB">
            <w:pPr>
              <w:rPr>
                <w:b/>
                <w:bCs/>
              </w:rPr>
            </w:pPr>
            <w:r w:rsidRPr="008E581B">
              <w:rPr>
                <w:b/>
                <w:bCs/>
              </w:rPr>
              <w:t>Consideration</w:t>
            </w:r>
          </w:p>
        </w:tc>
        <w:tc>
          <w:tcPr>
            <w:tcW w:w="924" w:type="pct"/>
            <w:shd w:val="clear" w:color="auto" w:fill="D0CECE" w:themeFill="background2" w:themeFillShade="E6"/>
          </w:tcPr>
          <w:p w14:paraId="53F467E7" w14:textId="77777777" w:rsidR="00A71F7B" w:rsidRPr="008E581B" w:rsidRDefault="00A71F7B" w:rsidP="004A7CDB">
            <w:pPr>
              <w:rPr>
                <w:b/>
                <w:bCs/>
              </w:rPr>
            </w:pPr>
            <w:r w:rsidRPr="008E581B">
              <w:rPr>
                <w:b/>
                <w:bCs/>
              </w:rPr>
              <w:t>Available marks</w:t>
            </w:r>
          </w:p>
        </w:tc>
      </w:tr>
      <w:tr w:rsidR="00A71F7B" w:rsidRPr="00803C71" w14:paraId="2A49025D" w14:textId="77777777" w:rsidTr="009A7D49">
        <w:trPr>
          <w:trHeight w:val="1457"/>
        </w:trPr>
        <w:tc>
          <w:tcPr>
            <w:tcW w:w="1075" w:type="pct"/>
          </w:tcPr>
          <w:p w14:paraId="3E941506" w14:textId="77777777" w:rsidR="00A71F7B" w:rsidRPr="008E581B" w:rsidRDefault="00A71F7B" w:rsidP="004A7CDB">
            <w:pPr>
              <w:rPr>
                <w:b/>
                <w:bCs/>
              </w:rPr>
            </w:pPr>
            <w:r w:rsidRPr="008E581B">
              <w:rPr>
                <w:b/>
                <w:bCs/>
              </w:rPr>
              <w:t>Strategic Fit</w:t>
            </w:r>
          </w:p>
        </w:tc>
        <w:tc>
          <w:tcPr>
            <w:tcW w:w="3001" w:type="pct"/>
          </w:tcPr>
          <w:p w14:paraId="1954D9DF" w14:textId="1A5A1590" w:rsidR="00A71F7B" w:rsidRPr="00803C71" w:rsidRDefault="001B396D" w:rsidP="004A7CDB">
            <w:r>
              <w:t>T</w:t>
            </w:r>
            <w:r w:rsidR="00A71F7B" w:rsidRPr="00803C71">
              <w:t xml:space="preserve">he proposed fit with NTCA Economic Vision, Inclusive Economy </w:t>
            </w:r>
            <w:r w:rsidR="003A3A04" w:rsidRPr="00803C71">
              <w:t>Statement,</w:t>
            </w:r>
            <w:r w:rsidR="00A71F7B" w:rsidRPr="00803C71">
              <w:t xml:space="preserve"> and call focus </w:t>
            </w:r>
            <w:r w:rsidR="003A3A04" w:rsidRPr="00803C71">
              <w:t>area</w:t>
            </w:r>
            <w:r w:rsidR="003A3A04">
              <w:t>.</w:t>
            </w:r>
            <w:r w:rsidR="00A71F7B" w:rsidRPr="00803C71">
              <w:t xml:space="preserve"> </w:t>
            </w:r>
          </w:p>
          <w:p w14:paraId="6737046B" w14:textId="36E22DAC" w:rsidR="00A71F7B" w:rsidRPr="00803C71" w:rsidRDefault="001B396D" w:rsidP="004A7CDB">
            <w:r>
              <w:t>T</w:t>
            </w:r>
            <w:r w:rsidR="00A71F7B" w:rsidRPr="00803C71">
              <w:t xml:space="preserve">he proposal is effective and will lead to innovation in the local </w:t>
            </w:r>
            <w:r w:rsidR="00060711">
              <w:t>tourism</w:t>
            </w:r>
            <w:r w:rsidR="00A71F7B" w:rsidRPr="00803C71">
              <w:t xml:space="preserve"> ecosystem or significant sector growth; </w:t>
            </w:r>
            <w:r>
              <w:t>and</w:t>
            </w:r>
          </w:p>
          <w:p w14:paraId="44B176DB" w14:textId="2BF05E84" w:rsidR="00A71F7B" w:rsidRPr="00803C71" w:rsidRDefault="00A71F7B" w:rsidP="004A7CDB">
            <w:r w:rsidRPr="00803C71">
              <w:t>The proposal is developed in adherence with the overarching principles for the call and where appropriate evidence is provided in relation to stakeholder support, value added, etc</w:t>
            </w:r>
            <w:r w:rsidR="001B396D">
              <w:t>.</w:t>
            </w:r>
            <w:r w:rsidRPr="00803C71">
              <w:t xml:space="preserve"> </w:t>
            </w:r>
          </w:p>
        </w:tc>
        <w:tc>
          <w:tcPr>
            <w:tcW w:w="924" w:type="pct"/>
            <w:vAlign w:val="center"/>
          </w:tcPr>
          <w:p w14:paraId="67297E4E" w14:textId="77777777" w:rsidR="00A71F7B" w:rsidRPr="00803C71" w:rsidRDefault="00A71F7B" w:rsidP="004A7CDB"/>
          <w:p w14:paraId="3DDF72DE" w14:textId="16901D83" w:rsidR="00A71F7B" w:rsidRPr="00803C71" w:rsidRDefault="00A71F7B" w:rsidP="004A7CDB">
            <w:r w:rsidRPr="00803C71">
              <w:t>Pass</w:t>
            </w:r>
            <w:r w:rsidR="008D5809">
              <w:t xml:space="preserve"> (10-15) or </w:t>
            </w:r>
            <w:r w:rsidRPr="00803C71">
              <w:t>Fail</w:t>
            </w:r>
          </w:p>
          <w:p w14:paraId="40468424" w14:textId="77777777" w:rsidR="00A71F7B" w:rsidRPr="00803C71" w:rsidRDefault="00A71F7B" w:rsidP="004A7CDB"/>
          <w:p w14:paraId="6C483C95" w14:textId="77777777" w:rsidR="00A71F7B" w:rsidRPr="00803C71" w:rsidRDefault="00A71F7B" w:rsidP="004A7CDB"/>
        </w:tc>
      </w:tr>
      <w:tr w:rsidR="00A71F7B" w:rsidRPr="00803C71" w14:paraId="2C6BA7FE" w14:textId="77777777" w:rsidTr="009A7D49">
        <w:tc>
          <w:tcPr>
            <w:tcW w:w="1075" w:type="pct"/>
          </w:tcPr>
          <w:p w14:paraId="4DEC625B" w14:textId="77777777" w:rsidR="00A71F7B" w:rsidRPr="008E581B" w:rsidRDefault="00A71F7B" w:rsidP="004A7CDB">
            <w:pPr>
              <w:rPr>
                <w:b/>
                <w:bCs/>
              </w:rPr>
            </w:pPr>
            <w:r w:rsidRPr="008E581B">
              <w:rPr>
                <w:b/>
                <w:bCs/>
              </w:rPr>
              <w:t>Delivery of desired outcomes</w:t>
            </w:r>
          </w:p>
        </w:tc>
        <w:tc>
          <w:tcPr>
            <w:tcW w:w="3001" w:type="pct"/>
          </w:tcPr>
          <w:p w14:paraId="00861C39" w14:textId="66A537ED" w:rsidR="00A71F7B" w:rsidRPr="00803C71" w:rsidRDefault="00A71F7B" w:rsidP="004A7CDB">
            <w:r w:rsidRPr="00803C71">
              <w:t xml:space="preserve">Demonstration of clear knowledge of the </w:t>
            </w:r>
            <w:r w:rsidR="00EE329A">
              <w:t>tourism and innovation sectors</w:t>
            </w:r>
            <w:r w:rsidRPr="00803C71">
              <w:t xml:space="preserve"> in the North if Tyne and </w:t>
            </w:r>
            <w:r w:rsidR="001B396D">
              <w:t>its</w:t>
            </w:r>
            <w:r w:rsidR="001B396D" w:rsidRPr="00803C71">
              <w:t xml:space="preserve"> </w:t>
            </w:r>
            <w:r w:rsidRPr="00803C71">
              <w:t xml:space="preserve">specific needs; </w:t>
            </w:r>
            <w:r w:rsidR="001B396D">
              <w:t>and</w:t>
            </w:r>
          </w:p>
          <w:p w14:paraId="33F55E0C" w14:textId="1339EC24" w:rsidR="0064744B" w:rsidRPr="00E62A01" w:rsidRDefault="00A71F7B" w:rsidP="004A7CDB">
            <w:r w:rsidRPr="00803C71">
              <w:t xml:space="preserve">Clear alignment of proposals with the outcomes set out in the call document. </w:t>
            </w:r>
          </w:p>
        </w:tc>
        <w:tc>
          <w:tcPr>
            <w:tcW w:w="924" w:type="pct"/>
            <w:vAlign w:val="center"/>
          </w:tcPr>
          <w:p w14:paraId="6725B3B2" w14:textId="518DBC33" w:rsidR="00A71F7B" w:rsidRPr="00803C71" w:rsidRDefault="00A71F7B" w:rsidP="004A7CDB">
            <w:r w:rsidRPr="00803C71">
              <w:t>Pass</w:t>
            </w:r>
            <w:r w:rsidR="008D5809">
              <w:t xml:space="preserve"> (7-15) or </w:t>
            </w:r>
            <w:r w:rsidRPr="00803C71">
              <w:t>Fail</w:t>
            </w:r>
          </w:p>
        </w:tc>
      </w:tr>
      <w:tr w:rsidR="00E62A01" w:rsidRPr="00803C71" w14:paraId="60D73DDB" w14:textId="77777777" w:rsidTr="009A7D49">
        <w:tc>
          <w:tcPr>
            <w:tcW w:w="1075" w:type="pct"/>
          </w:tcPr>
          <w:p w14:paraId="7918ABDF" w14:textId="063E22F4" w:rsidR="00E62A01" w:rsidRPr="008E581B" w:rsidRDefault="00E62A01" w:rsidP="004A7CDB">
            <w:pPr>
              <w:rPr>
                <w:b/>
                <w:bCs/>
              </w:rPr>
            </w:pPr>
            <w:r w:rsidRPr="008E581B">
              <w:rPr>
                <w:b/>
                <w:bCs/>
              </w:rPr>
              <w:t xml:space="preserve">Value for Money </w:t>
            </w:r>
          </w:p>
        </w:tc>
        <w:tc>
          <w:tcPr>
            <w:tcW w:w="3001" w:type="pct"/>
          </w:tcPr>
          <w:p w14:paraId="42867921" w14:textId="04F3E5F4" w:rsidR="00E62A01" w:rsidRPr="00803C71" w:rsidRDefault="00E62A01" w:rsidP="004A7CDB">
            <w:r>
              <w:t>The value for money associated with proposals.</w:t>
            </w:r>
          </w:p>
        </w:tc>
        <w:tc>
          <w:tcPr>
            <w:tcW w:w="924" w:type="pct"/>
            <w:vAlign w:val="center"/>
          </w:tcPr>
          <w:p w14:paraId="3BE1CF37" w14:textId="6851C05E" w:rsidR="00E62A01" w:rsidRPr="009913BA" w:rsidRDefault="00EB2699" w:rsidP="004A7CDB">
            <w:r>
              <w:t>10</w:t>
            </w:r>
          </w:p>
        </w:tc>
      </w:tr>
      <w:tr w:rsidR="00A71F7B" w:rsidRPr="00803C71" w14:paraId="02064042" w14:textId="77777777" w:rsidTr="009A7D49">
        <w:tc>
          <w:tcPr>
            <w:tcW w:w="1075" w:type="pct"/>
          </w:tcPr>
          <w:p w14:paraId="7B0812BF" w14:textId="0047DB6A" w:rsidR="00A71F7B" w:rsidRPr="008E581B" w:rsidRDefault="008D5809" w:rsidP="004A7CDB">
            <w:pPr>
              <w:rPr>
                <w:b/>
                <w:bCs/>
              </w:rPr>
            </w:pPr>
            <w:r>
              <w:rPr>
                <w:b/>
                <w:bCs/>
              </w:rPr>
              <w:t>Ability to secure match funding on projects</w:t>
            </w:r>
          </w:p>
        </w:tc>
        <w:tc>
          <w:tcPr>
            <w:tcW w:w="3001" w:type="pct"/>
          </w:tcPr>
          <w:p w14:paraId="7FC428FC" w14:textId="5FB932C5" w:rsidR="00A71F7B" w:rsidRPr="00803C71" w:rsidRDefault="00A71F7B" w:rsidP="004A7CDB"/>
        </w:tc>
        <w:tc>
          <w:tcPr>
            <w:tcW w:w="924" w:type="pct"/>
            <w:vAlign w:val="center"/>
          </w:tcPr>
          <w:p w14:paraId="236558A4" w14:textId="77777777" w:rsidR="00A71F7B" w:rsidRPr="00803C71" w:rsidRDefault="00A71F7B" w:rsidP="004A7CDB">
            <w:r w:rsidRPr="00803C71">
              <w:t>5</w:t>
            </w:r>
          </w:p>
        </w:tc>
      </w:tr>
      <w:tr w:rsidR="008D5809" w:rsidRPr="00803C71" w14:paraId="710C5953" w14:textId="77777777" w:rsidTr="009A7D49">
        <w:tc>
          <w:tcPr>
            <w:tcW w:w="1075" w:type="pct"/>
          </w:tcPr>
          <w:p w14:paraId="44DBCBB0" w14:textId="60F3C1D7" w:rsidR="008D5809" w:rsidRPr="008E581B" w:rsidRDefault="008D5809" w:rsidP="008D5809">
            <w:pPr>
              <w:rPr>
                <w:b/>
                <w:bCs/>
              </w:rPr>
            </w:pPr>
            <w:r>
              <w:rPr>
                <w:b/>
                <w:bCs/>
              </w:rPr>
              <w:t>Subsidy Control</w:t>
            </w:r>
            <w:r w:rsidRPr="008E581B">
              <w:rPr>
                <w:b/>
                <w:bCs/>
              </w:rPr>
              <w:t xml:space="preserve"> Risk </w:t>
            </w:r>
          </w:p>
        </w:tc>
        <w:tc>
          <w:tcPr>
            <w:tcW w:w="3001" w:type="pct"/>
          </w:tcPr>
          <w:p w14:paraId="3F22031F" w14:textId="0268EBBB" w:rsidR="008D5809" w:rsidRPr="003747BE" w:rsidRDefault="008D5809" w:rsidP="008D5809">
            <w:pPr>
              <w:autoSpaceDE w:val="0"/>
              <w:autoSpaceDN w:val="0"/>
              <w:adjustRightInd w:val="0"/>
              <w:spacing w:after="0" w:line="240" w:lineRule="auto"/>
              <w:rPr>
                <w:highlight w:val="yellow"/>
              </w:rPr>
            </w:pPr>
            <w:r w:rsidRPr="00803C71">
              <w:t>State aid risk will be established through an assessment of the applicant</w:t>
            </w:r>
            <w:r>
              <w:t>’</w:t>
            </w:r>
            <w:r w:rsidRPr="00803C71">
              <w:t xml:space="preserve">s understanding of the relevant </w:t>
            </w:r>
            <w:r>
              <w:t>subsidy control</w:t>
            </w:r>
            <w:r w:rsidRPr="00803C71">
              <w:t xml:space="preserve"> considerations and solutions and the degree to which they have taken and provided evidence of appropriate legal/professional advice. </w:t>
            </w:r>
          </w:p>
        </w:tc>
        <w:tc>
          <w:tcPr>
            <w:tcW w:w="924" w:type="pct"/>
            <w:vAlign w:val="center"/>
          </w:tcPr>
          <w:p w14:paraId="16DE8120" w14:textId="77777777" w:rsidR="008D5809" w:rsidRPr="00803C71" w:rsidRDefault="008D5809" w:rsidP="008D5809">
            <w:r w:rsidRPr="00803C71">
              <w:t>5</w:t>
            </w:r>
          </w:p>
        </w:tc>
      </w:tr>
      <w:tr w:rsidR="008D5809" w:rsidRPr="00803C71" w14:paraId="468C4447" w14:textId="77777777" w:rsidTr="009A7D49">
        <w:tc>
          <w:tcPr>
            <w:tcW w:w="1075" w:type="pct"/>
          </w:tcPr>
          <w:p w14:paraId="01CBC7E8" w14:textId="77777777" w:rsidR="008D5809" w:rsidRPr="008E581B" w:rsidRDefault="008D5809" w:rsidP="008D5809">
            <w:pPr>
              <w:rPr>
                <w:b/>
                <w:bCs/>
              </w:rPr>
            </w:pPr>
            <w:r w:rsidRPr="008E581B">
              <w:rPr>
                <w:b/>
                <w:bCs/>
              </w:rPr>
              <w:t>Deliverability risk</w:t>
            </w:r>
          </w:p>
        </w:tc>
        <w:tc>
          <w:tcPr>
            <w:tcW w:w="3001" w:type="pct"/>
          </w:tcPr>
          <w:p w14:paraId="01C0C16A" w14:textId="77576E8B" w:rsidR="00BF1A6E" w:rsidRPr="00BF1A6E" w:rsidRDefault="008D5809" w:rsidP="00BF1A6E">
            <w:r w:rsidRPr="00803C71">
              <w:t>Robust assessment of deliverability, capacity, and risks. Clear explanation of delivery routes, timeframes, and key milestones. Strong arrangements for local transparency</w:t>
            </w:r>
            <w:r>
              <w:t>,</w:t>
            </w:r>
            <w:r w:rsidRPr="00803C71">
              <w:t xml:space="preserve"> and accountability, monitoring and evaluation.</w:t>
            </w:r>
          </w:p>
          <w:p w14:paraId="2B19F82E" w14:textId="20A0BD09" w:rsidR="00BE40D2" w:rsidRPr="00803C71" w:rsidRDefault="00BE40D2" w:rsidP="008D5809">
            <w:r>
              <w:lastRenderedPageBreak/>
              <w:t xml:space="preserve">Clear demonstration of robust, fair and transparent approach to procurement, and where applicable, compliance with public procurement regulations. </w:t>
            </w:r>
          </w:p>
          <w:p w14:paraId="5AC8A07A" w14:textId="6641FA76" w:rsidR="008D5809" w:rsidRPr="00803C71" w:rsidRDefault="008D5809" w:rsidP="008D5809">
            <w:r w:rsidRPr="00803C71">
              <w:t xml:space="preserve">Ability to deploy the funding within the timeframe set and to implement at pace; </w:t>
            </w:r>
            <w:r>
              <w:t>and</w:t>
            </w:r>
          </w:p>
          <w:p w14:paraId="5DC15629" w14:textId="7F272087" w:rsidR="008D5809" w:rsidRPr="00803C71" w:rsidRDefault="008D5809" w:rsidP="008D5809">
            <w:r w:rsidRPr="00803C71">
              <w:t>Evidence of partnership strength</w:t>
            </w:r>
            <w:r>
              <w:t xml:space="preserve">, </w:t>
            </w:r>
            <w:r w:rsidRPr="00803C71">
              <w:t>commitment (as appropriate) and strategic backing</w:t>
            </w:r>
            <w:r>
              <w:t>.</w:t>
            </w:r>
            <w:r w:rsidRPr="00803C71">
              <w:t xml:space="preserve"> </w:t>
            </w:r>
          </w:p>
        </w:tc>
        <w:tc>
          <w:tcPr>
            <w:tcW w:w="924" w:type="pct"/>
            <w:vAlign w:val="center"/>
          </w:tcPr>
          <w:p w14:paraId="5D134007" w14:textId="77777777" w:rsidR="008D5809" w:rsidRPr="00803C71" w:rsidRDefault="008D5809" w:rsidP="008D5809">
            <w:r w:rsidRPr="00803C71">
              <w:lastRenderedPageBreak/>
              <w:t>15</w:t>
            </w:r>
          </w:p>
        </w:tc>
      </w:tr>
      <w:tr w:rsidR="008D5809" w:rsidRPr="00803C71" w14:paraId="1E20BEF0" w14:textId="77777777" w:rsidTr="009A7D49">
        <w:tc>
          <w:tcPr>
            <w:tcW w:w="1075" w:type="pct"/>
          </w:tcPr>
          <w:p w14:paraId="0E243BAD" w14:textId="77777777" w:rsidR="008D5809" w:rsidRPr="008E581B" w:rsidRDefault="008D5809" w:rsidP="008D5809">
            <w:pPr>
              <w:rPr>
                <w:b/>
                <w:bCs/>
              </w:rPr>
            </w:pPr>
            <w:r w:rsidRPr="008E581B">
              <w:rPr>
                <w:b/>
                <w:bCs/>
              </w:rPr>
              <w:t xml:space="preserve">Inclusive Economy Fit </w:t>
            </w:r>
          </w:p>
        </w:tc>
        <w:tc>
          <w:tcPr>
            <w:tcW w:w="3001" w:type="pct"/>
          </w:tcPr>
          <w:p w14:paraId="1F121432" w14:textId="1B17DB66" w:rsidR="008D5809" w:rsidRPr="00803C71" w:rsidRDefault="008D5809" w:rsidP="008D5809">
            <w:r w:rsidRPr="00803C71">
              <w:t xml:space="preserve">Robust assessment of the inclusive economy implications of proposals and the ability of </w:t>
            </w:r>
            <w:r>
              <w:t xml:space="preserve">the </w:t>
            </w:r>
            <w:r w:rsidRPr="00803C71">
              <w:t xml:space="preserve">project to make a proactive and targeted impact on the inclusive economy ambitions of the NTCA and to have a positive impact on residents. </w:t>
            </w:r>
          </w:p>
        </w:tc>
        <w:tc>
          <w:tcPr>
            <w:tcW w:w="924" w:type="pct"/>
            <w:vAlign w:val="center"/>
          </w:tcPr>
          <w:p w14:paraId="139D8C6C" w14:textId="77777777" w:rsidR="008D5809" w:rsidRPr="00803C71" w:rsidRDefault="008D5809" w:rsidP="008D5809">
            <w:r w:rsidRPr="00803C71">
              <w:t>10</w:t>
            </w:r>
          </w:p>
        </w:tc>
      </w:tr>
    </w:tbl>
    <w:p w14:paraId="610B02EA" w14:textId="77777777" w:rsidR="00484681" w:rsidRPr="008E581B" w:rsidRDefault="00484681" w:rsidP="004A7CDB">
      <w:pPr>
        <w:rPr>
          <w:b/>
          <w:bCs/>
          <w:i/>
          <w:iCs/>
        </w:rPr>
      </w:pPr>
      <w:r w:rsidRPr="008E581B">
        <w:rPr>
          <w:b/>
          <w:bCs/>
          <w:i/>
          <w:iCs/>
        </w:rPr>
        <w:t>NB</w:t>
      </w:r>
      <w:r w:rsidR="00A71F7B" w:rsidRPr="008E581B">
        <w:rPr>
          <w:b/>
          <w:bCs/>
          <w:i/>
          <w:iCs/>
        </w:rPr>
        <w:t xml:space="preserve">: a detailed scoring Matrix is provided at Appendix 1. </w:t>
      </w:r>
    </w:p>
    <w:p w14:paraId="7197399B" w14:textId="5106C91C" w:rsidR="00A71F7B" w:rsidRPr="00803C71" w:rsidRDefault="00A71F7B" w:rsidP="004A7CDB">
      <w:r w:rsidRPr="00803C71">
        <w:t>Project proposals will be scored against the selection criteria in this document</w:t>
      </w:r>
      <w:r w:rsidR="00DC4804">
        <w:t>.</w:t>
      </w:r>
      <w:r w:rsidRPr="00803C71">
        <w:t xml:space="preserve"> Scoring of proposals will be undertaken by a panel made up of </w:t>
      </w:r>
      <w:r w:rsidR="00291E1B">
        <w:t>Officers</w:t>
      </w:r>
      <w:r w:rsidRPr="00803C71">
        <w:t xml:space="preserve"> of the NTCA and other relevant advisory members. </w:t>
      </w:r>
      <w:r w:rsidR="00492EEA">
        <w:t xml:space="preserve">Applications </w:t>
      </w:r>
      <w:r w:rsidRPr="00803C71">
        <w:t xml:space="preserve">will be </w:t>
      </w:r>
      <w:r w:rsidR="00DC4804">
        <w:t>processed</w:t>
      </w:r>
      <w:r w:rsidR="00DC4804" w:rsidRPr="00803C71">
        <w:t xml:space="preserve"> </w:t>
      </w:r>
      <w:r w:rsidRPr="00803C71">
        <w:t xml:space="preserve">in line with the NTCA’s Assurance Framework and will be appraised against the HM Treasury ‘five case’ model and NTCA’s additional Inclusive Economy Case prior to being considered for approval by NTCA’s Technical Officers Group and Investment Panel and NTCA Cabinet. </w:t>
      </w:r>
    </w:p>
    <w:p w14:paraId="763502A0" w14:textId="536C0753" w:rsidR="00A71F7B" w:rsidRPr="00803C71" w:rsidRDefault="00A71F7B" w:rsidP="004A7CDB">
      <w:r w:rsidRPr="00803C71">
        <w:t xml:space="preserve">NTCA </w:t>
      </w:r>
      <w:r w:rsidR="00F94B31">
        <w:t>may</w:t>
      </w:r>
      <w:r w:rsidRPr="00803C71">
        <w:t xml:space="preserve"> </w:t>
      </w:r>
      <w:r w:rsidR="003A3A04" w:rsidRPr="00803C71">
        <w:t>enter</w:t>
      </w:r>
      <w:r w:rsidRPr="00803C71">
        <w:t xml:space="preserve"> dialogue with applicants and seek clarification at any point in the application process</w:t>
      </w:r>
      <w:r w:rsidR="00F94B31">
        <w:t>.</w:t>
      </w:r>
      <w:r w:rsidRPr="00803C71">
        <w:t xml:space="preserve"> </w:t>
      </w:r>
      <w:r w:rsidR="00492EEA">
        <w:t>This may</w:t>
      </w:r>
      <w:r w:rsidR="009412FD">
        <w:t xml:space="preserve"> lead to</w:t>
      </w:r>
      <w:r w:rsidRPr="00803C71">
        <w:t xml:space="preserve"> </w:t>
      </w:r>
      <w:r w:rsidR="009412FD">
        <w:t xml:space="preserve">proposals being </w:t>
      </w:r>
      <w:r w:rsidR="00492EEA">
        <w:t>adapted</w:t>
      </w:r>
      <w:r w:rsidR="009412FD">
        <w:t>,</w:t>
      </w:r>
      <w:r w:rsidRPr="00803C71">
        <w:t xml:space="preserve"> </w:t>
      </w:r>
      <w:r w:rsidR="003A3A04" w:rsidRPr="00803C71">
        <w:t>withdraw</w:t>
      </w:r>
      <w:r w:rsidR="003A3A04">
        <w:t>n,</w:t>
      </w:r>
      <w:r w:rsidRPr="00803C71">
        <w:t xml:space="preserve"> or </w:t>
      </w:r>
      <w:r w:rsidR="00492EEA">
        <w:t xml:space="preserve">suggestions to </w:t>
      </w:r>
      <w:r w:rsidRPr="00803C71">
        <w:t>combin</w:t>
      </w:r>
      <w:r w:rsidR="009412FD">
        <w:t>ed with the</w:t>
      </w:r>
      <w:r w:rsidRPr="00803C71">
        <w:t xml:space="preserve"> of proposals </w:t>
      </w:r>
      <w:r w:rsidR="009412FD">
        <w:t>submitted by other</w:t>
      </w:r>
      <w:r w:rsidR="009412FD" w:rsidRPr="00803C71">
        <w:t xml:space="preserve"> </w:t>
      </w:r>
      <w:r w:rsidRPr="00803C71">
        <w:t>applicants</w:t>
      </w:r>
      <w:r w:rsidR="009412FD">
        <w:t xml:space="preserve"> in a new partnership arrangement</w:t>
      </w:r>
      <w:r w:rsidRPr="00803C71">
        <w:t xml:space="preserve">. </w:t>
      </w:r>
    </w:p>
    <w:p w14:paraId="652CE74B" w14:textId="01D3D415" w:rsidR="00A71F7B" w:rsidRPr="00803C71" w:rsidRDefault="00583028" w:rsidP="008E581B">
      <w:pPr>
        <w:pStyle w:val="Heading2"/>
      </w:pPr>
      <w:r>
        <w:t>Subsidy Control</w:t>
      </w:r>
    </w:p>
    <w:p w14:paraId="2B3962A5" w14:textId="77777777" w:rsidR="00583028" w:rsidRPr="00B95B2D" w:rsidRDefault="00583028" w:rsidP="00583028">
      <w:r w:rsidRPr="00B95B2D">
        <w:t>Following the UK’s departure from the European Union on 31</w:t>
      </w:r>
      <w:r w:rsidRPr="00B95B2D">
        <w:rPr>
          <w:vertAlign w:val="superscript"/>
        </w:rPr>
        <w:t>st</w:t>
      </w:r>
      <w:r w:rsidRPr="00B95B2D">
        <w:t xml:space="preserve"> December 2020, a new subsidy control regime is now in place. As such, NTCA require all applicants for funding to seek advice setting out how projects are compliant with the new UK Subsidy regime. The application includes a specific section for applicants to respond. </w:t>
      </w:r>
    </w:p>
    <w:p w14:paraId="538A2D1B" w14:textId="77777777" w:rsidR="00583028" w:rsidRPr="00B95B2D" w:rsidRDefault="00583028" w:rsidP="00583028">
      <w:pPr>
        <w:shd w:val="clear" w:color="auto" w:fill="FFFFFF"/>
        <w:spacing w:after="75"/>
        <w:rPr>
          <w:i/>
        </w:rPr>
      </w:pPr>
      <w:r w:rsidRPr="00B95B2D">
        <w:t>(This is a requirement under the new regime, as set out in the BEIS Technical Guidance</w:t>
      </w:r>
      <w:r w:rsidRPr="00B95B2D">
        <w:rPr>
          <w:i/>
        </w:rPr>
        <w:t xml:space="preserve"> (which can be accessed here: </w:t>
      </w:r>
      <w:hyperlink r:id="rId11" w:history="1">
        <w:r>
          <w:rPr>
            <w:rStyle w:val="Hyperlink"/>
            <w:i/>
            <w:color w:val="auto"/>
          </w:rPr>
          <w:t>https://www.gov.uk/government/publications/complying-with-the-uks-international-obligations-on-subsidy-control-guidance-for-public-authorities/technical-guidance-on-the-uks-international-subsidy-control-commitments-from-1-january-2021</w:t>
        </w:r>
      </w:hyperlink>
      <w:r>
        <w:rPr>
          <w:i/>
        </w:rPr>
        <w:t>)</w:t>
      </w:r>
    </w:p>
    <w:p w14:paraId="76F1447D" w14:textId="77777777" w:rsidR="00583028" w:rsidRPr="00B95B2D" w:rsidRDefault="00583028" w:rsidP="00583028">
      <w:pPr>
        <w:shd w:val="clear" w:color="auto" w:fill="FFFFFF"/>
        <w:spacing w:after="75"/>
      </w:pPr>
      <w:r w:rsidRPr="00B95B2D">
        <w:t>Please note the advice should cover both receipt of the Funding from NTCA and the subsequent transfer of that Funding to third parties.</w:t>
      </w:r>
    </w:p>
    <w:p w14:paraId="5B2876DC" w14:textId="471986E6" w:rsidR="00A71F7B" w:rsidRPr="00DA567F" w:rsidRDefault="00583028" w:rsidP="004A7CDB">
      <w:r w:rsidRPr="00B95B2D">
        <w:t xml:space="preserve">To comply with new subsidy control regulations, all awards that are considered ‘subsidies’, and with a value of over £300,000, </w:t>
      </w:r>
      <w:r w:rsidRPr="006A5CE3">
        <w:rPr>
          <w:rFonts w:ascii="Arial" w:hAnsi="Arial" w:cs="Arial"/>
        </w:rPr>
        <w:t>will be published on the new BEIS transparency database.</w:t>
      </w:r>
      <w:r w:rsidRPr="00B95B2D">
        <w:t xml:space="preserve"> All awards will be monitored for their ongoing compliance with subsidy control rules.</w:t>
      </w:r>
    </w:p>
    <w:p w14:paraId="43CBBC9B" w14:textId="2FA0C2D2" w:rsidR="00A71F7B" w:rsidRPr="00803C71" w:rsidRDefault="00A71F7B" w:rsidP="008E581B">
      <w:pPr>
        <w:pStyle w:val="Heading2"/>
      </w:pPr>
      <w:r w:rsidRPr="00484681">
        <w:t>Application</w:t>
      </w:r>
      <w:r w:rsidRPr="00803C71">
        <w:t xml:space="preserve"> process and submission of Proposals</w:t>
      </w:r>
    </w:p>
    <w:p w14:paraId="0418E4AA" w14:textId="77777777" w:rsidR="00EF6015" w:rsidRDefault="00EF6015" w:rsidP="00EF6015">
      <w:r w:rsidRPr="00E45F9A">
        <w:t xml:space="preserve">The business case form is designed to comply with the UK Treasury ‘Green Book’. It is a generic form for use by a wide variety of projects. The amount of detail required should be proportionate to the scale and </w:t>
      </w:r>
      <w:r w:rsidRPr="00E45F9A">
        <w:lastRenderedPageBreak/>
        <w:t>complexity of your project. You can include additional, clearly referenced, supporting information where this helps explain your case.</w:t>
      </w:r>
    </w:p>
    <w:p w14:paraId="4A08F505" w14:textId="77777777" w:rsidR="00EF6015" w:rsidRPr="00803C71" w:rsidRDefault="00EF6015" w:rsidP="00EF6015">
      <w:r w:rsidRPr="00803C71">
        <w:t xml:space="preserve">If possible, it would be useful to provide further complementary detail or supporting evidence as appropriate including: </w:t>
      </w:r>
    </w:p>
    <w:p w14:paraId="54ACA18C" w14:textId="77777777" w:rsidR="00EF6015" w:rsidRPr="00803C71" w:rsidRDefault="00EF6015" w:rsidP="00EF6015">
      <w:pPr>
        <w:pStyle w:val="ListParagraph"/>
        <w:numPr>
          <w:ilvl w:val="0"/>
          <w:numId w:val="16"/>
        </w:numPr>
      </w:pPr>
      <w:r w:rsidRPr="00803C71">
        <w:t>Letters of support</w:t>
      </w:r>
    </w:p>
    <w:p w14:paraId="7DBE64CD" w14:textId="77777777" w:rsidR="00EF6015" w:rsidRPr="00803C71" w:rsidRDefault="00EF6015" w:rsidP="00EF6015">
      <w:pPr>
        <w:pStyle w:val="ListParagraph"/>
        <w:numPr>
          <w:ilvl w:val="0"/>
          <w:numId w:val="16"/>
        </w:numPr>
      </w:pPr>
      <w:r w:rsidRPr="00803C71">
        <w:t xml:space="preserve">A description of your organisation, its structure, and </w:t>
      </w:r>
      <w:r>
        <w:t xml:space="preserve">the </w:t>
      </w:r>
      <w:r w:rsidRPr="00803C71">
        <w:t xml:space="preserve">biography of key team members. </w:t>
      </w:r>
    </w:p>
    <w:p w14:paraId="0C2E10B9" w14:textId="77777777" w:rsidR="00EF6015" w:rsidRPr="00803C71" w:rsidRDefault="00EF6015" w:rsidP="00EF6015">
      <w:pPr>
        <w:pStyle w:val="ListParagraph"/>
        <w:numPr>
          <w:ilvl w:val="0"/>
          <w:numId w:val="16"/>
        </w:numPr>
      </w:pPr>
      <w:r>
        <w:t>T</w:t>
      </w:r>
      <w:r w:rsidRPr="00803C71">
        <w:t xml:space="preserve">he organisation’s knowledge of the needs of the </w:t>
      </w:r>
      <w:r>
        <w:t>tourism sector</w:t>
      </w:r>
      <w:r w:rsidRPr="00803C71">
        <w:t xml:space="preserve"> in the North of Tyne or strategic value that can be added because of regional, </w:t>
      </w:r>
      <w:r>
        <w:t>n</w:t>
      </w:r>
      <w:r w:rsidRPr="00803C71">
        <w:t xml:space="preserve">ational, or </w:t>
      </w:r>
      <w:r>
        <w:t>i</w:t>
      </w:r>
      <w:r w:rsidRPr="00803C71">
        <w:t>nternational experience, expertise,</w:t>
      </w:r>
      <w:r>
        <w:t xml:space="preserve"> and </w:t>
      </w:r>
      <w:r w:rsidRPr="00803C71">
        <w:t>track record.</w:t>
      </w:r>
    </w:p>
    <w:p w14:paraId="5E44539C" w14:textId="77777777" w:rsidR="00EF6015" w:rsidRPr="00803C71" w:rsidRDefault="00EF6015" w:rsidP="00EF6015">
      <w:pPr>
        <w:pStyle w:val="ListParagraph"/>
        <w:numPr>
          <w:ilvl w:val="0"/>
          <w:numId w:val="16"/>
        </w:numPr>
      </w:pPr>
      <w:r>
        <w:t>R</w:t>
      </w:r>
      <w:r w:rsidRPr="00803C71">
        <w:t xml:space="preserve">elevant performance information and relevant examples of past performance and impact. </w:t>
      </w:r>
    </w:p>
    <w:p w14:paraId="7E486FAB" w14:textId="66C66412" w:rsidR="00EF6015" w:rsidRPr="00803C71" w:rsidRDefault="00EF6015" w:rsidP="00EF6015">
      <w:r w:rsidRPr="00803C71">
        <w:t xml:space="preserve">This call for project proposals </w:t>
      </w:r>
      <w:r w:rsidR="00EE7B8C" w:rsidRPr="00EE7B8C">
        <w:t>will open on Wednesday 5 May 2021 and close at midnight on Wednesday 16 June 2021</w:t>
      </w:r>
      <w:r>
        <w:t>.</w:t>
      </w:r>
    </w:p>
    <w:p w14:paraId="3BF0F7D2" w14:textId="77777777" w:rsidR="00EF6015" w:rsidRPr="00803C71" w:rsidRDefault="00EF6015" w:rsidP="00EF6015">
      <w:r w:rsidRPr="00803C71">
        <w:t xml:space="preserve">Please consider the following strategic documents that may help you with your application. </w:t>
      </w:r>
    </w:p>
    <w:p w14:paraId="26600124" w14:textId="77777777" w:rsidR="00EF6015" w:rsidRPr="004E3586" w:rsidRDefault="00065887" w:rsidP="00EF6015">
      <w:pPr>
        <w:pStyle w:val="ListParagraph"/>
        <w:numPr>
          <w:ilvl w:val="0"/>
          <w:numId w:val="29"/>
        </w:numPr>
      </w:pPr>
      <w:hyperlink r:id="rId12" w:history="1">
        <w:r w:rsidR="00EF6015" w:rsidRPr="00985DC0">
          <w:rPr>
            <w:rStyle w:val="Hyperlink"/>
            <w:rFonts w:ascii="Arial" w:hAnsi="Arial" w:cs="Arial"/>
          </w:rPr>
          <w:t>North of Tyne Economic Vision</w:t>
        </w:r>
      </w:hyperlink>
      <w:r w:rsidR="00EF6015" w:rsidRPr="004E3586">
        <w:t xml:space="preserve">; </w:t>
      </w:r>
    </w:p>
    <w:p w14:paraId="4C18915A" w14:textId="77777777" w:rsidR="00EF6015" w:rsidRPr="00B913C3" w:rsidRDefault="00065887" w:rsidP="00EF6015">
      <w:pPr>
        <w:pStyle w:val="ListParagraph"/>
        <w:numPr>
          <w:ilvl w:val="0"/>
          <w:numId w:val="29"/>
        </w:numPr>
      </w:pPr>
      <w:hyperlink r:id="rId13" w:history="1">
        <w:r w:rsidR="00EF6015" w:rsidRPr="00985DC0">
          <w:rPr>
            <w:rStyle w:val="Hyperlink"/>
            <w:rFonts w:ascii="Arial" w:hAnsi="Arial" w:cs="Arial"/>
          </w:rPr>
          <w:t>North of Tyne Inclusive Economy Statement</w:t>
        </w:r>
      </w:hyperlink>
      <w:r w:rsidR="00EF6015" w:rsidRPr="004E3586">
        <w:t xml:space="preserve">; </w:t>
      </w:r>
    </w:p>
    <w:p w14:paraId="658D0A47" w14:textId="77777777" w:rsidR="00EF6015" w:rsidRPr="00985DC0" w:rsidRDefault="00065887" w:rsidP="00EF6015">
      <w:pPr>
        <w:pStyle w:val="ListParagraph"/>
        <w:numPr>
          <w:ilvl w:val="0"/>
          <w:numId w:val="29"/>
        </w:numPr>
        <w:rPr>
          <w:rStyle w:val="Hyperlink"/>
          <w:rFonts w:ascii="Arial" w:hAnsi="Arial" w:cs="Arial"/>
        </w:rPr>
      </w:pPr>
      <w:hyperlink r:id="rId14" w:history="1">
        <w:r w:rsidR="00EF6015" w:rsidRPr="00985DC0">
          <w:rPr>
            <w:rStyle w:val="Hyperlink"/>
            <w:rFonts w:ascii="Arial" w:hAnsi="Arial" w:cs="Arial"/>
          </w:rPr>
          <w:t>North East Strategic Economic Plan</w:t>
        </w:r>
      </w:hyperlink>
    </w:p>
    <w:p w14:paraId="6ED024CD" w14:textId="77777777" w:rsidR="00EF6015" w:rsidRPr="00985DC0" w:rsidRDefault="00065887" w:rsidP="00EF6015">
      <w:pPr>
        <w:pStyle w:val="ListParagraph"/>
        <w:numPr>
          <w:ilvl w:val="0"/>
          <w:numId w:val="29"/>
        </w:numPr>
        <w:rPr>
          <w:color w:val="0000FF"/>
          <w:u w:val="single"/>
        </w:rPr>
      </w:pPr>
      <w:hyperlink r:id="rId15" w:history="1">
        <w:r w:rsidR="00EF6015" w:rsidRPr="00985DC0">
          <w:rPr>
            <w:rStyle w:val="Hyperlink"/>
            <w:rFonts w:ascii="Arial" w:hAnsi="Arial" w:cs="Arial"/>
          </w:rPr>
          <w:t>North East COVID-19 Economic Response: Our work so far and next steps Report</w:t>
        </w:r>
      </w:hyperlink>
      <w:r w:rsidR="00EF6015" w:rsidRPr="004E3586">
        <w:t xml:space="preserve"> </w:t>
      </w:r>
    </w:p>
    <w:p w14:paraId="4220B29A" w14:textId="77777777" w:rsidR="00EF6015" w:rsidRPr="005C26C6" w:rsidRDefault="00EF6015" w:rsidP="00EF6015">
      <w:r w:rsidRPr="00803C71">
        <w:t xml:space="preserve">Completed applications should be </w:t>
      </w:r>
      <w:r w:rsidRPr="005C26C6">
        <w:t xml:space="preserve">sent to </w:t>
      </w:r>
      <w:hyperlink r:id="rId16" w:history="1">
        <w:r w:rsidRPr="00824A27">
          <w:rPr>
            <w:rStyle w:val="Hyperlink"/>
            <w:rFonts w:ascii="Arial" w:hAnsi="Arial" w:cs="Arial"/>
          </w:rPr>
          <w:t>matt.bratton@northoftyne-ca.gov.uk</w:t>
        </w:r>
      </w:hyperlink>
      <w:r>
        <w:t xml:space="preserve"> </w:t>
      </w:r>
      <w:r>
        <w:rPr>
          <w:rFonts w:eastAsia="Times New Roman"/>
        </w:rPr>
        <w:t xml:space="preserve">by </w:t>
      </w:r>
      <w:r w:rsidRPr="005C26C6">
        <w:t>the deadline. Before doing so</w:t>
      </w:r>
      <w:r>
        <w:t>,</w:t>
      </w:r>
      <w:r w:rsidRPr="005C26C6">
        <w:t xml:space="preserve"> please ensure that you have followed the guidance, completed all questions, and entered an electronic signature.</w:t>
      </w:r>
    </w:p>
    <w:p w14:paraId="1ED9CD5B" w14:textId="35F48662" w:rsidR="00A71F7B" w:rsidRDefault="00A71F7B" w:rsidP="008E581B">
      <w:pPr>
        <w:pStyle w:val="Heading2"/>
      </w:pPr>
      <w:r w:rsidRPr="00803C71">
        <w:t>Indicative timetable</w:t>
      </w:r>
    </w:p>
    <w:p w14:paraId="6973AF4E" w14:textId="55BA47AE" w:rsidR="0028672D" w:rsidRDefault="0028672D" w:rsidP="0028672D">
      <w:r w:rsidRPr="00803C71">
        <w:t xml:space="preserve">Proposals considered as part of this call should relate to projects </w:t>
      </w:r>
      <w:r w:rsidR="00DC1B36">
        <w:t>that</w:t>
      </w:r>
      <w:r w:rsidRPr="00803C71">
        <w:t xml:space="preserve"> can </w:t>
      </w:r>
      <w:r>
        <w:t>be completed</w:t>
      </w:r>
      <w:r w:rsidRPr="00803C71">
        <w:t xml:space="preserve"> by the end of </w:t>
      </w:r>
      <w:r w:rsidR="00065887">
        <w:t>September</w:t>
      </w:r>
      <w:r w:rsidRPr="00803C71">
        <w:t xml:space="preserve"> 202</w:t>
      </w:r>
      <w:r>
        <w:t>2</w:t>
      </w:r>
      <w:r w:rsidRPr="00803C71">
        <w:t xml:space="preserve">; however, NTCA reserves the right to extend this date as required. </w:t>
      </w:r>
    </w:p>
    <w:p w14:paraId="1619371B" w14:textId="28235B2B" w:rsidR="0028672D" w:rsidRDefault="0028672D" w:rsidP="0028672D">
      <w:pPr>
        <w:rPr>
          <w:b/>
          <w:bCs/>
        </w:rPr>
      </w:pPr>
      <w:r>
        <w:rPr>
          <w:b/>
          <w:bCs/>
        </w:rPr>
        <w:t xml:space="preserve">There is an opportunity for potential applicants to join an online Q&amp;A session with NTCA to answer any questions relating to the application. For transparency, this will be a public event. It will take </w:t>
      </w:r>
      <w:r w:rsidRPr="00C06CFD">
        <w:rPr>
          <w:b/>
          <w:bCs/>
        </w:rPr>
        <w:t>place at 1</w:t>
      </w:r>
      <w:r w:rsidR="004A2B9F">
        <w:rPr>
          <w:b/>
          <w:bCs/>
        </w:rPr>
        <w:t>1</w:t>
      </w:r>
      <w:r w:rsidRPr="00C06CFD">
        <w:rPr>
          <w:b/>
          <w:bCs/>
        </w:rPr>
        <w:t xml:space="preserve">am on </w:t>
      </w:r>
      <w:r w:rsidR="004A2B9F">
        <w:rPr>
          <w:b/>
          <w:bCs/>
        </w:rPr>
        <w:t>Thursday 20 May</w:t>
      </w:r>
      <w:r w:rsidRPr="00C06CFD">
        <w:rPr>
          <w:b/>
          <w:bCs/>
        </w:rPr>
        <w:t xml:space="preserve"> 2021. </w:t>
      </w:r>
      <w:r w:rsidRPr="001E5AAC">
        <w:t xml:space="preserve">Applicants can request to join the virtual meeting by emailing </w:t>
      </w:r>
      <w:hyperlink r:id="rId17" w:history="1">
        <w:r w:rsidRPr="001E5AAC">
          <w:rPr>
            <w:rStyle w:val="Hyperlink"/>
          </w:rPr>
          <w:t>matt.bratton@northoftyne-ca.gov.uk</w:t>
        </w:r>
      </w:hyperlink>
      <w:r w:rsidRPr="001E5AAC">
        <w:t>.</w:t>
      </w:r>
    </w:p>
    <w:p w14:paraId="6063B7BC" w14:textId="77777777" w:rsidR="0028672D" w:rsidRPr="00803C71" w:rsidRDefault="0028672D" w:rsidP="0028672D">
      <w:r w:rsidRPr="00803C71">
        <w:t xml:space="preserve">The </w:t>
      </w:r>
      <w:r w:rsidRPr="00167EAD">
        <w:rPr>
          <w:i/>
          <w:iCs/>
        </w:rPr>
        <w:t>indicative timetable</w:t>
      </w:r>
      <w:r w:rsidRPr="00803C71">
        <w:t xml:space="preserve"> is set out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7200"/>
      </w:tblGrid>
      <w:tr w:rsidR="0028672D" w:rsidRPr="00803C71" w14:paraId="27B14035" w14:textId="77777777" w:rsidTr="006226DC">
        <w:trPr>
          <w:trHeight w:val="128"/>
        </w:trPr>
        <w:tc>
          <w:tcPr>
            <w:tcW w:w="1557" w:type="pct"/>
            <w:shd w:val="clear" w:color="auto" w:fill="D0CECE" w:themeFill="background2" w:themeFillShade="E6"/>
          </w:tcPr>
          <w:p w14:paraId="6C8C9896" w14:textId="77777777" w:rsidR="0028672D" w:rsidRPr="007F505F" w:rsidRDefault="0028672D" w:rsidP="006226DC">
            <w:pPr>
              <w:rPr>
                <w:b/>
              </w:rPr>
            </w:pPr>
            <w:r w:rsidRPr="007F505F">
              <w:rPr>
                <w:b/>
              </w:rPr>
              <w:t>Date</w:t>
            </w:r>
          </w:p>
        </w:tc>
        <w:tc>
          <w:tcPr>
            <w:tcW w:w="3443" w:type="pct"/>
            <w:shd w:val="clear" w:color="auto" w:fill="D0CECE" w:themeFill="background2" w:themeFillShade="E6"/>
          </w:tcPr>
          <w:p w14:paraId="68C6A4E8" w14:textId="77777777" w:rsidR="0028672D" w:rsidRPr="00090EA8" w:rsidRDefault="0028672D" w:rsidP="006226DC">
            <w:pPr>
              <w:rPr>
                <w:b/>
              </w:rPr>
            </w:pPr>
            <w:r w:rsidRPr="00090EA8">
              <w:rPr>
                <w:b/>
              </w:rPr>
              <w:t>Activity</w:t>
            </w:r>
          </w:p>
        </w:tc>
      </w:tr>
      <w:tr w:rsidR="0028672D" w:rsidRPr="00803C71" w14:paraId="3B635454" w14:textId="77777777" w:rsidTr="006226DC">
        <w:trPr>
          <w:trHeight w:val="128"/>
        </w:trPr>
        <w:tc>
          <w:tcPr>
            <w:tcW w:w="1557" w:type="pct"/>
          </w:tcPr>
          <w:p w14:paraId="55F9089F" w14:textId="0FED868F" w:rsidR="0028672D" w:rsidRPr="007F505F" w:rsidRDefault="004A2B9F" w:rsidP="006226DC">
            <w:pPr>
              <w:rPr>
                <w:b/>
                <w:bCs/>
              </w:rPr>
            </w:pPr>
            <w:r>
              <w:rPr>
                <w:b/>
                <w:bCs/>
              </w:rPr>
              <w:t>Wednesday 5 May</w:t>
            </w:r>
            <w:r w:rsidR="0028672D" w:rsidRPr="007F505F">
              <w:rPr>
                <w:b/>
                <w:bCs/>
              </w:rPr>
              <w:t xml:space="preserve"> 2021</w:t>
            </w:r>
          </w:p>
        </w:tc>
        <w:tc>
          <w:tcPr>
            <w:tcW w:w="3443" w:type="pct"/>
          </w:tcPr>
          <w:p w14:paraId="4DCC8DA8" w14:textId="77777777" w:rsidR="0028672D" w:rsidRPr="004360C6" w:rsidRDefault="0028672D" w:rsidP="006226DC">
            <w:pPr>
              <w:rPr>
                <w:i/>
                <w:iCs/>
              </w:rPr>
            </w:pPr>
            <w:r w:rsidRPr="00090EA8">
              <w:t>Call opens</w:t>
            </w:r>
            <w:r>
              <w:br/>
            </w:r>
            <w:r>
              <w:rPr>
                <w:i/>
                <w:iCs/>
              </w:rPr>
              <w:t>Questions and clarifications may be sought until the deadline</w:t>
            </w:r>
          </w:p>
        </w:tc>
      </w:tr>
      <w:tr w:rsidR="0028672D" w:rsidRPr="00803C71" w14:paraId="26323A76" w14:textId="77777777" w:rsidTr="006226DC">
        <w:trPr>
          <w:trHeight w:val="128"/>
        </w:trPr>
        <w:tc>
          <w:tcPr>
            <w:tcW w:w="1557" w:type="pct"/>
          </w:tcPr>
          <w:p w14:paraId="6CA6DC60" w14:textId="7E170899" w:rsidR="0028672D" w:rsidRDefault="007A1FCD" w:rsidP="006226DC">
            <w:pPr>
              <w:rPr>
                <w:b/>
                <w:bCs/>
              </w:rPr>
            </w:pPr>
            <w:r>
              <w:rPr>
                <w:b/>
                <w:bCs/>
              </w:rPr>
              <w:t xml:space="preserve">Thursday 20 May </w:t>
            </w:r>
            <w:r w:rsidR="0028672D">
              <w:rPr>
                <w:b/>
                <w:bCs/>
              </w:rPr>
              <w:t>2021</w:t>
            </w:r>
          </w:p>
        </w:tc>
        <w:tc>
          <w:tcPr>
            <w:tcW w:w="3443" w:type="pct"/>
          </w:tcPr>
          <w:p w14:paraId="5861421D" w14:textId="77777777" w:rsidR="0028672D" w:rsidRPr="00090EA8" w:rsidRDefault="0028672D" w:rsidP="006226DC">
            <w:r>
              <w:t>Q&amp;A Forum</w:t>
            </w:r>
          </w:p>
        </w:tc>
      </w:tr>
      <w:tr w:rsidR="0028672D" w:rsidRPr="00803C71" w14:paraId="46FDFFAC" w14:textId="77777777" w:rsidTr="006226DC">
        <w:trPr>
          <w:trHeight w:val="128"/>
        </w:trPr>
        <w:tc>
          <w:tcPr>
            <w:tcW w:w="1557" w:type="pct"/>
          </w:tcPr>
          <w:p w14:paraId="6FF9983B" w14:textId="59B95A0D" w:rsidR="0028672D" w:rsidRPr="007F505F" w:rsidRDefault="007A1FCD" w:rsidP="006226DC">
            <w:pPr>
              <w:rPr>
                <w:b/>
                <w:bCs/>
              </w:rPr>
            </w:pPr>
            <w:r>
              <w:rPr>
                <w:b/>
                <w:bCs/>
              </w:rPr>
              <w:t>Wednesday 16 June</w:t>
            </w:r>
            <w:r w:rsidR="0028672D">
              <w:rPr>
                <w:b/>
                <w:bCs/>
              </w:rPr>
              <w:t xml:space="preserve"> 2021 (midnight)</w:t>
            </w:r>
          </w:p>
        </w:tc>
        <w:tc>
          <w:tcPr>
            <w:tcW w:w="3443" w:type="pct"/>
          </w:tcPr>
          <w:p w14:paraId="555207B1" w14:textId="77777777" w:rsidR="0028672D" w:rsidRPr="00090EA8" w:rsidRDefault="0028672D" w:rsidP="006226DC">
            <w:r w:rsidRPr="00090EA8">
              <w:t xml:space="preserve">Deadline for </w:t>
            </w:r>
            <w:r>
              <w:t>s</w:t>
            </w:r>
            <w:r w:rsidRPr="00090EA8">
              <w:t>ubmissions to NTCA</w:t>
            </w:r>
          </w:p>
        </w:tc>
      </w:tr>
      <w:tr w:rsidR="0028672D" w:rsidRPr="00803C71" w14:paraId="1F30CADD" w14:textId="77777777" w:rsidTr="006226DC">
        <w:trPr>
          <w:trHeight w:val="284"/>
        </w:trPr>
        <w:tc>
          <w:tcPr>
            <w:tcW w:w="1557" w:type="pct"/>
          </w:tcPr>
          <w:p w14:paraId="19463251" w14:textId="55CEFA4E" w:rsidR="0028672D" w:rsidRPr="007F505F" w:rsidRDefault="00D23CD5" w:rsidP="006226DC">
            <w:pPr>
              <w:rPr>
                <w:b/>
                <w:bCs/>
              </w:rPr>
            </w:pPr>
            <w:r>
              <w:rPr>
                <w:b/>
                <w:bCs/>
              </w:rPr>
              <w:t xml:space="preserve">From </w:t>
            </w:r>
            <w:r w:rsidR="007A1FCD">
              <w:rPr>
                <w:b/>
                <w:bCs/>
              </w:rPr>
              <w:t>17 June</w:t>
            </w:r>
            <w:r w:rsidR="0028672D">
              <w:rPr>
                <w:b/>
                <w:bCs/>
              </w:rPr>
              <w:t xml:space="preserve"> 2021</w:t>
            </w:r>
          </w:p>
        </w:tc>
        <w:tc>
          <w:tcPr>
            <w:tcW w:w="3443" w:type="pct"/>
          </w:tcPr>
          <w:p w14:paraId="3505162F" w14:textId="77777777" w:rsidR="0028672D" w:rsidRPr="00090EA8" w:rsidRDefault="0028672D" w:rsidP="006226DC">
            <w:r w:rsidRPr="00090EA8">
              <w:t>Assessment of proposals by NTCA</w:t>
            </w:r>
          </w:p>
        </w:tc>
      </w:tr>
      <w:tr w:rsidR="0028672D" w:rsidRPr="00803C71" w14:paraId="7F95E914" w14:textId="77777777" w:rsidTr="006226DC">
        <w:trPr>
          <w:trHeight w:val="128"/>
        </w:trPr>
        <w:tc>
          <w:tcPr>
            <w:tcW w:w="1557" w:type="pct"/>
          </w:tcPr>
          <w:p w14:paraId="2DE34632" w14:textId="705CFA59" w:rsidR="0028672D" w:rsidRPr="007F505F" w:rsidRDefault="0031640C" w:rsidP="006226DC">
            <w:pPr>
              <w:rPr>
                <w:b/>
                <w:bCs/>
              </w:rPr>
            </w:pPr>
            <w:r>
              <w:rPr>
                <w:b/>
                <w:bCs/>
              </w:rPr>
              <w:t>From</w:t>
            </w:r>
            <w:r w:rsidR="0028672D">
              <w:rPr>
                <w:b/>
                <w:bCs/>
              </w:rPr>
              <w:t xml:space="preserve"> </w:t>
            </w:r>
            <w:r w:rsidR="007A1FCD">
              <w:rPr>
                <w:b/>
                <w:bCs/>
              </w:rPr>
              <w:t>July/August</w:t>
            </w:r>
            <w:r w:rsidR="0028672D">
              <w:rPr>
                <w:b/>
                <w:bCs/>
              </w:rPr>
              <w:t xml:space="preserve"> 2021</w:t>
            </w:r>
          </w:p>
        </w:tc>
        <w:tc>
          <w:tcPr>
            <w:tcW w:w="3443" w:type="pct"/>
          </w:tcPr>
          <w:p w14:paraId="0308B1B4" w14:textId="3E714F81" w:rsidR="0028672D" w:rsidRPr="00090EA8" w:rsidRDefault="0028672D" w:rsidP="006226DC">
            <w:r>
              <w:t>Award</w:t>
            </w:r>
            <w:r w:rsidR="0031640C">
              <w:t xml:space="preserve"> and contracting process begins</w:t>
            </w:r>
          </w:p>
        </w:tc>
      </w:tr>
    </w:tbl>
    <w:p w14:paraId="00D43EA3" w14:textId="77777777" w:rsidR="0028672D" w:rsidRPr="0028672D" w:rsidRDefault="0028672D" w:rsidP="0028672D">
      <w:pPr>
        <w:rPr>
          <w:lang w:eastAsia="en-GB"/>
        </w:rPr>
      </w:pPr>
    </w:p>
    <w:p w14:paraId="4ED6A1E4" w14:textId="0FDDD91E" w:rsidR="00A71F7B" w:rsidRDefault="00A71F7B" w:rsidP="008E581B">
      <w:pPr>
        <w:pStyle w:val="Heading2"/>
      </w:pPr>
      <w:r w:rsidRPr="00803C71">
        <w:lastRenderedPageBreak/>
        <w:t>Other information</w:t>
      </w:r>
    </w:p>
    <w:p w14:paraId="71C99C8E" w14:textId="77777777" w:rsidR="00A71F7B" w:rsidRPr="008E581B" w:rsidRDefault="00A71F7B" w:rsidP="004A7CDB">
      <w:pPr>
        <w:rPr>
          <w:b/>
          <w:bCs/>
        </w:rPr>
      </w:pPr>
      <w:r w:rsidRPr="008E581B">
        <w:rPr>
          <w:b/>
          <w:bCs/>
        </w:rPr>
        <w:t>Value for Money Benchmarks</w:t>
      </w:r>
    </w:p>
    <w:p w14:paraId="5E87EDB8" w14:textId="77777777" w:rsidR="00A71F7B" w:rsidRDefault="00A71F7B" w:rsidP="004A7CDB">
      <w:pPr>
        <w:rPr>
          <w:lang w:eastAsia="en-GB"/>
        </w:rPr>
      </w:pPr>
      <w:r w:rsidRPr="00C85447">
        <w:rPr>
          <w:lang w:eastAsia="en-GB"/>
        </w:rPr>
        <w:t>The NTCA Devolution deal sets out £600m of investment over 30 years to deliver:</w:t>
      </w:r>
    </w:p>
    <w:p w14:paraId="5F035712" w14:textId="684F2822" w:rsidR="00A71F7B" w:rsidRPr="00985DC0" w:rsidRDefault="004C745F" w:rsidP="004A7CDB">
      <w:pPr>
        <w:pStyle w:val="ListParagraph"/>
        <w:numPr>
          <w:ilvl w:val="0"/>
          <w:numId w:val="17"/>
        </w:numPr>
        <w:rPr>
          <w:rFonts w:eastAsia="Times New Roman"/>
          <w:lang w:eastAsia="en-GB"/>
        </w:rPr>
      </w:pPr>
      <w:r w:rsidRPr="00985DC0">
        <w:rPr>
          <w:lang w:eastAsia="en-GB"/>
        </w:rPr>
        <w:t>£</w:t>
      </w:r>
      <w:r w:rsidR="00A71F7B" w:rsidRPr="00985DC0">
        <w:rPr>
          <w:lang w:eastAsia="en-GB"/>
        </w:rPr>
        <w:t xml:space="preserve">2.1bn private sector leverage </w:t>
      </w:r>
    </w:p>
    <w:p w14:paraId="1E3041E8" w14:textId="3FC38102" w:rsidR="00A71F7B" w:rsidRPr="00985DC0" w:rsidRDefault="004C745F" w:rsidP="004A7CDB">
      <w:pPr>
        <w:pStyle w:val="ListParagraph"/>
        <w:numPr>
          <w:ilvl w:val="0"/>
          <w:numId w:val="17"/>
        </w:numPr>
        <w:rPr>
          <w:rFonts w:eastAsia="Times New Roman"/>
          <w:lang w:eastAsia="en-GB"/>
        </w:rPr>
      </w:pPr>
      <w:r w:rsidRPr="00985DC0">
        <w:rPr>
          <w:lang w:eastAsia="en-GB"/>
        </w:rPr>
        <w:t>£</w:t>
      </w:r>
      <w:r w:rsidR="00A71F7B" w:rsidRPr="00985DC0">
        <w:rPr>
          <w:lang w:eastAsia="en-GB"/>
        </w:rPr>
        <w:t xml:space="preserve">1.1bn GVA increase </w:t>
      </w:r>
    </w:p>
    <w:p w14:paraId="3C5D1821" w14:textId="77777777" w:rsidR="00A71F7B" w:rsidRPr="00985DC0" w:rsidRDefault="00A71F7B" w:rsidP="004A7CDB">
      <w:pPr>
        <w:pStyle w:val="ListParagraph"/>
        <w:numPr>
          <w:ilvl w:val="0"/>
          <w:numId w:val="17"/>
        </w:numPr>
        <w:rPr>
          <w:rFonts w:eastAsia="Times New Roman"/>
          <w:lang w:eastAsia="en-GB"/>
        </w:rPr>
      </w:pPr>
      <w:r w:rsidRPr="00985DC0">
        <w:rPr>
          <w:lang w:eastAsia="en-GB"/>
        </w:rPr>
        <w:t>10,000 new jobs over 30 years</w:t>
      </w:r>
    </w:p>
    <w:p w14:paraId="0CABABC6" w14:textId="1097A9F6" w:rsidR="00A71F7B" w:rsidRPr="00911553" w:rsidRDefault="00FC055E" w:rsidP="004A7CDB">
      <w:pPr>
        <w:rPr>
          <w:sz w:val="24"/>
          <w:szCs w:val="24"/>
        </w:rPr>
      </w:pPr>
      <w:r>
        <w:rPr>
          <w:lang w:eastAsia="en-GB"/>
        </w:rPr>
        <w:t xml:space="preserve">Applicants in developing their proposals should </w:t>
      </w:r>
      <w:r w:rsidR="00442C1E">
        <w:rPr>
          <w:lang w:eastAsia="en-GB"/>
        </w:rPr>
        <w:t xml:space="preserve">provide </w:t>
      </w:r>
      <w:r w:rsidRPr="00911553">
        <w:t xml:space="preserve">robust sources of evidence to support unit costs and assumptions relating to </w:t>
      </w:r>
      <w:r w:rsidR="00442C1E">
        <w:t>social and</w:t>
      </w:r>
      <w:r w:rsidRPr="00911553">
        <w:t xml:space="preserve"> economic impact</w:t>
      </w:r>
      <w:r w:rsidR="00442C1E">
        <w:t xml:space="preserve"> of their activities</w:t>
      </w:r>
      <w:r>
        <w:t>.</w:t>
      </w:r>
      <w:r w:rsidRPr="00911553">
        <w:t xml:space="preserve"> </w:t>
      </w:r>
      <w:r w:rsidR="00303E69">
        <w:t>Applications will be appraised in line with the Treasury Green Book methodology plus NTCAs Inclusive Economy Case</w:t>
      </w:r>
      <w:r w:rsidR="005A56C1">
        <w:t xml:space="preserve">. Applicants should ensure they have given a strong and robust rationale and where appropriate underpinning evidence of assumptions </w:t>
      </w:r>
      <w:r w:rsidR="00E75FAE">
        <w:t xml:space="preserve">for all aspects of the application. </w:t>
      </w:r>
    </w:p>
    <w:p w14:paraId="30E982E7" w14:textId="77777777" w:rsidR="00A71F7B" w:rsidRPr="008E581B" w:rsidRDefault="00A71F7B" w:rsidP="004A7CDB">
      <w:pPr>
        <w:rPr>
          <w:b/>
          <w:bCs/>
          <w:lang w:eastAsia="en-GB"/>
        </w:rPr>
      </w:pPr>
      <w:r w:rsidRPr="008E581B">
        <w:rPr>
          <w:b/>
          <w:bCs/>
          <w:lang w:eastAsia="en-GB"/>
        </w:rPr>
        <w:t>Fraud, Liability and Payment Terms</w:t>
      </w:r>
    </w:p>
    <w:p w14:paraId="094FA5B2" w14:textId="19EB30B3" w:rsidR="00A71F7B" w:rsidRPr="00803C71" w:rsidRDefault="00A71F7B" w:rsidP="004A7CDB">
      <w:r w:rsidRPr="00803C71">
        <w:t xml:space="preserve">The North of Tyne Combined Authority will </w:t>
      </w:r>
      <w:r w:rsidR="009B0DDD">
        <w:t xml:space="preserve">take swift action against any </w:t>
      </w:r>
      <w:r w:rsidR="000F25FF">
        <w:t xml:space="preserve">recipients </w:t>
      </w:r>
      <w:r w:rsidR="000F25FF" w:rsidRPr="00803C71">
        <w:t>who</w:t>
      </w:r>
      <w:r w:rsidR="009B0DDD">
        <w:t xml:space="preserve"> have </w:t>
      </w:r>
      <w:r w:rsidRPr="00803C71">
        <w:t>deliberate</w:t>
      </w:r>
      <w:r w:rsidR="009B0DDD">
        <w:t>ly</w:t>
      </w:r>
      <w:r w:rsidRPr="00803C71">
        <w:t xml:space="preserve"> manipulat</w:t>
      </w:r>
      <w:r w:rsidR="009B0DDD">
        <w:t>ed records or have committed</w:t>
      </w:r>
      <w:r w:rsidRPr="00803C71">
        <w:t xml:space="preserve"> fraud</w:t>
      </w:r>
      <w:r w:rsidR="009B0DDD">
        <w:t>.</w:t>
      </w:r>
      <w:r w:rsidRPr="00803C71">
        <w:t xml:space="preserve"> </w:t>
      </w:r>
      <w:r w:rsidR="009B0DDD">
        <w:t>A</w:t>
      </w:r>
      <w:r w:rsidRPr="00803C71">
        <w:t xml:space="preserve">ny </w:t>
      </w:r>
      <w:r w:rsidR="009B0DDD">
        <w:t>b</w:t>
      </w:r>
      <w:r w:rsidR="009B0DDD" w:rsidRPr="00803C71">
        <w:t>eneficiaries</w:t>
      </w:r>
      <w:r w:rsidRPr="00803C71">
        <w:t xml:space="preserve"> caught falsifying their records to gain grant funding will face prosecution and any funding</w:t>
      </w:r>
      <w:r w:rsidR="009B0DDD">
        <w:t xml:space="preserve"> or grants paid in error</w:t>
      </w:r>
      <w:r w:rsidRPr="00803C71">
        <w:t xml:space="preserve"> will be subject to claw back. </w:t>
      </w:r>
    </w:p>
    <w:p w14:paraId="4F9465F8" w14:textId="2A4AFD7B" w:rsidR="00A71F7B" w:rsidRPr="00803C71" w:rsidRDefault="00A71F7B" w:rsidP="004A7CDB">
      <w:r w:rsidRPr="00803C71">
        <w:t>The North of Tyne Combined Authority does not accept any liability for any issues that may arise for applicants under this scheme</w:t>
      </w:r>
      <w:r w:rsidR="009B0DDD">
        <w:t>, whether they are successful or not</w:t>
      </w:r>
      <w:r w:rsidRPr="00803C71">
        <w:t xml:space="preserve">. </w:t>
      </w:r>
    </w:p>
    <w:p w14:paraId="4F82D3BE" w14:textId="3C4C21FB" w:rsidR="003E00E8" w:rsidRPr="008C102B" w:rsidRDefault="00A71F7B" w:rsidP="004A7CDB">
      <w:pPr>
        <w:sectPr w:rsidR="003E00E8" w:rsidRPr="008C102B" w:rsidSect="00160B25">
          <w:footerReference w:type="default" r:id="rId18"/>
          <w:headerReference w:type="first" r:id="rId19"/>
          <w:pgSz w:w="11906" w:h="16838"/>
          <w:pgMar w:top="720" w:right="720" w:bottom="720" w:left="720" w:header="708" w:footer="708" w:gutter="0"/>
          <w:cols w:space="708"/>
          <w:titlePg/>
          <w:docGrid w:linePitch="360"/>
        </w:sectPr>
      </w:pPr>
      <w:r w:rsidRPr="00803C71">
        <w:t xml:space="preserve">Following a grant award, the applicant will be required to submit claims to draw down the grant. Only claims which can demonstrate </w:t>
      </w:r>
      <w:r w:rsidR="009B0DDD" w:rsidRPr="00803C71">
        <w:t>evidenc</w:t>
      </w:r>
      <w:r w:rsidR="009B0DDD">
        <w:t>e of</w:t>
      </w:r>
      <w:r w:rsidR="009B0DDD" w:rsidRPr="00803C71">
        <w:t xml:space="preserve"> </w:t>
      </w:r>
      <w:r w:rsidRPr="00803C71">
        <w:t xml:space="preserve">expenditure will be eligible for payment. Payments will be made directly to </w:t>
      </w:r>
      <w:r w:rsidR="009B0DDD">
        <w:t xml:space="preserve">the </w:t>
      </w:r>
      <w:r w:rsidRPr="00803C71">
        <w:t>applicant</w:t>
      </w:r>
      <w:r w:rsidR="009B0DDD">
        <w:t>’</w:t>
      </w:r>
      <w:r w:rsidRPr="00803C71">
        <w:t xml:space="preserve">s bank account by electronic transfer, normally within </w:t>
      </w:r>
      <w:r w:rsidR="009F4A1B">
        <w:t>10</w:t>
      </w:r>
      <w:r w:rsidRPr="00803C71">
        <w:t xml:space="preserve"> working days of a claim being accepted. Grant awards will be subject to the availability of funds. There will be no appeals process following determination. Beneficiaries will receive written confirmation stating that by accepting the grant payment, they confirm that they are eligible for the grant scheme, </w:t>
      </w:r>
      <w:r w:rsidR="001E6FEA">
        <w:t>and</w:t>
      </w:r>
      <w:r w:rsidR="001E6FEA" w:rsidRPr="00803C71">
        <w:t xml:space="preserve"> </w:t>
      </w:r>
      <w:r w:rsidRPr="00803C71">
        <w:t xml:space="preserve">that any payments accepted will be subject to </w:t>
      </w:r>
      <w:r w:rsidR="00783115">
        <w:t>subsidy control</w:t>
      </w:r>
      <w:r w:rsidRPr="00803C71">
        <w:t xml:space="preserve"> requirements</w:t>
      </w:r>
      <w:r w:rsidR="006C1CE8">
        <w:t>.</w:t>
      </w:r>
    </w:p>
    <w:p w14:paraId="311DFE8C" w14:textId="77777777" w:rsidR="0015088B" w:rsidRPr="007023A0" w:rsidRDefault="0015088B" w:rsidP="0015088B">
      <w:pPr>
        <w:rPr>
          <w:b/>
          <w:bCs/>
        </w:rPr>
      </w:pPr>
      <w:r w:rsidRPr="007023A0">
        <w:rPr>
          <w:b/>
          <w:bCs/>
        </w:rPr>
        <w:lastRenderedPageBreak/>
        <w:t xml:space="preserve">Appendix 1 – Detailed Scoring Criteria </w:t>
      </w:r>
    </w:p>
    <w:tbl>
      <w:tblPr>
        <w:tblStyle w:val="TableGrid1"/>
        <w:tblW w:w="5000" w:type="pct"/>
        <w:tblLook w:val="04A0" w:firstRow="1" w:lastRow="0" w:firstColumn="1" w:lastColumn="0" w:noHBand="0" w:noVBand="1"/>
      </w:tblPr>
      <w:tblGrid>
        <w:gridCol w:w="3150"/>
        <w:gridCol w:w="1729"/>
        <w:gridCol w:w="1730"/>
        <w:gridCol w:w="1730"/>
        <w:gridCol w:w="1730"/>
        <w:gridCol w:w="1730"/>
        <w:gridCol w:w="1730"/>
        <w:gridCol w:w="1859"/>
      </w:tblGrid>
      <w:tr w:rsidR="0015088B" w:rsidRPr="008C102B" w14:paraId="31E8231E" w14:textId="77777777" w:rsidTr="006226DC">
        <w:trPr>
          <w:trHeight w:val="161"/>
        </w:trPr>
        <w:tc>
          <w:tcPr>
            <w:tcW w:w="5000" w:type="pct"/>
            <w:gridSpan w:val="8"/>
            <w:shd w:val="clear" w:color="auto" w:fill="D9D9D9" w:themeFill="background1" w:themeFillShade="D9"/>
          </w:tcPr>
          <w:p w14:paraId="66BB1381" w14:textId="77777777" w:rsidR="0015088B" w:rsidRPr="007C150B" w:rsidRDefault="0015088B" w:rsidP="006226DC">
            <w:pPr>
              <w:rPr>
                <w:b/>
                <w:bCs/>
              </w:rPr>
            </w:pPr>
            <w:r w:rsidRPr="007C150B">
              <w:rPr>
                <w:b/>
                <w:bCs/>
              </w:rPr>
              <w:t>Assessment of Project</w:t>
            </w:r>
          </w:p>
        </w:tc>
      </w:tr>
      <w:tr w:rsidR="0015088B" w:rsidRPr="008C102B" w14:paraId="193549C4" w14:textId="77777777" w:rsidTr="006226DC">
        <w:trPr>
          <w:trHeight w:val="169"/>
        </w:trPr>
        <w:tc>
          <w:tcPr>
            <w:tcW w:w="1024" w:type="pct"/>
            <w:vMerge w:val="restart"/>
            <w:shd w:val="clear" w:color="auto" w:fill="D9D9D9" w:themeFill="background1" w:themeFillShade="D9"/>
          </w:tcPr>
          <w:p w14:paraId="3197F4EA" w14:textId="77777777" w:rsidR="0015088B" w:rsidRPr="007C150B" w:rsidRDefault="0015088B" w:rsidP="006226DC">
            <w:pPr>
              <w:rPr>
                <w:b/>
                <w:bCs/>
              </w:rPr>
            </w:pPr>
            <w:r w:rsidRPr="007C150B">
              <w:rPr>
                <w:b/>
                <w:bCs/>
              </w:rPr>
              <w:t>Strategic fit with NTCA Vision and Call Specification</w:t>
            </w:r>
          </w:p>
        </w:tc>
        <w:tc>
          <w:tcPr>
            <w:tcW w:w="562" w:type="pct"/>
            <w:shd w:val="clear" w:color="auto" w:fill="00B050"/>
          </w:tcPr>
          <w:p w14:paraId="2D9B85A2" w14:textId="77777777" w:rsidR="0015088B" w:rsidRPr="008C102B" w:rsidRDefault="0015088B" w:rsidP="006226DC">
            <w:r w:rsidRPr="008C102B">
              <w:t xml:space="preserve"> </w:t>
            </w:r>
            <w:r>
              <w:t>13-15</w:t>
            </w:r>
          </w:p>
        </w:tc>
        <w:tc>
          <w:tcPr>
            <w:tcW w:w="562" w:type="pct"/>
            <w:tcBorders>
              <w:bottom w:val="nil"/>
            </w:tcBorders>
            <w:shd w:val="clear" w:color="auto" w:fill="92D050"/>
          </w:tcPr>
          <w:p w14:paraId="42625C69" w14:textId="77777777" w:rsidR="0015088B" w:rsidRPr="008C102B" w:rsidRDefault="0015088B" w:rsidP="006226DC">
            <w:r>
              <w:t>10-12</w:t>
            </w:r>
          </w:p>
        </w:tc>
        <w:tc>
          <w:tcPr>
            <w:tcW w:w="562" w:type="pct"/>
            <w:shd w:val="clear" w:color="auto" w:fill="C00000"/>
          </w:tcPr>
          <w:p w14:paraId="528009B3" w14:textId="77777777" w:rsidR="0015088B" w:rsidRPr="008C102B" w:rsidRDefault="0015088B" w:rsidP="006226DC">
            <w:r>
              <w:t>Fail</w:t>
            </w:r>
          </w:p>
        </w:tc>
        <w:tc>
          <w:tcPr>
            <w:tcW w:w="562" w:type="pct"/>
            <w:shd w:val="clear" w:color="auto" w:fill="C00000"/>
          </w:tcPr>
          <w:p w14:paraId="150104E7" w14:textId="77777777" w:rsidR="0015088B" w:rsidRPr="008C102B" w:rsidRDefault="0015088B" w:rsidP="006226DC">
            <w:r>
              <w:t>Fail</w:t>
            </w:r>
          </w:p>
        </w:tc>
        <w:tc>
          <w:tcPr>
            <w:tcW w:w="562" w:type="pct"/>
            <w:shd w:val="clear" w:color="auto" w:fill="C00000"/>
          </w:tcPr>
          <w:p w14:paraId="6325C278" w14:textId="77777777" w:rsidR="0015088B" w:rsidRPr="008C102B" w:rsidRDefault="0015088B" w:rsidP="006226DC">
            <w:r>
              <w:t>Fail</w:t>
            </w:r>
          </w:p>
        </w:tc>
        <w:tc>
          <w:tcPr>
            <w:tcW w:w="562" w:type="pct"/>
            <w:shd w:val="clear" w:color="auto" w:fill="C00000"/>
          </w:tcPr>
          <w:p w14:paraId="3AA26A68" w14:textId="77777777" w:rsidR="0015088B" w:rsidRPr="008C102B" w:rsidRDefault="0015088B" w:rsidP="006226DC">
            <w:r>
              <w:t>Fail</w:t>
            </w:r>
          </w:p>
        </w:tc>
        <w:tc>
          <w:tcPr>
            <w:tcW w:w="604" w:type="pct"/>
            <w:vMerge w:val="restart"/>
          </w:tcPr>
          <w:p w14:paraId="03D8F871" w14:textId="77777777" w:rsidR="0015088B" w:rsidRPr="008C102B" w:rsidRDefault="0015088B" w:rsidP="006226DC"/>
          <w:p w14:paraId="35BFC6AA" w14:textId="77777777" w:rsidR="0015088B" w:rsidRPr="008C102B" w:rsidRDefault="0015088B" w:rsidP="006226DC">
            <w:r>
              <w:t>Pass score</w:t>
            </w:r>
            <w:r w:rsidRPr="008C102B">
              <w:t xml:space="preserve"> </w:t>
            </w:r>
            <w:r>
              <w:t xml:space="preserve">/15 </w:t>
            </w:r>
            <w:r w:rsidRPr="008C102B">
              <w:t xml:space="preserve">or Fail </w:t>
            </w:r>
          </w:p>
        </w:tc>
      </w:tr>
      <w:tr w:rsidR="0015088B" w:rsidRPr="008C102B" w14:paraId="43745356" w14:textId="77777777" w:rsidTr="006226DC">
        <w:trPr>
          <w:trHeight w:val="703"/>
        </w:trPr>
        <w:tc>
          <w:tcPr>
            <w:tcW w:w="1024" w:type="pct"/>
            <w:vMerge/>
            <w:shd w:val="clear" w:color="auto" w:fill="D9D9D9" w:themeFill="background1" w:themeFillShade="D9"/>
          </w:tcPr>
          <w:p w14:paraId="2C5BAE29" w14:textId="77777777" w:rsidR="0015088B" w:rsidRPr="007C150B" w:rsidRDefault="0015088B" w:rsidP="006226DC">
            <w:pPr>
              <w:rPr>
                <w:b/>
                <w:bCs/>
              </w:rPr>
            </w:pPr>
          </w:p>
        </w:tc>
        <w:tc>
          <w:tcPr>
            <w:tcW w:w="562" w:type="pct"/>
          </w:tcPr>
          <w:p w14:paraId="54351916" w14:textId="77777777" w:rsidR="0015088B" w:rsidRPr="008C102B" w:rsidRDefault="0015088B" w:rsidP="006226DC">
            <w:r w:rsidRPr="008C102B">
              <w:t>Very strong fit and strong evidence of need and rationale for intervention</w:t>
            </w:r>
          </w:p>
          <w:p w14:paraId="141031B1" w14:textId="77777777" w:rsidR="0015088B" w:rsidRPr="008C102B" w:rsidRDefault="0015088B" w:rsidP="006226DC"/>
        </w:tc>
        <w:tc>
          <w:tcPr>
            <w:tcW w:w="562" w:type="pct"/>
          </w:tcPr>
          <w:p w14:paraId="4C4F1ED4" w14:textId="77777777" w:rsidR="0015088B" w:rsidRPr="008C102B" w:rsidRDefault="0015088B" w:rsidP="006226DC"/>
        </w:tc>
        <w:tc>
          <w:tcPr>
            <w:tcW w:w="562" w:type="pct"/>
          </w:tcPr>
          <w:p w14:paraId="125E8874" w14:textId="77777777" w:rsidR="0015088B" w:rsidRPr="008C102B" w:rsidRDefault="0015088B" w:rsidP="006226DC">
            <w:r w:rsidRPr="008C102B">
              <w:t>Moderate fit with limited evidence of need or rationale for intervention</w:t>
            </w:r>
          </w:p>
        </w:tc>
        <w:tc>
          <w:tcPr>
            <w:tcW w:w="562" w:type="pct"/>
          </w:tcPr>
          <w:p w14:paraId="4FA59106" w14:textId="77777777" w:rsidR="0015088B" w:rsidRPr="008C102B" w:rsidRDefault="0015088B" w:rsidP="006226DC"/>
        </w:tc>
        <w:tc>
          <w:tcPr>
            <w:tcW w:w="562" w:type="pct"/>
          </w:tcPr>
          <w:p w14:paraId="1DB96694" w14:textId="77777777" w:rsidR="0015088B" w:rsidRPr="008C102B" w:rsidRDefault="0015088B" w:rsidP="006226DC">
            <w:r w:rsidRPr="008C102B">
              <w:t>Low fit with poor evidence of need and rationale for the intervention.</w:t>
            </w:r>
          </w:p>
        </w:tc>
        <w:tc>
          <w:tcPr>
            <w:tcW w:w="562" w:type="pct"/>
          </w:tcPr>
          <w:p w14:paraId="6CA0F59C" w14:textId="77777777" w:rsidR="0015088B" w:rsidRPr="008C102B" w:rsidRDefault="0015088B" w:rsidP="006226DC">
            <w:r w:rsidRPr="008C102B">
              <w:t xml:space="preserve">No fit with no evidence of need or rationale. </w:t>
            </w:r>
          </w:p>
        </w:tc>
        <w:tc>
          <w:tcPr>
            <w:tcW w:w="604" w:type="pct"/>
            <w:vMerge/>
          </w:tcPr>
          <w:p w14:paraId="75FB4433" w14:textId="77777777" w:rsidR="0015088B" w:rsidRPr="008C102B" w:rsidRDefault="0015088B" w:rsidP="006226DC"/>
        </w:tc>
      </w:tr>
      <w:tr w:rsidR="0015088B" w:rsidRPr="008C102B" w14:paraId="7107F4A4" w14:textId="77777777" w:rsidTr="006226DC">
        <w:trPr>
          <w:trHeight w:val="169"/>
        </w:trPr>
        <w:tc>
          <w:tcPr>
            <w:tcW w:w="1024" w:type="pct"/>
            <w:vMerge w:val="restart"/>
            <w:shd w:val="clear" w:color="auto" w:fill="D9D9D9" w:themeFill="background1" w:themeFillShade="D9"/>
          </w:tcPr>
          <w:p w14:paraId="60ADD8FD" w14:textId="77777777" w:rsidR="0015088B" w:rsidRPr="007C150B" w:rsidRDefault="0015088B" w:rsidP="006226DC">
            <w:pPr>
              <w:rPr>
                <w:b/>
                <w:bCs/>
              </w:rPr>
            </w:pPr>
            <w:r w:rsidRPr="007C150B">
              <w:rPr>
                <w:b/>
                <w:bCs/>
              </w:rPr>
              <w:t>Outcomes associated with the project</w:t>
            </w:r>
          </w:p>
        </w:tc>
        <w:tc>
          <w:tcPr>
            <w:tcW w:w="562" w:type="pct"/>
            <w:shd w:val="clear" w:color="auto" w:fill="00B050"/>
          </w:tcPr>
          <w:p w14:paraId="086A5E72" w14:textId="77777777" w:rsidR="0015088B" w:rsidRPr="008C102B" w:rsidRDefault="0015088B" w:rsidP="006226DC">
            <w:r>
              <w:t>13-15</w:t>
            </w:r>
          </w:p>
        </w:tc>
        <w:tc>
          <w:tcPr>
            <w:tcW w:w="562" w:type="pct"/>
            <w:shd w:val="clear" w:color="auto" w:fill="92D050"/>
          </w:tcPr>
          <w:p w14:paraId="73B5EA8B" w14:textId="77777777" w:rsidR="0015088B" w:rsidRPr="008C102B" w:rsidRDefault="0015088B" w:rsidP="006226DC">
            <w:r>
              <w:t>10-12</w:t>
            </w:r>
          </w:p>
        </w:tc>
        <w:tc>
          <w:tcPr>
            <w:tcW w:w="562" w:type="pct"/>
            <w:shd w:val="clear" w:color="auto" w:fill="FFFF00"/>
          </w:tcPr>
          <w:p w14:paraId="24F3BA01" w14:textId="77777777" w:rsidR="0015088B" w:rsidRPr="008C102B" w:rsidRDefault="0015088B" w:rsidP="006226DC">
            <w:r>
              <w:t>7-9</w:t>
            </w:r>
          </w:p>
        </w:tc>
        <w:tc>
          <w:tcPr>
            <w:tcW w:w="562" w:type="pct"/>
            <w:shd w:val="clear" w:color="auto" w:fill="C00000"/>
          </w:tcPr>
          <w:p w14:paraId="3533743B" w14:textId="77777777" w:rsidR="0015088B" w:rsidRPr="008C102B" w:rsidRDefault="0015088B" w:rsidP="006226DC">
            <w:r>
              <w:t>Fail</w:t>
            </w:r>
          </w:p>
        </w:tc>
        <w:tc>
          <w:tcPr>
            <w:tcW w:w="562" w:type="pct"/>
            <w:shd w:val="clear" w:color="auto" w:fill="C00000"/>
          </w:tcPr>
          <w:p w14:paraId="11FEDA4C" w14:textId="77777777" w:rsidR="0015088B" w:rsidRPr="008C102B" w:rsidRDefault="0015088B" w:rsidP="006226DC">
            <w:r>
              <w:t>Fail</w:t>
            </w:r>
          </w:p>
        </w:tc>
        <w:tc>
          <w:tcPr>
            <w:tcW w:w="562" w:type="pct"/>
            <w:shd w:val="clear" w:color="auto" w:fill="C00000"/>
          </w:tcPr>
          <w:p w14:paraId="7909476F" w14:textId="52F855DA" w:rsidR="0015088B" w:rsidRPr="008C102B" w:rsidRDefault="0015088B" w:rsidP="006226DC">
            <w:r>
              <w:t>F</w:t>
            </w:r>
            <w:r w:rsidR="006101B0">
              <w:t>ail</w:t>
            </w:r>
          </w:p>
        </w:tc>
        <w:tc>
          <w:tcPr>
            <w:tcW w:w="604" w:type="pct"/>
            <w:vMerge w:val="restart"/>
          </w:tcPr>
          <w:p w14:paraId="74066582" w14:textId="77777777" w:rsidR="0015088B" w:rsidRPr="008C102B" w:rsidRDefault="0015088B" w:rsidP="006226DC"/>
          <w:p w14:paraId="3471138E" w14:textId="77777777" w:rsidR="0015088B" w:rsidRPr="008C102B" w:rsidRDefault="0015088B" w:rsidP="006226DC">
            <w:r w:rsidRPr="008C102B">
              <w:t>Pass</w:t>
            </w:r>
            <w:r>
              <w:t xml:space="preserve"> score</w:t>
            </w:r>
            <w:r w:rsidRPr="008C102B">
              <w:t xml:space="preserve"> </w:t>
            </w:r>
            <w:r>
              <w:t xml:space="preserve">/15 </w:t>
            </w:r>
            <w:r w:rsidRPr="008C102B">
              <w:t xml:space="preserve">or Fail </w:t>
            </w:r>
          </w:p>
        </w:tc>
      </w:tr>
      <w:tr w:rsidR="0015088B" w:rsidRPr="008C102B" w14:paraId="398F7D9B" w14:textId="77777777" w:rsidTr="006226DC">
        <w:trPr>
          <w:trHeight w:val="239"/>
        </w:trPr>
        <w:tc>
          <w:tcPr>
            <w:tcW w:w="1024" w:type="pct"/>
            <w:vMerge/>
            <w:shd w:val="clear" w:color="auto" w:fill="D9D9D9" w:themeFill="background1" w:themeFillShade="D9"/>
          </w:tcPr>
          <w:p w14:paraId="59413169" w14:textId="77777777" w:rsidR="0015088B" w:rsidRPr="007C150B" w:rsidRDefault="0015088B" w:rsidP="006226DC">
            <w:pPr>
              <w:rPr>
                <w:b/>
                <w:bCs/>
              </w:rPr>
            </w:pPr>
          </w:p>
        </w:tc>
        <w:tc>
          <w:tcPr>
            <w:tcW w:w="562" w:type="pct"/>
          </w:tcPr>
          <w:p w14:paraId="35117079" w14:textId="77777777" w:rsidR="0015088B" w:rsidRPr="008C102B" w:rsidRDefault="0015088B" w:rsidP="006226DC">
            <w:r w:rsidRPr="008C102B">
              <w:t xml:space="preserve">Very Likely to deliver exceptional and relevant outcomes </w:t>
            </w:r>
          </w:p>
        </w:tc>
        <w:tc>
          <w:tcPr>
            <w:tcW w:w="562" w:type="pct"/>
          </w:tcPr>
          <w:p w14:paraId="791497F0" w14:textId="77777777" w:rsidR="0015088B" w:rsidRPr="008C102B" w:rsidRDefault="0015088B" w:rsidP="006226DC"/>
        </w:tc>
        <w:tc>
          <w:tcPr>
            <w:tcW w:w="562" w:type="pct"/>
          </w:tcPr>
          <w:p w14:paraId="2615C50E" w14:textId="77777777" w:rsidR="0015088B" w:rsidRPr="008C102B" w:rsidRDefault="0015088B" w:rsidP="006226DC">
            <w:r w:rsidRPr="008C102B">
              <w:t>Likely to deliver a reasonable level of relevant outcomes</w:t>
            </w:r>
          </w:p>
        </w:tc>
        <w:tc>
          <w:tcPr>
            <w:tcW w:w="562" w:type="pct"/>
          </w:tcPr>
          <w:p w14:paraId="2C356F19" w14:textId="77777777" w:rsidR="0015088B" w:rsidRPr="008C102B" w:rsidRDefault="0015088B" w:rsidP="006226DC"/>
        </w:tc>
        <w:tc>
          <w:tcPr>
            <w:tcW w:w="562" w:type="pct"/>
          </w:tcPr>
          <w:p w14:paraId="18F3D0BA" w14:textId="77777777" w:rsidR="0015088B" w:rsidRPr="008C102B" w:rsidRDefault="0015088B" w:rsidP="006226DC">
            <w:r w:rsidRPr="008C102B">
              <w:t xml:space="preserve">Likely to provide limited outcomes </w:t>
            </w:r>
          </w:p>
        </w:tc>
        <w:tc>
          <w:tcPr>
            <w:tcW w:w="562" w:type="pct"/>
          </w:tcPr>
          <w:p w14:paraId="5C9B1D5A" w14:textId="77777777" w:rsidR="0015088B" w:rsidRPr="008C102B" w:rsidRDefault="0015088B" w:rsidP="006226DC">
            <w:r w:rsidRPr="008C102B">
              <w:t>Unlikely to meet any of defined outcomes</w:t>
            </w:r>
          </w:p>
        </w:tc>
        <w:tc>
          <w:tcPr>
            <w:tcW w:w="604" w:type="pct"/>
            <w:vMerge/>
          </w:tcPr>
          <w:p w14:paraId="45C1DEDC" w14:textId="77777777" w:rsidR="0015088B" w:rsidRPr="008C102B" w:rsidRDefault="0015088B" w:rsidP="006226DC"/>
        </w:tc>
      </w:tr>
      <w:tr w:rsidR="00864343" w:rsidRPr="008C102B" w14:paraId="0B295B65" w14:textId="77777777" w:rsidTr="006226DC">
        <w:trPr>
          <w:trHeight w:val="239"/>
        </w:trPr>
        <w:tc>
          <w:tcPr>
            <w:tcW w:w="1024" w:type="pct"/>
            <w:vMerge w:val="restart"/>
            <w:shd w:val="clear" w:color="auto" w:fill="D9D9D9" w:themeFill="background1" w:themeFillShade="D9"/>
          </w:tcPr>
          <w:p w14:paraId="50D27B6C" w14:textId="77777777" w:rsidR="00864343" w:rsidRPr="007C150B" w:rsidRDefault="00864343" w:rsidP="00864343">
            <w:pPr>
              <w:rPr>
                <w:b/>
                <w:bCs/>
              </w:rPr>
            </w:pPr>
            <w:r w:rsidRPr="007C150B">
              <w:rPr>
                <w:b/>
                <w:bCs/>
              </w:rPr>
              <w:t xml:space="preserve">Value for Money </w:t>
            </w:r>
          </w:p>
          <w:p w14:paraId="35D5CF74" w14:textId="77777777" w:rsidR="00864343" w:rsidRPr="007C150B" w:rsidRDefault="00864343" w:rsidP="00864343">
            <w:pPr>
              <w:rPr>
                <w:b/>
                <w:bCs/>
              </w:rPr>
            </w:pPr>
          </w:p>
        </w:tc>
        <w:tc>
          <w:tcPr>
            <w:tcW w:w="562" w:type="pct"/>
            <w:shd w:val="clear" w:color="auto" w:fill="00B050"/>
          </w:tcPr>
          <w:p w14:paraId="66845A39" w14:textId="140BEA06" w:rsidR="00864343" w:rsidRPr="008C102B" w:rsidRDefault="00864343" w:rsidP="00864343">
            <w:r w:rsidRPr="00F52036">
              <w:t>10-9</w:t>
            </w:r>
          </w:p>
        </w:tc>
        <w:tc>
          <w:tcPr>
            <w:tcW w:w="562" w:type="pct"/>
            <w:shd w:val="clear" w:color="auto" w:fill="92D050"/>
          </w:tcPr>
          <w:p w14:paraId="7E8628AD" w14:textId="14257F7B" w:rsidR="00864343" w:rsidRPr="008C102B" w:rsidRDefault="00864343" w:rsidP="00864343">
            <w:r w:rsidRPr="00F52036">
              <w:t>8-7</w:t>
            </w:r>
          </w:p>
        </w:tc>
        <w:tc>
          <w:tcPr>
            <w:tcW w:w="562" w:type="pct"/>
            <w:shd w:val="clear" w:color="auto" w:fill="FFFF00"/>
          </w:tcPr>
          <w:p w14:paraId="7BD36B3B" w14:textId="569EFC2F" w:rsidR="00864343" w:rsidRPr="008C102B" w:rsidRDefault="00864343" w:rsidP="00864343">
            <w:r w:rsidRPr="00F52036">
              <w:t>6-5</w:t>
            </w:r>
          </w:p>
        </w:tc>
        <w:tc>
          <w:tcPr>
            <w:tcW w:w="562" w:type="pct"/>
            <w:shd w:val="clear" w:color="auto" w:fill="FFC000"/>
          </w:tcPr>
          <w:p w14:paraId="78C5B655" w14:textId="4F3AEEFC" w:rsidR="00864343" w:rsidRPr="008C102B" w:rsidRDefault="00864343" w:rsidP="00864343">
            <w:r w:rsidRPr="00F52036">
              <w:t>4-3</w:t>
            </w:r>
          </w:p>
        </w:tc>
        <w:tc>
          <w:tcPr>
            <w:tcW w:w="562" w:type="pct"/>
            <w:shd w:val="clear" w:color="auto" w:fill="FF0000"/>
          </w:tcPr>
          <w:p w14:paraId="53F0DD7A" w14:textId="4ABBB822" w:rsidR="00864343" w:rsidRPr="008C102B" w:rsidRDefault="00864343" w:rsidP="00864343">
            <w:r w:rsidRPr="00F52036">
              <w:t>2-1</w:t>
            </w:r>
          </w:p>
        </w:tc>
        <w:tc>
          <w:tcPr>
            <w:tcW w:w="562" w:type="pct"/>
            <w:shd w:val="clear" w:color="auto" w:fill="C00000"/>
          </w:tcPr>
          <w:p w14:paraId="5A6D823C" w14:textId="287577D1" w:rsidR="00864343" w:rsidRPr="008C102B" w:rsidRDefault="00864343" w:rsidP="00864343">
            <w:r w:rsidRPr="00F52036">
              <w:t>0</w:t>
            </w:r>
          </w:p>
        </w:tc>
        <w:tc>
          <w:tcPr>
            <w:tcW w:w="604" w:type="pct"/>
            <w:vMerge w:val="restart"/>
          </w:tcPr>
          <w:p w14:paraId="362A2DBC" w14:textId="5EFBD1E9" w:rsidR="00864343" w:rsidRPr="008C102B" w:rsidRDefault="00864343" w:rsidP="00864343">
            <w:r>
              <w:t>10</w:t>
            </w:r>
          </w:p>
        </w:tc>
      </w:tr>
      <w:tr w:rsidR="00864343" w:rsidRPr="008C102B" w14:paraId="5AE80AE2" w14:textId="77777777" w:rsidTr="006226DC">
        <w:trPr>
          <w:trHeight w:val="239"/>
        </w:trPr>
        <w:tc>
          <w:tcPr>
            <w:tcW w:w="1024" w:type="pct"/>
            <w:vMerge/>
            <w:shd w:val="clear" w:color="auto" w:fill="D9D9D9" w:themeFill="background1" w:themeFillShade="D9"/>
          </w:tcPr>
          <w:p w14:paraId="4CA3D9DA" w14:textId="77777777" w:rsidR="00864343" w:rsidRPr="007C150B" w:rsidRDefault="00864343" w:rsidP="00864343">
            <w:pPr>
              <w:rPr>
                <w:b/>
                <w:bCs/>
              </w:rPr>
            </w:pPr>
          </w:p>
        </w:tc>
        <w:tc>
          <w:tcPr>
            <w:tcW w:w="562" w:type="pct"/>
          </w:tcPr>
          <w:p w14:paraId="44E967D2" w14:textId="4CB91561" w:rsidR="00864343" w:rsidRPr="008C102B" w:rsidRDefault="00864343" w:rsidP="00864343">
            <w:r w:rsidRPr="00F52036">
              <w:t>Exceptional value for money</w:t>
            </w:r>
          </w:p>
        </w:tc>
        <w:tc>
          <w:tcPr>
            <w:tcW w:w="562" w:type="pct"/>
          </w:tcPr>
          <w:p w14:paraId="4940C525" w14:textId="0FAFDA26" w:rsidR="00864343" w:rsidRPr="008C102B" w:rsidRDefault="00864343" w:rsidP="00864343">
            <w:r w:rsidRPr="00F52036">
              <w:t>potentially very good value for money</w:t>
            </w:r>
          </w:p>
        </w:tc>
        <w:tc>
          <w:tcPr>
            <w:tcW w:w="562" w:type="pct"/>
          </w:tcPr>
          <w:p w14:paraId="54D7FED2" w14:textId="7A494E7A" w:rsidR="00864343" w:rsidRPr="008C102B" w:rsidRDefault="00864343" w:rsidP="00864343">
            <w:r w:rsidRPr="00F52036">
              <w:t>represents reasonable value for money</w:t>
            </w:r>
          </w:p>
        </w:tc>
        <w:tc>
          <w:tcPr>
            <w:tcW w:w="562" w:type="pct"/>
          </w:tcPr>
          <w:p w14:paraId="7D57AB15" w14:textId="6B4A2F58" w:rsidR="00864343" w:rsidRPr="008C102B" w:rsidRDefault="00864343" w:rsidP="00864343">
            <w:r w:rsidRPr="00F52036">
              <w:t>4-3</w:t>
            </w:r>
          </w:p>
        </w:tc>
        <w:tc>
          <w:tcPr>
            <w:tcW w:w="562" w:type="pct"/>
          </w:tcPr>
          <w:p w14:paraId="274B3AF1" w14:textId="64E8D75C" w:rsidR="00864343" w:rsidRPr="008C102B" w:rsidRDefault="00864343" w:rsidP="00864343">
            <w:r w:rsidRPr="00F52036">
              <w:t>Offers less favourable value for money.</w:t>
            </w:r>
          </w:p>
        </w:tc>
        <w:tc>
          <w:tcPr>
            <w:tcW w:w="562" w:type="pct"/>
          </w:tcPr>
          <w:p w14:paraId="0C210233" w14:textId="74F765B0" w:rsidR="00864343" w:rsidRPr="008C102B" w:rsidRDefault="00864343" w:rsidP="00864343">
            <w:r w:rsidRPr="00F52036">
              <w:t xml:space="preserve">Unlikely to offer any value for money. </w:t>
            </w:r>
          </w:p>
        </w:tc>
        <w:tc>
          <w:tcPr>
            <w:tcW w:w="604" w:type="pct"/>
            <w:vMerge/>
          </w:tcPr>
          <w:p w14:paraId="695E1F6A" w14:textId="77777777" w:rsidR="00864343" w:rsidRPr="008C102B" w:rsidRDefault="00864343" w:rsidP="00864343"/>
        </w:tc>
      </w:tr>
      <w:tr w:rsidR="0015088B" w:rsidRPr="008C102B" w14:paraId="574B9DBB" w14:textId="77777777" w:rsidTr="006226DC">
        <w:trPr>
          <w:trHeight w:val="161"/>
        </w:trPr>
        <w:tc>
          <w:tcPr>
            <w:tcW w:w="1024" w:type="pct"/>
            <w:vMerge w:val="restart"/>
            <w:shd w:val="clear" w:color="auto" w:fill="D9D9D9" w:themeFill="background1" w:themeFillShade="D9"/>
          </w:tcPr>
          <w:p w14:paraId="29366E6C" w14:textId="77777777" w:rsidR="0015088B" w:rsidRPr="007C150B" w:rsidRDefault="0015088B" w:rsidP="006226DC">
            <w:pPr>
              <w:rPr>
                <w:b/>
                <w:bCs/>
              </w:rPr>
            </w:pPr>
            <w:r w:rsidRPr="00D23CD5">
              <w:rPr>
                <w:b/>
                <w:bCs/>
              </w:rPr>
              <w:t>Status of the match funding</w:t>
            </w:r>
            <w:r w:rsidRPr="007C150B">
              <w:rPr>
                <w:b/>
                <w:bCs/>
              </w:rPr>
              <w:t xml:space="preserve"> </w:t>
            </w:r>
          </w:p>
        </w:tc>
        <w:tc>
          <w:tcPr>
            <w:tcW w:w="562" w:type="pct"/>
            <w:shd w:val="clear" w:color="auto" w:fill="00B050"/>
          </w:tcPr>
          <w:p w14:paraId="2836F39C" w14:textId="77777777" w:rsidR="0015088B" w:rsidRPr="008C102B" w:rsidRDefault="0015088B" w:rsidP="006226DC">
            <w:r w:rsidRPr="008C102B">
              <w:t>5</w:t>
            </w:r>
          </w:p>
        </w:tc>
        <w:tc>
          <w:tcPr>
            <w:tcW w:w="562" w:type="pct"/>
            <w:shd w:val="clear" w:color="auto" w:fill="92D050"/>
          </w:tcPr>
          <w:p w14:paraId="5F2C815C" w14:textId="77777777" w:rsidR="0015088B" w:rsidRPr="008C102B" w:rsidRDefault="0015088B" w:rsidP="006226DC">
            <w:r w:rsidRPr="008C102B">
              <w:t>4</w:t>
            </w:r>
          </w:p>
        </w:tc>
        <w:tc>
          <w:tcPr>
            <w:tcW w:w="562" w:type="pct"/>
            <w:shd w:val="clear" w:color="auto" w:fill="FFFF00"/>
          </w:tcPr>
          <w:p w14:paraId="496B9085" w14:textId="77777777" w:rsidR="0015088B" w:rsidRPr="008C102B" w:rsidRDefault="0015088B" w:rsidP="006226DC">
            <w:r w:rsidRPr="008C102B">
              <w:t>3</w:t>
            </w:r>
          </w:p>
        </w:tc>
        <w:tc>
          <w:tcPr>
            <w:tcW w:w="562" w:type="pct"/>
            <w:shd w:val="clear" w:color="auto" w:fill="FFC000"/>
          </w:tcPr>
          <w:p w14:paraId="3E941FF3" w14:textId="77777777" w:rsidR="0015088B" w:rsidRPr="008C102B" w:rsidRDefault="0015088B" w:rsidP="006226DC">
            <w:r w:rsidRPr="008C102B">
              <w:t>2</w:t>
            </w:r>
          </w:p>
        </w:tc>
        <w:tc>
          <w:tcPr>
            <w:tcW w:w="562" w:type="pct"/>
            <w:shd w:val="clear" w:color="auto" w:fill="FF0000"/>
          </w:tcPr>
          <w:p w14:paraId="539A7AC1" w14:textId="77777777" w:rsidR="0015088B" w:rsidRPr="008C102B" w:rsidRDefault="0015088B" w:rsidP="006226DC">
            <w:r w:rsidRPr="008C102B">
              <w:t>1</w:t>
            </w:r>
          </w:p>
        </w:tc>
        <w:tc>
          <w:tcPr>
            <w:tcW w:w="562" w:type="pct"/>
            <w:shd w:val="clear" w:color="auto" w:fill="C00000"/>
          </w:tcPr>
          <w:p w14:paraId="686410E8" w14:textId="77777777" w:rsidR="0015088B" w:rsidRPr="008C102B" w:rsidRDefault="0015088B" w:rsidP="006226DC">
            <w:r w:rsidRPr="008C102B">
              <w:t>0</w:t>
            </w:r>
          </w:p>
        </w:tc>
        <w:tc>
          <w:tcPr>
            <w:tcW w:w="604" w:type="pct"/>
            <w:vMerge w:val="restart"/>
          </w:tcPr>
          <w:p w14:paraId="61E98978" w14:textId="77777777" w:rsidR="0015088B" w:rsidRPr="008C102B" w:rsidRDefault="0015088B" w:rsidP="006226DC">
            <w:r w:rsidRPr="008C102B">
              <w:t>5</w:t>
            </w:r>
          </w:p>
        </w:tc>
      </w:tr>
      <w:tr w:rsidR="0015088B" w:rsidRPr="008C102B" w14:paraId="0886C9CC" w14:textId="77777777" w:rsidTr="006226DC">
        <w:trPr>
          <w:trHeight w:val="673"/>
        </w:trPr>
        <w:tc>
          <w:tcPr>
            <w:tcW w:w="1024" w:type="pct"/>
            <w:vMerge/>
            <w:shd w:val="clear" w:color="auto" w:fill="D9D9D9" w:themeFill="background1" w:themeFillShade="D9"/>
          </w:tcPr>
          <w:p w14:paraId="0AEEE04F" w14:textId="77777777" w:rsidR="0015088B" w:rsidRPr="007C150B" w:rsidRDefault="0015088B" w:rsidP="006226DC">
            <w:pPr>
              <w:rPr>
                <w:b/>
                <w:bCs/>
              </w:rPr>
            </w:pPr>
          </w:p>
        </w:tc>
        <w:tc>
          <w:tcPr>
            <w:tcW w:w="562" w:type="pct"/>
          </w:tcPr>
          <w:p w14:paraId="091FF438" w14:textId="77777777" w:rsidR="0015088B" w:rsidRPr="008C102B" w:rsidRDefault="0015088B" w:rsidP="006226DC">
            <w:r w:rsidRPr="008C102B">
              <w:t xml:space="preserve">Fully confirmed </w:t>
            </w:r>
          </w:p>
        </w:tc>
        <w:tc>
          <w:tcPr>
            <w:tcW w:w="562" w:type="pct"/>
          </w:tcPr>
          <w:p w14:paraId="29E8C0B1" w14:textId="77777777" w:rsidR="0015088B" w:rsidRPr="008C102B" w:rsidRDefault="0015088B" w:rsidP="006226DC"/>
        </w:tc>
        <w:tc>
          <w:tcPr>
            <w:tcW w:w="562" w:type="pct"/>
          </w:tcPr>
          <w:p w14:paraId="6135108E" w14:textId="77777777" w:rsidR="0015088B" w:rsidRPr="008C102B" w:rsidRDefault="0015088B" w:rsidP="006226DC">
            <w:r w:rsidRPr="008C102B">
              <w:t>Most match funding in place</w:t>
            </w:r>
          </w:p>
        </w:tc>
        <w:tc>
          <w:tcPr>
            <w:tcW w:w="562" w:type="pct"/>
          </w:tcPr>
          <w:p w14:paraId="4BC8F1A6" w14:textId="77777777" w:rsidR="0015088B" w:rsidRPr="008C102B" w:rsidRDefault="0015088B" w:rsidP="006226DC"/>
        </w:tc>
        <w:tc>
          <w:tcPr>
            <w:tcW w:w="562" w:type="pct"/>
          </w:tcPr>
          <w:p w14:paraId="76EB53E1" w14:textId="77777777" w:rsidR="0015088B" w:rsidRPr="008C102B" w:rsidRDefault="0015088B" w:rsidP="006226DC">
            <w:r w:rsidRPr="008C102B">
              <w:t>Little match funding in place</w:t>
            </w:r>
          </w:p>
        </w:tc>
        <w:tc>
          <w:tcPr>
            <w:tcW w:w="562" w:type="pct"/>
          </w:tcPr>
          <w:p w14:paraId="3CFDD221" w14:textId="77777777" w:rsidR="0015088B" w:rsidRPr="008C102B" w:rsidRDefault="0015088B" w:rsidP="006226DC">
            <w:r w:rsidRPr="008C102B">
              <w:t xml:space="preserve">No source of match funding identified </w:t>
            </w:r>
          </w:p>
        </w:tc>
        <w:tc>
          <w:tcPr>
            <w:tcW w:w="604" w:type="pct"/>
            <w:vMerge/>
          </w:tcPr>
          <w:p w14:paraId="70730B56" w14:textId="77777777" w:rsidR="0015088B" w:rsidRPr="008C102B" w:rsidRDefault="0015088B" w:rsidP="006226DC"/>
        </w:tc>
      </w:tr>
      <w:tr w:rsidR="0015088B" w:rsidRPr="008C102B" w14:paraId="7C177965" w14:textId="77777777" w:rsidTr="006226DC">
        <w:trPr>
          <w:trHeight w:val="161"/>
        </w:trPr>
        <w:tc>
          <w:tcPr>
            <w:tcW w:w="1024" w:type="pct"/>
            <w:vMerge w:val="restart"/>
            <w:shd w:val="clear" w:color="auto" w:fill="D9D9D9" w:themeFill="background1" w:themeFillShade="D9"/>
          </w:tcPr>
          <w:p w14:paraId="35F84BC9" w14:textId="77777777" w:rsidR="0015088B" w:rsidRPr="007C150B" w:rsidRDefault="0015088B" w:rsidP="006226DC">
            <w:pPr>
              <w:rPr>
                <w:b/>
                <w:bCs/>
              </w:rPr>
            </w:pPr>
            <w:r>
              <w:rPr>
                <w:b/>
                <w:bCs/>
              </w:rPr>
              <w:t>Subsidy Control</w:t>
            </w:r>
            <w:r w:rsidRPr="007C150B">
              <w:rPr>
                <w:b/>
                <w:bCs/>
              </w:rPr>
              <w:t xml:space="preserve"> risk</w:t>
            </w:r>
          </w:p>
        </w:tc>
        <w:tc>
          <w:tcPr>
            <w:tcW w:w="562" w:type="pct"/>
            <w:shd w:val="clear" w:color="auto" w:fill="00B050"/>
          </w:tcPr>
          <w:p w14:paraId="11802C19" w14:textId="77777777" w:rsidR="0015088B" w:rsidRPr="008C102B" w:rsidRDefault="0015088B" w:rsidP="006226DC">
            <w:r w:rsidRPr="008C102B">
              <w:t>5</w:t>
            </w:r>
          </w:p>
        </w:tc>
        <w:tc>
          <w:tcPr>
            <w:tcW w:w="562" w:type="pct"/>
            <w:shd w:val="clear" w:color="auto" w:fill="92D050"/>
          </w:tcPr>
          <w:p w14:paraId="7D2878E5" w14:textId="77777777" w:rsidR="0015088B" w:rsidRPr="008C102B" w:rsidRDefault="0015088B" w:rsidP="006226DC">
            <w:r w:rsidRPr="008C102B">
              <w:t>4</w:t>
            </w:r>
          </w:p>
        </w:tc>
        <w:tc>
          <w:tcPr>
            <w:tcW w:w="562" w:type="pct"/>
            <w:shd w:val="clear" w:color="auto" w:fill="FFFF00"/>
          </w:tcPr>
          <w:p w14:paraId="14B2E3C7" w14:textId="77777777" w:rsidR="0015088B" w:rsidRPr="008C102B" w:rsidRDefault="0015088B" w:rsidP="006226DC">
            <w:r w:rsidRPr="008C102B">
              <w:t>3</w:t>
            </w:r>
          </w:p>
        </w:tc>
        <w:tc>
          <w:tcPr>
            <w:tcW w:w="562" w:type="pct"/>
            <w:shd w:val="clear" w:color="auto" w:fill="FFC000"/>
          </w:tcPr>
          <w:p w14:paraId="2DD90310" w14:textId="77777777" w:rsidR="0015088B" w:rsidRPr="008C102B" w:rsidRDefault="0015088B" w:rsidP="006226DC">
            <w:r w:rsidRPr="008C102B">
              <w:t>2</w:t>
            </w:r>
          </w:p>
        </w:tc>
        <w:tc>
          <w:tcPr>
            <w:tcW w:w="562" w:type="pct"/>
            <w:shd w:val="clear" w:color="auto" w:fill="FF0000"/>
          </w:tcPr>
          <w:p w14:paraId="7957585F" w14:textId="77777777" w:rsidR="0015088B" w:rsidRPr="008C102B" w:rsidRDefault="0015088B" w:rsidP="006226DC">
            <w:r w:rsidRPr="008C102B">
              <w:t>1</w:t>
            </w:r>
          </w:p>
        </w:tc>
        <w:tc>
          <w:tcPr>
            <w:tcW w:w="562" w:type="pct"/>
            <w:shd w:val="clear" w:color="auto" w:fill="C00000"/>
          </w:tcPr>
          <w:p w14:paraId="26E6335E" w14:textId="77777777" w:rsidR="0015088B" w:rsidRPr="008C102B" w:rsidRDefault="0015088B" w:rsidP="006226DC">
            <w:r w:rsidRPr="008C102B">
              <w:t>0</w:t>
            </w:r>
          </w:p>
        </w:tc>
        <w:tc>
          <w:tcPr>
            <w:tcW w:w="604" w:type="pct"/>
            <w:vMerge w:val="restart"/>
          </w:tcPr>
          <w:p w14:paraId="684D648E" w14:textId="77777777" w:rsidR="0015088B" w:rsidRPr="008C102B" w:rsidRDefault="0015088B" w:rsidP="006226DC">
            <w:r w:rsidRPr="008C102B">
              <w:t>5</w:t>
            </w:r>
          </w:p>
        </w:tc>
      </w:tr>
      <w:tr w:rsidR="0015088B" w:rsidRPr="008C102B" w14:paraId="3B91CEE9" w14:textId="77777777" w:rsidTr="006226DC">
        <w:trPr>
          <w:trHeight w:val="1328"/>
        </w:trPr>
        <w:tc>
          <w:tcPr>
            <w:tcW w:w="1024" w:type="pct"/>
            <w:vMerge/>
            <w:shd w:val="clear" w:color="auto" w:fill="D9D9D9" w:themeFill="background1" w:themeFillShade="D9"/>
          </w:tcPr>
          <w:p w14:paraId="2B99016B" w14:textId="77777777" w:rsidR="0015088B" w:rsidRPr="007C150B" w:rsidRDefault="0015088B" w:rsidP="006226DC">
            <w:pPr>
              <w:rPr>
                <w:b/>
                <w:bCs/>
              </w:rPr>
            </w:pPr>
          </w:p>
        </w:tc>
        <w:tc>
          <w:tcPr>
            <w:tcW w:w="562" w:type="pct"/>
          </w:tcPr>
          <w:p w14:paraId="27D824BD" w14:textId="77777777" w:rsidR="0015088B" w:rsidRPr="008C102B" w:rsidRDefault="0015088B" w:rsidP="006226DC">
            <w:r w:rsidRPr="008C102B">
              <w:t xml:space="preserve">Independent legal opinion supports compliant route or confirm no </w:t>
            </w:r>
            <w:r>
              <w:t>Subsidies</w:t>
            </w:r>
            <w:r w:rsidRPr="008C102B">
              <w:t>.</w:t>
            </w:r>
          </w:p>
        </w:tc>
        <w:tc>
          <w:tcPr>
            <w:tcW w:w="562" w:type="pct"/>
          </w:tcPr>
          <w:p w14:paraId="2A062959" w14:textId="77777777" w:rsidR="0015088B" w:rsidRPr="008C102B" w:rsidRDefault="0015088B" w:rsidP="006226DC">
            <w:r w:rsidRPr="008C102B">
              <w:t xml:space="preserve">Applicant identifies a compliant </w:t>
            </w:r>
            <w:r>
              <w:t>Subsidy Control</w:t>
            </w:r>
            <w:r w:rsidRPr="008C102B">
              <w:t xml:space="preserve"> route.</w:t>
            </w:r>
          </w:p>
        </w:tc>
        <w:tc>
          <w:tcPr>
            <w:tcW w:w="562" w:type="pct"/>
          </w:tcPr>
          <w:p w14:paraId="496D0822" w14:textId="77777777" w:rsidR="0015088B" w:rsidRPr="008C102B" w:rsidRDefault="0015088B" w:rsidP="006226DC">
            <w:r w:rsidRPr="008C102B">
              <w:t xml:space="preserve">Relevant </w:t>
            </w:r>
            <w:r>
              <w:t xml:space="preserve">Subsidy Control </w:t>
            </w:r>
            <w:r w:rsidRPr="008C102B">
              <w:t>issues understood and clarified</w:t>
            </w:r>
          </w:p>
        </w:tc>
        <w:tc>
          <w:tcPr>
            <w:tcW w:w="562" w:type="pct"/>
          </w:tcPr>
          <w:p w14:paraId="76DDE128" w14:textId="189A513D" w:rsidR="0015088B" w:rsidRPr="008C102B" w:rsidRDefault="0015088B" w:rsidP="006226DC">
            <w:r w:rsidRPr="008C102B">
              <w:t xml:space="preserve">Relevant </w:t>
            </w:r>
            <w:r w:rsidR="004C5373">
              <w:t>Subsidy Control</w:t>
            </w:r>
            <w:r w:rsidRPr="008C102B">
              <w:t xml:space="preserve"> issues understood but currently unable to be clarified</w:t>
            </w:r>
          </w:p>
        </w:tc>
        <w:tc>
          <w:tcPr>
            <w:tcW w:w="562" w:type="pct"/>
          </w:tcPr>
          <w:p w14:paraId="3913AF72" w14:textId="11076CC4" w:rsidR="0015088B" w:rsidRPr="008C102B" w:rsidRDefault="0015088B" w:rsidP="006226DC">
            <w:r w:rsidRPr="008C102B">
              <w:t xml:space="preserve">No appropriate consideration of </w:t>
            </w:r>
            <w:r w:rsidR="004C5373">
              <w:t>Subsidy Control</w:t>
            </w:r>
            <w:r w:rsidRPr="008C102B">
              <w:t xml:space="preserve"> provided</w:t>
            </w:r>
          </w:p>
        </w:tc>
        <w:tc>
          <w:tcPr>
            <w:tcW w:w="562" w:type="pct"/>
          </w:tcPr>
          <w:p w14:paraId="433E8241" w14:textId="09CACFCA" w:rsidR="0015088B" w:rsidRPr="008C102B" w:rsidRDefault="0015088B" w:rsidP="006226DC">
            <w:r w:rsidRPr="008C102B">
              <w:t xml:space="preserve">Request not compliant with </w:t>
            </w:r>
            <w:r w:rsidR="004C5373">
              <w:t>Subsidy Control</w:t>
            </w:r>
            <w:r w:rsidRPr="008C102B">
              <w:t>.</w:t>
            </w:r>
          </w:p>
        </w:tc>
        <w:tc>
          <w:tcPr>
            <w:tcW w:w="604" w:type="pct"/>
            <w:vMerge/>
          </w:tcPr>
          <w:p w14:paraId="5017C949" w14:textId="77777777" w:rsidR="0015088B" w:rsidRPr="008C102B" w:rsidRDefault="0015088B" w:rsidP="006226DC"/>
        </w:tc>
      </w:tr>
      <w:tr w:rsidR="0015088B" w:rsidRPr="008C102B" w14:paraId="6A3C69BE" w14:textId="77777777" w:rsidTr="006226DC">
        <w:trPr>
          <w:trHeight w:val="169"/>
        </w:trPr>
        <w:tc>
          <w:tcPr>
            <w:tcW w:w="1024" w:type="pct"/>
            <w:vMerge w:val="restart"/>
            <w:shd w:val="clear" w:color="auto" w:fill="D9D9D9" w:themeFill="background1" w:themeFillShade="D9"/>
          </w:tcPr>
          <w:p w14:paraId="63BB8EDE" w14:textId="77777777" w:rsidR="0015088B" w:rsidRPr="007C150B" w:rsidRDefault="0015088B" w:rsidP="006226DC">
            <w:pPr>
              <w:rPr>
                <w:b/>
                <w:bCs/>
              </w:rPr>
            </w:pPr>
            <w:r w:rsidRPr="007C150B">
              <w:rPr>
                <w:b/>
                <w:bCs/>
              </w:rPr>
              <w:t>Deliverability Risk</w:t>
            </w:r>
          </w:p>
        </w:tc>
        <w:tc>
          <w:tcPr>
            <w:tcW w:w="562" w:type="pct"/>
            <w:shd w:val="clear" w:color="auto" w:fill="00B050"/>
          </w:tcPr>
          <w:p w14:paraId="2D64CCC4" w14:textId="77777777" w:rsidR="0015088B" w:rsidRPr="008C102B" w:rsidRDefault="0015088B" w:rsidP="006226DC">
            <w:r w:rsidRPr="008C102B">
              <w:t>15-13</w:t>
            </w:r>
          </w:p>
        </w:tc>
        <w:tc>
          <w:tcPr>
            <w:tcW w:w="562" w:type="pct"/>
            <w:shd w:val="clear" w:color="auto" w:fill="92D050"/>
          </w:tcPr>
          <w:p w14:paraId="0F10472F" w14:textId="77777777" w:rsidR="0015088B" w:rsidRPr="008C102B" w:rsidRDefault="0015088B" w:rsidP="006226DC">
            <w:r w:rsidRPr="008C102B">
              <w:t>12-10</w:t>
            </w:r>
          </w:p>
        </w:tc>
        <w:tc>
          <w:tcPr>
            <w:tcW w:w="562" w:type="pct"/>
            <w:shd w:val="clear" w:color="auto" w:fill="FFFF00"/>
          </w:tcPr>
          <w:p w14:paraId="7E879097" w14:textId="77777777" w:rsidR="0015088B" w:rsidRPr="008C102B" w:rsidRDefault="0015088B" w:rsidP="006226DC">
            <w:r w:rsidRPr="008C102B">
              <w:t>9-7</w:t>
            </w:r>
          </w:p>
        </w:tc>
        <w:tc>
          <w:tcPr>
            <w:tcW w:w="562" w:type="pct"/>
            <w:shd w:val="clear" w:color="auto" w:fill="FFC000"/>
          </w:tcPr>
          <w:p w14:paraId="31C2EBBD" w14:textId="77777777" w:rsidR="0015088B" w:rsidRPr="008C102B" w:rsidRDefault="0015088B" w:rsidP="006226DC">
            <w:r w:rsidRPr="008C102B">
              <w:t>6-4</w:t>
            </w:r>
          </w:p>
        </w:tc>
        <w:tc>
          <w:tcPr>
            <w:tcW w:w="562" w:type="pct"/>
            <w:shd w:val="clear" w:color="auto" w:fill="FF0000"/>
          </w:tcPr>
          <w:p w14:paraId="1DDA874E" w14:textId="77777777" w:rsidR="0015088B" w:rsidRPr="008C102B" w:rsidRDefault="0015088B" w:rsidP="006226DC">
            <w:r w:rsidRPr="008C102B">
              <w:t>3-1</w:t>
            </w:r>
          </w:p>
        </w:tc>
        <w:tc>
          <w:tcPr>
            <w:tcW w:w="562" w:type="pct"/>
            <w:shd w:val="clear" w:color="auto" w:fill="C00000"/>
          </w:tcPr>
          <w:p w14:paraId="6385866A" w14:textId="77777777" w:rsidR="0015088B" w:rsidRPr="008C102B" w:rsidRDefault="0015088B" w:rsidP="006226DC">
            <w:r w:rsidRPr="008C102B">
              <w:t>0</w:t>
            </w:r>
          </w:p>
        </w:tc>
        <w:tc>
          <w:tcPr>
            <w:tcW w:w="604" w:type="pct"/>
            <w:vMerge w:val="restart"/>
          </w:tcPr>
          <w:p w14:paraId="14826A80" w14:textId="77777777" w:rsidR="0015088B" w:rsidRPr="008C102B" w:rsidRDefault="0015088B" w:rsidP="006226DC">
            <w:r w:rsidRPr="008C102B">
              <w:t>15</w:t>
            </w:r>
          </w:p>
        </w:tc>
      </w:tr>
      <w:tr w:rsidR="0015088B" w:rsidRPr="008C102B" w14:paraId="49CB2379" w14:textId="77777777" w:rsidTr="006226DC">
        <w:trPr>
          <w:trHeight w:val="558"/>
        </w:trPr>
        <w:tc>
          <w:tcPr>
            <w:tcW w:w="1024" w:type="pct"/>
            <w:vMerge/>
            <w:shd w:val="clear" w:color="auto" w:fill="D9D9D9" w:themeFill="background1" w:themeFillShade="D9"/>
          </w:tcPr>
          <w:p w14:paraId="2AB19589" w14:textId="77777777" w:rsidR="0015088B" w:rsidRPr="008C102B" w:rsidRDefault="0015088B" w:rsidP="006226DC"/>
        </w:tc>
        <w:tc>
          <w:tcPr>
            <w:tcW w:w="562" w:type="pct"/>
          </w:tcPr>
          <w:p w14:paraId="79C277BE" w14:textId="6B166FDA" w:rsidR="0015088B" w:rsidRPr="008C102B" w:rsidRDefault="0015088B" w:rsidP="006226DC">
            <w:r w:rsidRPr="008C102B">
              <w:t>Considered to be have a high chance of success &amp; completion by the timescales indicated - risks well managed</w:t>
            </w:r>
            <w:r w:rsidR="00C43B93">
              <w:t>, clear procurement plan</w:t>
            </w:r>
            <w:r w:rsidRPr="008C102B">
              <w:t xml:space="preserve">. </w:t>
            </w:r>
          </w:p>
          <w:p w14:paraId="34789F19" w14:textId="77777777" w:rsidR="0015088B" w:rsidRPr="008C102B" w:rsidRDefault="0015088B" w:rsidP="006226DC"/>
          <w:p w14:paraId="127C4B4A" w14:textId="77777777" w:rsidR="0015088B" w:rsidRPr="008C102B" w:rsidRDefault="0015088B" w:rsidP="006226DC">
            <w:r w:rsidRPr="008C102B">
              <w:t>Likely to have a significant and immediate impact.</w:t>
            </w:r>
          </w:p>
        </w:tc>
        <w:tc>
          <w:tcPr>
            <w:tcW w:w="562" w:type="pct"/>
          </w:tcPr>
          <w:p w14:paraId="45611B1E" w14:textId="77777777" w:rsidR="0015088B" w:rsidRPr="008C102B" w:rsidRDefault="0015088B" w:rsidP="006226DC"/>
        </w:tc>
        <w:tc>
          <w:tcPr>
            <w:tcW w:w="562" w:type="pct"/>
          </w:tcPr>
          <w:p w14:paraId="395A2172" w14:textId="77777777" w:rsidR="0015088B" w:rsidRPr="008C102B" w:rsidRDefault="0015088B" w:rsidP="006226DC">
            <w:r w:rsidRPr="008C102B">
              <w:t xml:space="preserve">Moderately likely to succeed and be delivered by the timescales indicated, some risks with strategies to mitigate in place. </w:t>
            </w:r>
          </w:p>
          <w:p w14:paraId="6E7B7FA7" w14:textId="3CCA482B" w:rsidR="00C9288B" w:rsidRPr="008C102B" w:rsidRDefault="00C9288B" w:rsidP="00890BA4">
            <w:r>
              <w:t>Procurement plan in place but lacking detail.</w:t>
            </w:r>
          </w:p>
          <w:p w14:paraId="51C1DA32" w14:textId="77777777" w:rsidR="0015088B" w:rsidRPr="008C102B" w:rsidRDefault="0015088B" w:rsidP="006226DC"/>
        </w:tc>
        <w:tc>
          <w:tcPr>
            <w:tcW w:w="562" w:type="pct"/>
          </w:tcPr>
          <w:p w14:paraId="14DC8A75" w14:textId="77777777" w:rsidR="0015088B" w:rsidRPr="008C102B" w:rsidRDefault="0015088B" w:rsidP="006226DC"/>
        </w:tc>
        <w:tc>
          <w:tcPr>
            <w:tcW w:w="562" w:type="pct"/>
          </w:tcPr>
          <w:p w14:paraId="6BB85942" w14:textId="77777777" w:rsidR="0015088B" w:rsidRPr="008C102B" w:rsidRDefault="0015088B" w:rsidP="006226DC">
            <w:r w:rsidRPr="008C102B">
              <w:t xml:space="preserve">Management and delivery arrangements considered to be weak. High risk of failure with limited mitigation considered. </w:t>
            </w:r>
          </w:p>
          <w:p w14:paraId="1A452001" w14:textId="7C3F8455" w:rsidR="0015088B" w:rsidRPr="008C102B" w:rsidRDefault="00492F41" w:rsidP="006226DC">
            <w:r>
              <w:t>No procurement plan provided</w:t>
            </w:r>
            <w:r w:rsidR="003E0E62">
              <w:t xml:space="preserve"> and minimal response to procurement questions.</w:t>
            </w:r>
          </w:p>
          <w:p w14:paraId="68E996E9" w14:textId="77777777" w:rsidR="0015088B" w:rsidRPr="008C102B" w:rsidRDefault="0015088B" w:rsidP="006226DC">
            <w:r w:rsidRPr="008C102B">
              <w:t xml:space="preserve">Impact unlikely to be significant or speed of delivery slow. </w:t>
            </w:r>
          </w:p>
        </w:tc>
        <w:tc>
          <w:tcPr>
            <w:tcW w:w="562" w:type="pct"/>
          </w:tcPr>
          <w:p w14:paraId="034DFAFD" w14:textId="77777777" w:rsidR="0015088B" w:rsidRDefault="0015088B" w:rsidP="00D41F68">
            <w:r w:rsidRPr="008C102B">
              <w:t>Considered to have a very low likelihood of successful completion by the timescales indicated / multiple high-level risks with no clear management</w:t>
            </w:r>
          </w:p>
          <w:p w14:paraId="644F4C99" w14:textId="61A276CD" w:rsidR="0015088B" w:rsidRPr="008C102B" w:rsidRDefault="00D75D62" w:rsidP="006226DC">
            <w:r>
              <w:t>No response to procurement</w:t>
            </w:r>
          </w:p>
        </w:tc>
        <w:tc>
          <w:tcPr>
            <w:tcW w:w="604" w:type="pct"/>
            <w:vMerge/>
          </w:tcPr>
          <w:p w14:paraId="513A6F42" w14:textId="77777777" w:rsidR="0015088B" w:rsidRPr="008C102B" w:rsidRDefault="0015088B" w:rsidP="006226DC"/>
        </w:tc>
      </w:tr>
      <w:tr w:rsidR="0015088B" w:rsidRPr="008C102B" w14:paraId="65ED2616" w14:textId="77777777" w:rsidTr="006226DC">
        <w:trPr>
          <w:trHeight w:val="169"/>
        </w:trPr>
        <w:tc>
          <w:tcPr>
            <w:tcW w:w="1024" w:type="pct"/>
            <w:vMerge w:val="restart"/>
            <w:shd w:val="clear" w:color="auto" w:fill="D9D9D9" w:themeFill="background1" w:themeFillShade="D9"/>
          </w:tcPr>
          <w:p w14:paraId="111CB366" w14:textId="77777777" w:rsidR="0015088B" w:rsidRPr="007C150B" w:rsidRDefault="0015088B" w:rsidP="006226DC">
            <w:pPr>
              <w:rPr>
                <w:b/>
                <w:bCs/>
              </w:rPr>
            </w:pPr>
            <w:r w:rsidRPr="007C150B">
              <w:rPr>
                <w:b/>
                <w:bCs/>
              </w:rPr>
              <w:t>Inclusive Economy fit</w:t>
            </w:r>
          </w:p>
          <w:p w14:paraId="151B0CC0" w14:textId="77777777" w:rsidR="0015088B" w:rsidRPr="008C102B" w:rsidRDefault="0015088B" w:rsidP="006226DC"/>
        </w:tc>
        <w:tc>
          <w:tcPr>
            <w:tcW w:w="562" w:type="pct"/>
            <w:shd w:val="clear" w:color="auto" w:fill="00B050"/>
          </w:tcPr>
          <w:p w14:paraId="49C4DA2C" w14:textId="77777777" w:rsidR="0015088B" w:rsidRPr="008C102B" w:rsidRDefault="0015088B" w:rsidP="006226DC">
            <w:r w:rsidRPr="008C102B">
              <w:t>10-9</w:t>
            </w:r>
          </w:p>
        </w:tc>
        <w:tc>
          <w:tcPr>
            <w:tcW w:w="562" w:type="pct"/>
            <w:shd w:val="clear" w:color="auto" w:fill="92D050"/>
          </w:tcPr>
          <w:p w14:paraId="1FF29B35" w14:textId="77777777" w:rsidR="0015088B" w:rsidRPr="008C102B" w:rsidRDefault="0015088B" w:rsidP="006226DC">
            <w:r w:rsidRPr="008C102B">
              <w:t>8-7</w:t>
            </w:r>
          </w:p>
        </w:tc>
        <w:tc>
          <w:tcPr>
            <w:tcW w:w="562" w:type="pct"/>
            <w:shd w:val="clear" w:color="auto" w:fill="FFFF00"/>
          </w:tcPr>
          <w:p w14:paraId="39391633" w14:textId="77777777" w:rsidR="0015088B" w:rsidRPr="008C102B" w:rsidRDefault="0015088B" w:rsidP="006226DC">
            <w:r w:rsidRPr="008C102B">
              <w:t>6-5</w:t>
            </w:r>
          </w:p>
        </w:tc>
        <w:tc>
          <w:tcPr>
            <w:tcW w:w="562" w:type="pct"/>
            <w:shd w:val="clear" w:color="auto" w:fill="FFC000"/>
          </w:tcPr>
          <w:p w14:paraId="5E15631D" w14:textId="77777777" w:rsidR="0015088B" w:rsidRPr="008C102B" w:rsidRDefault="0015088B" w:rsidP="006226DC">
            <w:r w:rsidRPr="008C102B">
              <w:t>4-3</w:t>
            </w:r>
          </w:p>
        </w:tc>
        <w:tc>
          <w:tcPr>
            <w:tcW w:w="562" w:type="pct"/>
            <w:shd w:val="clear" w:color="auto" w:fill="FF0000"/>
          </w:tcPr>
          <w:p w14:paraId="75883F66" w14:textId="77777777" w:rsidR="0015088B" w:rsidRPr="008C102B" w:rsidRDefault="0015088B" w:rsidP="006226DC">
            <w:r w:rsidRPr="008C102B">
              <w:t>2-1</w:t>
            </w:r>
          </w:p>
        </w:tc>
        <w:tc>
          <w:tcPr>
            <w:tcW w:w="562" w:type="pct"/>
            <w:shd w:val="clear" w:color="auto" w:fill="C00000"/>
          </w:tcPr>
          <w:p w14:paraId="06F53387" w14:textId="77777777" w:rsidR="0015088B" w:rsidRPr="008C102B" w:rsidRDefault="0015088B" w:rsidP="006226DC">
            <w:r w:rsidRPr="008C102B">
              <w:t>0</w:t>
            </w:r>
          </w:p>
        </w:tc>
        <w:tc>
          <w:tcPr>
            <w:tcW w:w="604" w:type="pct"/>
            <w:vMerge w:val="restart"/>
          </w:tcPr>
          <w:p w14:paraId="07C6851C" w14:textId="77777777" w:rsidR="0015088B" w:rsidRPr="008C102B" w:rsidRDefault="0015088B" w:rsidP="006226DC">
            <w:r w:rsidRPr="008C102B">
              <w:t>10</w:t>
            </w:r>
          </w:p>
        </w:tc>
      </w:tr>
      <w:tr w:rsidR="0015088B" w:rsidRPr="008C102B" w14:paraId="22470EAB" w14:textId="77777777" w:rsidTr="006226DC">
        <w:trPr>
          <w:trHeight w:val="331"/>
        </w:trPr>
        <w:tc>
          <w:tcPr>
            <w:tcW w:w="1024" w:type="pct"/>
            <w:vMerge/>
            <w:shd w:val="clear" w:color="auto" w:fill="D9D9D9" w:themeFill="background1" w:themeFillShade="D9"/>
          </w:tcPr>
          <w:p w14:paraId="55DB0C8E" w14:textId="77777777" w:rsidR="0015088B" w:rsidRPr="008C102B" w:rsidRDefault="0015088B" w:rsidP="006226DC"/>
        </w:tc>
        <w:tc>
          <w:tcPr>
            <w:tcW w:w="562" w:type="pct"/>
          </w:tcPr>
          <w:p w14:paraId="4F7D995F" w14:textId="77777777" w:rsidR="0015088B" w:rsidRPr="008C102B" w:rsidRDefault="0015088B" w:rsidP="006226DC">
            <w:r w:rsidRPr="008C102B">
              <w:t xml:space="preserve">Very strong fit </w:t>
            </w:r>
          </w:p>
        </w:tc>
        <w:tc>
          <w:tcPr>
            <w:tcW w:w="562" w:type="pct"/>
          </w:tcPr>
          <w:p w14:paraId="2071C008" w14:textId="77777777" w:rsidR="0015088B" w:rsidRPr="008C102B" w:rsidRDefault="0015088B" w:rsidP="006226DC"/>
        </w:tc>
        <w:tc>
          <w:tcPr>
            <w:tcW w:w="562" w:type="pct"/>
          </w:tcPr>
          <w:p w14:paraId="46E0C9AC" w14:textId="77777777" w:rsidR="0015088B" w:rsidRPr="008C102B" w:rsidRDefault="0015088B" w:rsidP="006226DC">
            <w:r w:rsidRPr="008C102B">
              <w:t xml:space="preserve">Moderate fit </w:t>
            </w:r>
          </w:p>
        </w:tc>
        <w:tc>
          <w:tcPr>
            <w:tcW w:w="562" w:type="pct"/>
          </w:tcPr>
          <w:p w14:paraId="38A5B25D" w14:textId="77777777" w:rsidR="0015088B" w:rsidRPr="008C102B" w:rsidRDefault="0015088B" w:rsidP="006226DC"/>
        </w:tc>
        <w:tc>
          <w:tcPr>
            <w:tcW w:w="562" w:type="pct"/>
          </w:tcPr>
          <w:p w14:paraId="47B85C52" w14:textId="77777777" w:rsidR="0015088B" w:rsidRPr="008C102B" w:rsidRDefault="0015088B" w:rsidP="006226DC">
            <w:r w:rsidRPr="008C102B">
              <w:t>Low fit</w:t>
            </w:r>
          </w:p>
        </w:tc>
        <w:tc>
          <w:tcPr>
            <w:tcW w:w="562" w:type="pct"/>
          </w:tcPr>
          <w:p w14:paraId="06BA9B05" w14:textId="77777777" w:rsidR="0015088B" w:rsidRPr="008C102B" w:rsidRDefault="0015088B" w:rsidP="006226DC">
            <w:r w:rsidRPr="008C102B">
              <w:t xml:space="preserve">No fit </w:t>
            </w:r>
          </w:p>
        </w:tc>
        <w:tc>
          <w:tcPr>
            <w:tcW w:w="604" w:type="pct"/>
            <w:vMerge/>
          </w:tcPr>
          <w:p w14:paraId="3FD9D181" w14:textId="77777777" w:rsidR="0015088B" w:rsidRPr="008C102B" w:rsidRDefault="0015088B" w:rsidP="006226DC"/>
        </w:tc>
      </w:tr>
      <w:tr w:rsidR="0015088B" w:rsidRPr="008C102B" w14:paraId="16B2E2D6" w14:textId="77777777" w:rsidTr="006226DC">
        <w:trPr>
          <w:trHeight w:val="161"/>
        </w:trPr>
        <w:tc>
          <w:tcPr>
            <w:tcW w:w="4396" w:type="pct"/>
            <w:gridSpan w:val="7"/>
          </w:tcPr>
          <w:p w14:paraId="1B0A7091" w14:textId="77777777" w:rsidR="0015088B" w:rsidRPr="007C150B" w:rsidRDefault="0015088B" w:rsidP="006226DC">
            <w:pPr>
              <w:jc w:val="right"/>
              <w:rPr>
                <w:b/>
                <w:bCs/>
              </w:rPr>
            </w:pPr>
            <w:r w:rsidRPr="007C150B">
              <w:rPr>
                <w:b/>
                <w:bCs/>
              </w:rPr>
              <w:t>Score</w:t>
            </w:r>
          </w:p>
        </w:tc>
        <w:tc>
          <w:tcPr>
            <w:tcW w:w="604" w:type="pct"/>
          </w:tcPr>
          <w:p w14:paraId="7A8D3839" w14:textId="03559D05" w:rsidR="0015088B" w:rsidRPr="007C150B" w:rsidRDefault="0015088B" w:rsidP="006226DC">
            <w:pPr>
              <w:rPr>
                <w:b/>
                <w:bCs/>
              </w:rPr>
            </w:pPr>
            <w:r w:rsidRPr="007C150B">
              <w:rPr>
                <w:b/>
                <w:bCs/>
              </w:rPr>
              <w:t xml:space="preserve"> /</w:t>
            </w:r>
            <w:r>
              <w:rPr>
                <w:b/>
                <w:bCs/>
              </w:rPr>
              <w:t>7</w:t>
            </w:r>
            <w:r w:rsidR="00864343">
              <w:rPr>
                <w:b/>
                <w:bCs/>
              </w:rPr>
              <w:t>5</w:t>
            </w:r>
          </w:p>
        </w:tc>
      </w:tr>
    </w:tbl>
    <w:p w14:paraId="67B4F698" w14:textId="77777777" w:rsidR="0015088B" w:rsidRPr="008C102B" w:rsidRDefault="0015088B" w:rsidP="0015088B"/>
    <w:sectPr w:rsidR="0015088B" w:rsidRPr="008C102B" w:rsidSect="002C3596">
      <w:headerReference w:type="even" r:id="rId20"/>
      <w:headerReference w:type="default" r:id="rId21"/>
      <w:footerReference w:type="default" r:id="rId22"/>
      <w:head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36515" w14:textId="77777777" w:rsidR="00CD4C80" w:rsidRDefault="00CD4C80" w:rsidP="004A7CDB">
      <w:r>
        <w:separator/>
      </w:r>
    </w:p>
  </w:endnote>
  <w:endnote w:type="continuationSeparator" w:id="0">
    <w:p w14:paraId="2A613A91" w14:textId="77777777" w:rsidR="00CD4C80" w:rsidRDefault="00CD4C80" w:rsidP="004A7CDB">
      <w:r>
        <w:continuationSeparator/>
      </w:r>
    </w:p>
  </w:endnote>
  <w:endnote w:type="continuationNotice" w:id="1">
    <w:p w14:paraId="6C46EDD5" w14:textId="77777777" w:rsidR="00CD4C80" w:rsidRDefault="00CD4C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982346"/>
      <w:docPartObj>
        <w:docPartGallery w:val="Page Numbers (Bottom of Page)"/>
        <w:docPartUnique/>
      </w:docPartObj>
    </w:sdtPr>
    <w:sdtEndPr>
      <w:rPr>
        <w:noProof/>
      </w:rPr>
    </w:sdtEndPr>
    <w:sdtContent>
      <w:p w14:paraId="7E22E1BF" w14:textId="06D5233D" w:rsidR="0052353A" w:rsidRPr="002C3596" w:rsidRDefault="0052353A" w:rsidP="008E581B">
        <w:pPr>
          <w:pStyle w:val="Footer"/>
          <w:jc w:val="right"/>
        </w:pPr>
        <w:r w:rsidRPr="002C3596">
          <w:fldChar w:fldCharType="begin"/>
        </w:r>
        <w:r w:rsidRPr="002C3596">
          <w:instrText xml:space="preserve"> PAGE   \* MERGEFORMAT </w:instrText>
        </w:r>
        <w:r w:rsidRPr="002C3596">
          <w:fldChar w:fldCharType="separate"/>
        </w:r>
        <w:r w:rsidRPr="002C3596">
          <w:rPr>
            <w:noProof/>
          </w:rPr>
          <w:t>2</w:t>
        </w:r>
        <w:r w:rsidRPr="002C359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678306"/>
      <w:docPartObj>
        <w:docPartGallery w:val="Page Numbers (Bottom of Page)"/>
        <w:docPartUnique/>
      </w:docPartObj>
    </w:sdtPr>
    <w:sdtEndPr>
      <w:rPr>
        <w:noProof/>
      </w:rPr>
    </w:sdtEndPr>
    <w:sdtContent>
      <w:p w14:paraId="003E00B7" w14:textId="323EFA73" w:rsidR="0052353A" w:rsidRDefault="0052353A" w:rsidP="007C150B">
        <w:pPr>
          <w:pStyle w:val="Footer"/>
          <w:spacing w:after="100"/>
          <w:jc w:val="right"/>
        </w:pPr>
        <w:r w:rsidRPr="002C3596">
          <w:fldChar w:fldCharType="begin"/>
        </w:r>
        <w:r w:rsidRPr="002C3596">
          <w:instrText xml:space="preserve"> PAGE   \* MERGEFORMAT </w:instrText>
        </w:r>
        <w:r w:rsidRPr="002C3596">
          <w:fldChar w:fldCharType="separate"/>
        </w:r>
        <w:r w:rsidRPr="002C3596">
          <w:rPr>
            <w:noProof/>
          </w:rPr>
          <w:t>2</w:t>
        </w:r>
        <w:r w:rsidRPr="002C359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8FAE" w14:textId="77777777" w:rsidR="00CD4C80" w:rsidRDefault="00CD4C80" w:rsidP="004A7CDB">
      <w:r>
        <w:separator/>
      </w:r>
    </w:p>
  </w:footnote>
  <w:footnote w:type="continuationSeparator" w:id="0">
    <w:p w14:paraId="4E5B69C5" w14:textId="77777777" w:rsidR="00CD4C80" w:rsidRDefault="00CD4C80" w:rsidP="004A7CDB">
      <w:r>
        <w:continuationSeparator/>
      </w:r>
    </w:p>
  </w:footnote>
  <w:footnote w:type="continuationNotice" w:id="1">
    <w:p w14:paraId="1D163942" w14:textId="77777777" w:rsidR="00CD4C80" w:rsidRDefault="00CD4C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7128" w14:textId="07C31E07" w:rsidR="0052353A" w:rsidRDefault="00F43BDE" w:rsidP="008E581B">
    <w:pPr>
      <w:pStyle w:val="Header"/>
      <w:jc w:val="right"/>
    </w:pPr>
    <w:r>
      <w:rPr>
        <w:noProof/>
        <w:color w:val="2B579A"/>
        <w:shd w:val="clear" w:color="auto" w:fill="E6E6E6"/>
      </w:rPr>
      <w:drawing>
        <wp:inline distT="0" distB="0" distL="0" distR="0" wp14:anchorId="63639828" wp14:editId="34BB3F1B">
          <wp:extent cx="1070091"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91" cy="1080000"/>
                  </a:xfrm>
                  <a:prstGeom prst="rect">
                    <a:avLst/>
                  </a:prstGeom>
                  <a:noFill/>
                  <a:ln>
                    <a:noFill/>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DECD" w14:textId="77777777" w:rsidR="0052353A" w:rsidRDefault="0052353A" w:rsidP="004A7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DAAD" w14:textId="77777777" w:rsidR="0052353A" w:rsidRPr="002C3596" w:rsidRDefault="0052353A" w:rsidP="004A7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B3D3" w14:textId="77777777" w:rsidR="0052353A" w:rsidRDefault="0052353A" w:rsidP="004A7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BC4"/>
    <w:multiLevelType w:val="hybridMultilevel"/>
    <w:tmpl w:val="0AB2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45FD"/>
    <w:multiLevelType w:val="hybridMultilevel"/>
    <w:tmpl w:val="8CBA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B3DF9"/>
    <w:multiLevelType w:val="hybridMultilevel"/>
    <w:tmpl w:val="895023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B49E9"/>
    <w:multiLevelType w:val="hybridMultilevel"/>
    <w:tmpl w:val="E65E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D5D30"/>
    <w:multiLevelType w:val="hybridMultilevel"/>
    <w:tmpl w:val="833E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B400C"/>
    <w:multiLevelType w:val="hybridMultilevel"/>
    <w:tmpl w:val="9B5A3A3E"/>
    <w:lvl w:ilvl="0" w:tplc="8C90DCDE">
      <w:start w:val="1"/>
      <w:numFmt w:val="bullet"/>
      <w:lvlText w:val="●"/>
      <w:lvlJc w:val="left"/>
      <w:pPr>
        <w:ind w:left="720" w:hanging="360"/>
      </w:pPr>
      <w:rPr>
        <w:rFonts w:ascii="Noto Sans Symbols" w:eastAsia="Noto Sans Symbols" w:hAnsi="Noto Sans Symbols" w:cs="Noto Sans Symbols"/>
      </w:rPr>
    </w:lvl>
    <w:lvl w:ilvl="1" w:tplc="C9787FF0">
      <w:start w:val="1"/>
      <w:numFmt w:val="bullet"/>
      <w:lvlText w:val="o"/>
      <w:lvlJc w:val="left"/>
      <w:pPr>
        <w:ind w:left="1440" w:hanging="360"/>
      </w:pPr>
      <w:rPr>
        <w:rFonts w:ascii="Courier New" w:eastAsia="Courier New" w:hAnsi="Courier New" w:cs="Courier New"/>
      </w:rPr>
    </w:lvl>
    <w:lvl w:ilvl="2" w:tplc="832EEC42">
      <w:start w:val="1"/>
      <w:numFmt w:val="bullet"/>
      <w:lvlText w:val="▪"/>
      <w:lvlJc w:val="left"/>
      <w:pPr>
        <w:ind w:left="2160" w:hanging="360"/>
      </w:pPr>
      <w:rPr>
        <w:rFonts w:ascii="Noto Sans Symbols" w:eastAsia="Noto Sans Symbols" w:hAnsi="Noto Sans Symbols" w:cs="Noto Sans Symbols"/>
      </w:rPr>
    </w:lvl>
    <w:lvl w:ilvl="3" w:tplc="39025B9C">
      <w:start w:val="1"/>
      <w:numFmt w:val="bullet"/>
      <w:lvlText w:val="●"/>
      <w:lvlJc w:val="left"/>
      <w:pPr>
        <w:ind w:left="2880" w:hanging="360"/>
      </w:pPr>
      <w:rPr>
        <w:rFonts w:ascii="Noto Sans Symbols" w:eastAsia="Noto Sans Symbols" w:hAnsi="Noto Sans Symbols" w:cs="Noto Sans Symbols"/>
      </w:rPr>
    </w:lvl>
    <w:lvl w:ilvl="4" w:tplc="C4C8A47A">
      <w:start w:val="1"/>
      <w:numFmt w:val="bullet"/>
      <w:lvlText w:val="o"/>
      <w:lvlJc w:val="left"/>
      <w:pPr>
        <w:ind w:left="3600" w:hanging="360"/>
      </w:pPr>
      <w:rPr>
        <w:rFonts w:ascii="Courier New" w:eastAsia="Courier New" w:hAnsi="Courier New" w:cs="Courier New"/>
      </w:rPr>
    </w:lvl>
    <w:lvl w:ilvl="5" w:tplc="74EC0A42">
      <w:start w:val="1"/>
      <w:numFmt w:val="bullet"/>
      <w:lvlText w:val="▪"/>
      <w:lvlJc w:val="left"/>
      <w:pPr>
        <w:ind w:left="4320" w:hanging="360"/>
      </w:pPr>
      <w:rPr>
        <w:rFonts w:ascii="Noto Sans Symbols" w:eastAsia="Noto Sans Symbols" w:hAnsi="Noto Sans Symbols" w:cs="Noto Sans Symbols"/>
      </w:rPr>
    </w:lvl>
    <w:lvl w:ilvl="6" w:tplc="F8463F3A">
      <w:start w:val="1"/>
      <w:numFmt w:val="bullet"/>
      <w:lvlText w:val="●"/>
      <w:lvlJc w:val="left"/>
      <w:pPr>
        <w:ind w:left="5040" w:hanging="360"/>
      </w:pPr>
      <w:rPr>
        <w:rFonts w:ascii="Noto Sans Symbols" w:eastAsia="Noto Sans Symbols" w:hAnsi="Noto Sans Symbols" w:cs="Noto Sans Symbols"/>
      </w:rPr>
    </w:lvl>
    <w:lvl w:ilvl="7" w:tplc="E45AD43C">
      <w:start w:val="1"/>
      <w:numFmt w:val="bullet"/>
      <w:lvlText w:val="o"/>
      <w:lvlJc w:val="left"/>
      <w:pPr>
        <w:ind w:left="5760" w:hanging="360"/>
      </w:pPr>
      <w:rPr>
        <w:rFonts w:ascii="Courier New" w:eastAsia="Courier New" w:hAnsi="Courier New" w:cs="Courier New"/>
      </w:rPr>
    </w:lvl>
    <w:lvl w:ilvl="8" w:tplc="C2CA32B0">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9B17DA"/>
    <w:multiLevelType w:val="hybridMultilevel"/>
    <w:tmpl w:val="7812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445B0"/>
    <w:multiLevelType w:val="hybridMultilevel"/>
    <w:tmpl w:val="5EF6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E5A11"/>
    <w:multiLevelType w:val="hybridMultilevel"/>
    <w:tmpl w:val="6DC6DC7A"/>
    <w:lvl w:ilvl="0" w:tplc="F19EBB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E5837"/>
    <w:multiLevelType w:val="hybridMultilevel"/>
    <w:tmpl w:val="E3D6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226D5"/>
    <w:multiLevelType w:val="multilevel"/>
    <w:tmpl w:val="02FCC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1154F9"/>
    <w:multiLevelType w:val="hybridMultilevel"/>
    <w:tmpl w:val="5B12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97ABE"/>
    <w:multiLevelType w:val="hybridMultilevel"/>
    <w:tmpl w:val="572E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065C2"/>
    <w:multiLevelType w:val="hybridMultilevel"/>
    <w:tmpl w:val="008425FE"/>
    <w:lvl w:ilvl="0" w:tplc="1DA82FF8">
      <w:start w:val="1"/>
      <w:numFmt w:val="bullet"/>
      <w:lvlText w:val="●"/>
      <w:lvlJc w:val="left"/>
      <w:pPr>
        <w:ind w:left="720" w:hanging="360"/>
      </w:pPr>
      <w:rPr>
        <w:rFonts w:ascii="Noto Sans Symbols" w:eastAsia="Noto Sans Symbols" w:hAnsi="Noto Sans Symbols" w:cs="Noto Sans Symbols"/>
      </w:rPr>
    </w:lvl>
    <w:lvl w:ilvl="1" w:tplc="C166086C">
      <w:start w:val="1"/>
      <w:numFmt w:val="bullet"/>
      <w:lvlText w:val="o"/>
      <w:lvlJc w:val="left"/>
      <w:pPr>
        <w:ind w:left="1440" w:hanging="360"/>
      </w:pPr>
      <w:rPr>
        <w:rFonts w:ascii="Courier New" w:eastAsia="Courier New" w:hAnsi="Courier New" w:cs="Courier New"/>
      </w:rPr>
    </w:lvl>
    <w:lvl w:ilvl="2" w:tplc="70F27DEA">
      <w:start w:val="1"/>
      <w:numFmt w:val="bullet"/>
      <w:lvlText w:val="▪"/>
      <w:lvlJc w:val="left"/>
      <w:pPr>
        <w:ind w:left="2160" w:hanging="360"/>
      </w:pPr>
      <w:rPr>
        <w:rFonts w:ascii="Noto Sans Symbols" w:eastAsia="Noto Sans Symbols" w:hAnsi="Noto Sans Symbols" w:cs="Noto Sans Symbols"/>
      </w:rPr>
    </w:lvl>
    <w:lvl w:ilvl="3" w:tplc="F44A6350">
      <w:start w:val="1"/>
      <w:numFmt w:val="bullet"/>
      <w:lvlText w:val="●"/>
      <w:lvlJc w:val="left"/>
      <w:pPr>
        <w:ind w:left="2880" w:hanging="360"/>
      </w:pPr>
      <w:rPr>
        <w:rFonts w:ascii="Noto Sans Symbols" w:eastAsia="Noto Sans Symbols" w:hAnsi="Noto Sans Symbols" w:cs="Noto Sans Symbols"/>
      </w:rPr>
    </w:lvl>
    <w:lvl w:ilvl="4" w:tplc="8C58808A">
      <w:start w:val="1"/>
      <w:numFmt w:val="bullet"/>
      <w:lvlText w:val="o"/>
      <w:lvlJc w:val="left"/>
      <w:pPr>
        <w:ind w:left="3600" w:hanging="360"/>
      </w:pPr>
      <w:rPr>
        <w:rFonts w:ascii="Courier New" w:eastAsia="Courier New" w:hAnsi="Courier New" w:cs="Courier New"/>
      </w:rPr>
    </w:lvl>
    <w:lvl w:ilvl="5" w:tplc="BA7EE28C">
      <w:start w:val="1"/>
      <w:numFmt w:val="bullet"/>
      <w:lvlText w:val="▪"/>
      <w:lvlJc w:val="left"/>
      <w:pPr>
        <w:ind w:left="4320" w:hanging="360"/>
      </w:pPr>
      <w:rPr>
        <w:rFonts w:ascii="Noto Sans Symbols" w:eastAsia="Noto Sans Symbols" w:hAnsi="Noto Sans Symbols" w:cs="Noto Sans Symbols"/>
      </w:rPr>
    </w:lvl>
    <w:lvl w:ilvl="6" w:tplc="DAB2589C">
      <w:start w:val="1"/>
      <w:numFmt w:val="bullet"/>
      <w:lvlText w:val="●"/>
      <w:lvlJc w:val="left"/>
      <w:pPr>
        <w:ind w:left="5040" w:hanging="360"/>
      </w:pPr>
      <w:rPr>
        <w:rFonts w:ascii="Noto Sans Symbols" w:eastAsia="Noto Sans Symbols" w:hAnsi="Noto Sans Symbols" w:cs="Noto Sans Symbols"/>
      </w:rPr>
    </w:lvl>
    <w:lvl w:ilvl="7" w:tplc="ECC02786">
      <w:start w:val="1"/>
      <w:numFmt w:val="bullet"/>
      <w:lvlText w:val="o"/>
      <w:lvlJc w:val="left"/>
      <w:pPr>
        <w:ind w:left="5760" w:hanging="360"/>
      </w:pPr>
      <w:rPr>
        <w:rFonts w:ascii="Courier New" w:eastAsia="Courier New" w:hAnsi="Courier New" w:cs="Courier New"/>
      </w:rPr>
    </w:lvl>
    <w:lvl w:ilvl="8" w:tplc="CA662AA4">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FE75C7"/>
    <w:multiLevelType w:val="hybridMultilevel"/>
    <w:tmpl w:val="36E8B860"/>
    <w:lvl w:ilvl="0" w:tplc="6A1668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1C39"/>
    <w:multiLevelType w:val="hybridMultilevel"/>
    <w:tmpl w:val="172EC1B4"/>
    <w:lvl w:ilvl="0" w:tplc="1B5E4EE0">
      <w:start w:val="1"/>
      <w:numFmt w:val="none"/>
      <w:pStyle w:val="Body"/>
      <w:suff w:val="nothing"/>
      <w:lvlText w:val=""/>
      <w:lvlJc w:val="left"/>
      <w:pPr>
        <w:ind w:left="0" w:firstLine="0"/>
      </w:pPr>
      <w:rPr>
        <w:rFonts w:hint="default"/>
        <w:b w:val="0"/>
        <w:i w:val="0"/>
      </w:rPr>
    </w:lvl>
    <w:lvl w:ilvl="1" w:tplc="62BE7384">
      <w:start w:val="1"/>
      <w:numFmt w:val="lowerLetter"/>
      <w:pStyle w:val="aDefinition"/>
      <w:lvlText w:val="(%2)"/>
      <w:lvlJc w:val="left"/>
      <w:pPr>
        <w:tabs>
          <w:tab w:val="num" w:pos="851"/>
        </w:tabs>
        <w:ind w:left="851" w:hanging="851"/>
      </w:pPr>
      <w:rPr>
        <w:rFonts w:hint="default"/>
      </w:rPr>
    </w:lvl>
    <w:lvl w:ilvl="2" w:tplc="109A3020">
      <w:start w:val="1"/>
      <w:numFmt w:val="lowerRoman"/>
      <w:pStyle w:val="iDefinition"/>
      <w:lvlText w:val="(%3)"/>
      <w:lvlJc w:val="left"/>
      <w:pPr>
        <w:tabs>
          <w:tab w:val="num" w:pos="1843"/>
        </w:tabs>
        <w:ind w:left="1843" w:hanging="992"/>
      </w:pPr>
      <w:rPr>
        <w:rFonts w:hint="default"/>
      </w:rPr>
    </w:lvl>
    <w:lvl w:ilvl="3" w:tplc="976CB1A4">
      <w:start w:val="1"/>
      <w:numFmt w:val="bullet"/>
      <w:lvlText w:val=""/>
      <w:lvlJc w:val="left"/>
      <w:pPr>
        <w:tabs>
          <w:tab w:val="num" w:pos="1440"/>
        </w:tabs>
        <w:ind w:left="1440" w:hanging="360"/>
      </w:pPr>
      <w:rPr>
        <w:rFonts w:ascii="Symbol" w:hAnsi="Symbol" w:cs="Times New Roman" w:hint="default"/>
      </w:rPr>
    </w:lvl>
    <w:lvl w:ilvl="4" w:tplc="943AE8CE">
      <w:start w:val="1"/>
      <w:numFmt w:val="lowerLetter"/>
      <w:lvlText w:val="(%5)"/>
      <w:lvlJc w:val="left"/>
      <w:pPr>
        <w:tabs>
          <w:tab w:val="num" w:pos="1800"/>
        </w:tabs>
        <w:ind w:left="1800" w:hanging="360"/>
      </w:pPr>
      <w:rPr>
        <w:rFonts w:hint="default"/>
      </w:rPr>
    </w:lvl>
    <w:lvl w:ilvl="5" w:tplc="E1C6F524">
      <w:start w:val="1"/>
      <w:numFmt w:val="lowerRoman"/>
      <w:lvlText w:val="(%6)"/>
      <w:lvlJc w:val="left"/>
      <w:pPr>
        <w:tabs>
          <w:tab w:val="num" w:pos="2160"/>
        </w:tabs>
        <w:ind w:left="2160" w:hanging="360"/>
      </w:pPr>
      <w:rPr>
        <w:rFonts w:hint="default"/>
      </w:rPr>
    </w:lvl>
    <w:lvl w:ilvl="6" w:tplc="153612C8">
      <w:start w:val="1"/>
      <w:numFmt w:val="decimal"/>
      <w:lvlText w:val="%7."/>
      <w:lvlJc w:val="left"/>
      <w:pPr>
        <w:tabs>
          <w:tab w:val="num" w:pos="2520"/>
        </w:tabs>
        <w:ind w:left="2520" w:hanging="360"/>
      </w:pPr>
      <w:rPr>
        <w:rFonts w:hint="default"/>
      </w:rPr>
    </w:lvl>
    <w:lvl w:ilvl="7" w:tplc="ED1ABA18">
      <w:start w:val="1"/>
      <w:numFmt w:val="lowerLetter"/>
      <w:lvlText w:val="%8."/>
      <w:lvlJc w:val="left"/>
      <w:pPr>
        <w:tabs>
          <w:tab w:val="num" w:pos="2880"/>
        </w:tabs>
        <w:ind w:left="2880" w:hanging="360"/>
      </w:pPr>
      <w:rPr>
        <w:rFonts w:hint="default"/>
      </w:rPr>
    </w:lvl>
    <w:lvl w:ilvl="8" w:tplc="D8E08C12">
      <w:start w:val="1"/>
      <w:numFmt w:val="lowerRoman"/>
      <w:lvlText w:val="%9."/>
      <w:lvlJc w:val="left"/>
      <w:pPr>
        <w:tabs>
          <w:tab w:val="num" w:pos="3240"/>
        </w:tabs>
        <w:ind w:left="3240" w:hanging="360"/>
      </w:pPr>
      <w:rPr>
        <w:rFonts w:hint="default"/>
      </w:rPr>
    </w:lvl>
  </w:abstractNum>
  <w:abstractNum w:abstractNumId="16" w15:restartNumberingAfterBreak="0">
    <w:nsid w:val="43E26F4A"/>
    <w:multiLevelType w:val="hybridMultilevel"/>
    <w:tmpl w:val="6442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27DCA"/>
    <w:multiLevelType w:val="hybridMultilevel"/>
    <w:tmpl w:val="29F4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77572"/>
    <w:multiLevelType w:val="hybridMultilevel"/>
    <w:tmpl w:val="D126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575A2"/>
    <w:multiLevelType w:val="hybridMultilevel"/>
    <w:tmpl w:val="4C7EE3A0"/>
    <w:lvl w:ilvl="0" w:tplc="DCEE149E">
      <w:start w:val="1"/>
      <w:numFmt w:val="bullet"/>
      <w:lvlText w:val="●"/>
      <w:lvlJc w:val="left"/>
      <w:pPr>
        <w:ind w:left="720" w:hanging="360"/>
      </w:pPr>
      <w:rPr>
        <w:rFonts w:ascii="Noto Sans Symbols" w:eastAsia="Noto Sans Symbols" w:hAnsi="Noto Sans Symbols" w:cs="Noto Sans Symbols"/>
      </w:rPr>
    </w:lvl>
    <w:lvl w:ilvl="1" w:tplc="2FEE325E">
      <w:start w:val="1"/>
      <w:numFmt w:val="bullet"/>
      <w:lvlText w:val="o"/>
      <w:lvlJc w:val="left"/>
      <w:pPr>
        <w:ind w:left="1440" w:hanging="360"/>
      </w:pPr>
      <w:rPr>
        <w:rFonts w:ascii="Courier New" w:eastAsia="Courier New" w:hAnsi="Courier New" w:cs="Courier New"/>
      </w:rPr>
    </w:lvl>
    <w:lvl w:ilvl="2" w:tplc="A45CC73E">
      <w:start w:val="1"/>
      <w:numFmt w:val="bullet"/>
      <w:lvlText w:val="▪"/>
      <w:lvlJc w:val="left"/>
      <w:pPr>
        <w:ind w:left="2160" w:hanging="360"/>
      </w:pPr>
      <w:rPr>
        <w:rFonts w:ascii="Noto Sans Symbols" w:eastAsia="Noto Sans Symbols" w:hAnsi="Noto Sans Symbols" w:cs="Noto Sans Symbols"/>
      </w:rPr>
    </w:lvl>
    <w:lvl w:ilvl="3" w:tplc="21EE13D4">
      <w:start w:val="1"/>
      <w:numFmt w:val="bullet"/>
      <w:lvlText w:val="●"/>
      <w:lvlJc w:val="left"/>
      <w:pPr>
        <w:ind w:left="2880" w:hanging="360"/>
      </w:pPr>
      <w:rPr>
        <w:rFonts w:ascii="Noto Sans Symbols" w:eastAsia="Noto Sans Symbols" w:hAnsi="Noto Sans Symbols" w:cs="Noto Sans Symbols"/>
      </w:rPr>
    </w:lvl>
    <w:lvl w:ilvl="4" w:tplc="0DFCEB38">
      <w:start w:val="1"/>
      <w:numFmt w:val="bullet"/>
      <w:lvlText w:val="o"/>
      <w:lvlJc w:val="left"/>
      <w:pPr>
        <w:ind w:left="3600" w:hanging="360"/>
      </w:pPr>
      <w:rPr>
        <w:rFonts w:ascii="Courier New" w:eastAsia="Courier New" w:hAnsi="Courier New" w:cs="Courier New"/>
      </w:rPr>
    </w:lvl>
    <w:lvl w:ilvl="5" w:tplc="8966960A">
      <w:start w:val="1"/>
      <w:numFmt w:val="bullet"/>
      <w:lvlText w:val="▪"/>
      <w:lvlJc w:val="left"/>
      <w:pPr>
        <w:ind w:left="4320" w:hanging="360"/>
      </w:pPr>
      <w:rPr>
        <w:rFonts w:ascii="Noto Sans Symbols" w:eastAsia="Noto Sans Symbols" w:hAnsi="Noto Sans Symbols" w:cs="Noto Sans Symbols"/>
      </w:rPr>
    </w:lvl>
    <w:lvl w:ilvl="6" w:tplc="99DE7BCA">
      <w:start w:val="1"/>
      <w:numFmt w:val="bullet"/>
      <w:lvlText w:val="●"/>
      <w:lvlJc w:val="left"/>
      <w:pPr>
        <w:ind w:left="5040" w:hanging="360"/>
      </w:pPr>
      <w:rPr>
        <w:rFonts w:ascii="Noto Sans Symbols" w:eastAsia="Noto Sans Symbols" w:hAnsi="Noto Sans Symbols" w:cs="Noto Sans Symbols"/>
      </w:rPr>
    </w:lvl>
    <w:lvl w:ilvl="7" w:tplc="80745C7E">
      <w:start w:val="1"/>
      <w:numFmt w:val="bullet"/>
      <w:lvlText w:val="o"/>
      <w:lvlJc w:val="left"/>
      <w:pPr>
        <w:ind w:left="5760" w:hanging="360"/>
      </w:pPr>
      <w:rPr>
        <w:rFonts w:ascii="Courier New" w:eastAsia="Courier New" w:hAnsi="Courier New" w:cs="Courier New"/>
      </w:rPr>
    </w:lvl>
    <w:lvl w:ilvl="8" w:tplc="C514412E">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95526D"/>
    <w:multiLevelType w:val="hybridMultilevel"/>
    <w:tmpl w:val="B87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33631"/>
    <w:multiLevelType w:val="hybridMultilevel"/>
    <w:tmpl w:val="918050DC"/>
    <w:lvl w:ilvl="0" w:tplc="67383962">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34435D"/>
    <w:multiLevelType w:val="hybridMultilevel"/>
    <w:tmpl w:val="2CDA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F356A"/>
    <w:multiLevelType w:val="hybridMultilevel"/>
    <w:tmpl w:val="A852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62FE2"/>
    <w:multiLevelType w:val="hybridMultilevel"/>
    <w:tmpl w:val="705E4C5C"/>
    <w:lvl w:ilvl="0" w:tplc="6CAEAE64">
      <w:start w:val="1"/>
      <w:numFmt w:val="bullet"/>
      <w:lvlText w:val="●"/>
      <w:lvlJc w:val="left"/>
      <w:pPr>
        <w:ind w:left="720" w:hanging="360"/>
      </w:pPr>
      <w:rPr>
        <w:rFonts w:ascii="Noto Sans Symbols" w:eastAsia="Noto Sans Symbols" w:hAnsi="Noto Sans Symbols" w:cs="Noto Sans Symbols"/>
      </w:rPr>
    </w:lvl>
    <w:lvl w:ilvl="1" w:tplc="A0461C46">
      <w:start w:val="1"/>
      <w:numFmt w:val="bullet"/>
      <w:lvlText w:val="o"/>
      <w:lvlJc w:val="left"/>
      <w:pPr>
        <w:ind w:left="1440" w:hanging="360"/>
      </w:pPr>
      <w:rPr>
        <w:rFonts w:ascii="Courier New" w:eastAsia="Courier New" w:hAnsi="Courier New" w:cs="Courier New"/>
      </w:rPr>
    </w:lvl>
    <w:lvl w:ilvl="2" w:tplc="0AA49400">
      <w:start w:val="1"/>
      <w:numFmt w:val="bullet"/>
      <w:lvlText w:val="▪"/>
      <w:lvlJc w:val="left"/>
      <w:pPr>
        <w:ind w:left="2160" w:hanging="360"/>
      </w:pPr>
      <w:rPr>
        <w:rFonts w:ascii="Noto Sans Symbols" w:eastAsia="Noto Sans Symbols" w:hAnsi="Noto Sans Symbols" w:cs="Noto Sans Symbols"/>
      </w:rPr>
    </w:lvl>
    <w:lvl w:ilvl="3" w:tplc="668C739E">
      <w:start w:val="1"/>
      <w:numFmt w:val="bullet"/>
      <w:lvlText w:val="●"/>
      <w:lvlJc w:val="left"/>
      <w:pPr>
        <w:ind w:left="2880" w:hanging="360"/>
      </w:pPr>
      <w:rPr>
        <w:rFonts w:ascii="Noto Sans Symbols" w:eastAsia="Noto Sans Symbols" w:hAnsi="Noto Sans Symbols" w:cs="Noto Sans Symbols"/>
      </w:rPr>
    </w:lvl>
    <w:lvl w:ilvl="4" w:tplc="14EE2EF0">
      <w:start w:val="1"/>
      <w:numFmt w:val="bullet"/>
      <w:lvlText w:val="o"/>
      <w:lvlJc w:val="left"/>
      <w:pPr>
        <w:ind w:left="3600" w:hanging="360"/>
      </w:pPr>
      <w:rPr>
        <w:rFonts w:ascii="Courier New" w:eastAsia="Courier New" w:hAnsi="Courier New" w:cs="Courier New"/>
      </w:rPr>
    </w:lvl>
    <w:lvl w:ilvl="5" w:tplc="019C283E">
      <w:start w:val="1"/>
      <w:numFmt w:val="bullet"/>
      <w:lvlText w:val="▪"/>
      <w:lvlJc w:val="left"/>
      <w:pPr>
        <w:ind w:left="4320" w:hanging="360"/>
      </w:pPr>
      <w:rPr>
        <w:rFonts w:ascii="Noto Sans Symbols" w:eastAsia="Noto Sans Symbols" w:hAnsi="Noto Sans Symbols" w:cs="Noto Sans Symbols"/>
      </w:rPr>
    </w:lvl>
    <w:lvl w:ilvl="6" w:tplc="496C36B8">
      <w:start w:val="1"/>
      <w:numFmt w:val="bullet"/>
      <w:lvlText w:val="●"/>
      <w:lvlJc w:val="left"/>
      <w:pPr>
        <w:ind w:left="5040" w:hanging="360"/>
      </w:pPr>
      <w:rPr>
        <w:rFonts w:ascii="Noto Sans Symbols" w:eastAsia="Noto Sans Symbols" w:hAnsi="Noto Sans Symbols" w:cs="Noto Sans Symbols"/>
      </w:rPr>
    </w:lvl>
    <w:lvl w:ilvl="7" w:tplc="7CC28E60">
      <w:start w:val="1"/>
      <w:numFmt w:val="bullet"/>
      <w:lvlText w:val="o"/>
      <w:lvlJc w:val="left"/>
      <w:pPr>
        <w:ind w:left="5760" w:hanging="360"/>
      </w:pPr>
      <w:rPr>
        <w:rFonts w:ascii="Courier New" w:eastAsia="Courier New" w:hAnsi="Courier New" w:cs="Courier New"/>
      </w:rPr>
    </w:lvl>
    <w:lvl w:ilvl="8" w:tplc="73BA3050">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4527D9"/>
    <w:multiLevelType w:val="hybridMultilevel"/>
    <w:tmpl w:val="ECC6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D39BB"/>
    <w:multiLevelType w:val="hybridMultilevel"/>
    <w:tmpl w:val="E1DEC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9B1934"/>
    <w:multiLevelType w:val="hybridMultilevel"/>
    <w:tmpl w:val="1DB63E36"/>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47A98"/>
    <w:multiLevelType w:val="hybridMultilevel"/>
    <w:tmpl w:val="F608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4"/>
  </w:num>
  <w:num w:numId="4">
    <w:abstractNumId w:val="19"/>
  </w:num>
  <w:num w:numId="5">
    <w:abstractNumId w:val="13"/>
  </w:num>
  <w:num w:numId="6">
    <w:abstractNumId w:val="5"/>
  </w:num>
  <w:num w:numId="7">
    <w:abstractNumId w:val="10"/>
  </w:num>
  <w:num w:numId="8">
    <w:abstractNumId w:val="2"/>
  </w:num>
  <w:num w:numId="9">
    <w:abstractNumId w:val="15"/>
  </w:num>
  <w:num w:numId="10">
    <w:abstractNumId w:val="21"/>
  </w:num>
  <w:num w:numId="11">
    <w:abstractNumId w:val="18"/>
  </w:num>
  <w:num w:numId="12">
    <w:abstractNumId w:val="11"/>
  </w:num>
  <w:num w:numId="13">
    <w:abstractNumId w:val="12"/>
  </w:num>
  <w:num w:numId="14">
    <w:abstractNumId w:val="16"/>
  </w:num>
  <w:num w:numId="15">
    <w:abstractNumId w:val="3"/>
  </w:num>
  <w:num w:numId="16">
    <w:abstractNumId w:val="4"/>
  </w:num>
  <w:num w:numId="17">
    <w:abstractNumId w:val="20"/>
  </w:num>
  <w:num w:numId="18">
    <w:abstractNumId w:val="0"/>
  </w:num>
  <w:num w:numId="19">
    <w:abstractNumId w:val="28"/>
  </w:num>
  <w:num w:numId="20">
    <w:abstractNumId w:val="9"/>
  </w:num>
  <w:num w:numId="21">
    <w:abstractNumId w:val="7"/>
  </w:num>
  <w:num w:numId="22">
    <w:abstractNumId w:val="23"/>
  </w:num>
  <w:num w:numId="23">
    <w:abstractNumId w:val="6"/>
  </w:num>
  <w:num w:numId="24">
    <w:abstractNumId w:val="25"/>
  </w:num>
  <w:num w:numId="25">
    <w:abstractNumId w:val="17"/>
  </w:num>
  <w:num w:numId="26">
    <w:abstractNumId w:val="1"/>
  </w:num>
  <w:num w:numId="27">
    <w:abstractNumId w:val="26"/>
  </w:num>
  <w:num w:numId="28">
    <w:abstractNumId w:val="22"/>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7B"/>
    <w:rsid w:val="0000049E"/>
    <w:rsid w:val="000007EC"/>
    <w:rsid w:val="0000399F"/>
    <w:rsid w:val="000154A2"/>
    <w:rsid w:val="000160CC"/>
    <w:rsid w:val="00017A41"/>
    <w:rsid w:val="00022AE2"/>
    <w:rsid w:val="00024815"/>
    <w:rsid w:val="000251C6"/>
    <w:rsid w:val="0002671A"/>
    <w:rsid w:val="000267E9"/>
    <w:rsid w:val="00034B28"/>
    <w:rsid w:val="00035E60"/>
    <w:rsid w:val="000366CC"/>
    <w:rsid w:val="00036F4F"/>
    <w:rsid w:val="000407F3"/>
    <w:rsid w:val="00042231"/>
    <w:rsid w:val="00042848"/>
    <w:rsid w:val="00042FA2"/>
    <w:rsid w:val="00043F29"/>
    <w:rsid w:val="00044196"/>
    <w:rsid w:val="000441FF"/>
    <w:rsid w:val="00044CC1"/>
    <w:rsid w:val="00045256"/>
    <w:rsid w:val="00046C9C"/>
    <w:rsid w:val="00052EF3"/>
    <w:rsid w:val="0005306C"/>
    <w:rsid w:val="00054087"/>
    <w:rsid w:val="00054180"/>
    <w:rsid w:val="00055D86"/>
    <w:rsid w:val="00056FE3"/>
    <w:rsid w:val="00057FC7"/>
    <w:rsid w:val="00060711"/>
    <w:rsid w:val="00061363"/>
    <w:rsid w:val="00065887"/>
    <w:rsid w:val="00072753"/>
    <w:rsid w:val="00073500"/>
    <w:rsid w:val="0007794E"/>
    <w:rsid w:val="00080B09"/>
    <w:rsid w:val="000851F3"/>
    <w:rsid w:val="00087E73"/>
    <w:rsid w:val="00090EA8"/>
    <w:rsid w:val="0009263F"/>
    <w:rsid w:val="000927CF"/>
    <w:rsid w:val="00092ECC"/>
    <w:rsid w:val="00093507"/>
    <w:rsid w:val="000A014C"/>
    <w:rsid w:val="000A074C"/>
    <w:rsid w:val="000A0DBB"/>
    <w:rsid w:val="000A0E50"/>
    <w:rsid w:val="000A6A0B"/>
    <w:rsid w:val="000B006D"/>
    <w:rsid w:val="000B062F"/>
    <w:rsid w:val="000B0F06"/>
    <w:rsid w:val="000B1040"/>
    <w:rsid w:val="000B1F47"/>
    <w:rsid w:val="000B667A"/>
    <w:rsid w:val="000B6FC4"/>
    <w:rsid w:val="000B7748"/>
    <w:rsid w:val="000C09AC"/>
    <w:rsid w:val="000C2D68"/>
    <w:rsid w:val="000D1FC4"/>
    <w:rsid w:val="000D29F7"/>
    <w:rsid w:val="000D34CD"/>
    <w:rsid w:val="000D3A8D"/>
    <w:rsid w:val="000D799A"/>
    <w:rsid w:val="000E1896"/>
    <w:rsid w:val="000E4D8D"/>
    <w:rsid w:val="000E591E"/>
    <w:rsid w:val="000E6380"/>
    <w:rsid w:val="000E753E"/>
    <w:rsid w:val="000F25FF"/>
    <w:rsid w:val="000F6790"/>
    <w:rsid w:val="000F7502"/>
    <w:rsid w:val="000F7B54"/>
    <w:rsid w:val="00100685"/>
    <w:rsid w:val="00106C90"/>
    <w:rsid w:val="00110B60"/>
    <w:rsid w:val="00110DFA"/>
    <w:rsid w:val="001126C1"/>
    <w:rsid w:val="001148B4"/>
    <w:rsid w:val="00120202"/>
    <w:rsid w:val="001211F9"/>
    <w:rsid w:val="001224C5"/>
    <w:rsid w:val="00122FC9"/>
    <w:rsid w:val="00125829"/>
    <w:rsid w:val="00126AA2"/>
    <w:rsid w:val="00126AE9"/>
    <w:rsid w:val="00126E88"/>
    <w:rsid w:val="0012709A"/>
    <w:rsid w:val="001273C1"/>
    <w:rsid w:val="00127521"/>
    <w:rsid w:val="00130C4C"/>
    <w:rsid w:val="001316F5"/>
    <w:rsid w:val="00132EDD"/>
    <w:rsid w:val="00133201"/>
    <w:rsid w:val="00134C11"/>
    <w:rsid w:val="00134C19"/>
    <w:rsid w:val="001358DC"/>
    <w:rsid w:val="00136D1A"/>
    <w:rsid w:val="00141E5D"/>
    <w:rsid w:val="00142075"/>
    <w:rsid w:val="0014284D"/>
    <w:rsid w:val="00147653"/>
    <w:rsid w:val="00147968"/>
    <w:rsid w:val="0015088B"/>
    <w:rsid w:val="00151B86"/>
    <w:rsid w:val="00153AB4"/>
    <w:rsid w:val="001541FE"/>
    <w:rsid w:val="00154B11"/>
    <w:rsid w:val="00155869"/>
    <w:rsid w:val="001603E9"/>
    <w:rsid w:val="00160B25"/>
    <w:rsid w:val="00160C67"/>
    <w:rsid w:val="0016228E"/>
    <w:rsid w:val="00165696"/>
    <w:rsid w:val="00165A6B"/>
    <w:rsid w:val="00166255"/>
    <w:rsid w:val="00167EAD"/>
    <w:rsid w:val="001705A6"/>
    <w:rsid w:val="00170935"/>
    <w:rsid w:val="00170B87"/>
    <w:rsid w:val="001717CB"/>
    <w:rsid w:val="00172340"/>
    <w:rsid w:val="00172714"/>
    <w:rsid w:val="001742E9"/>
    <w:rsid w:val="0017464D"/>
    <w:rsid w:val="00176AFF"/>
    <w:rsid w:val="00184943"/>
    <w:rsid w:val="00187EC8"/>
    <w:rsid w:val="00191FF8"/>
    <w:rsid w:val="001938BE"/>
    <w:rsid w:val="00196FAB"/>
    <w:rsid w:val="00197C91"/>
    <w:rsid w:val="001A09BB"/>
    <w:rsid w:val="001A6824"/>
    <w:rsid w:val="001A71E7"/>
    <w:rsid w:val="001A7FE6"/>
    <w:rsid w:val="001B08A5"/>
    <w:rsid w:val="001B3078"/>
    <w:rsid w:val="001B37BC"/>
    <w:rsid w:val="001B396D"/>
    <w:rsid w:val="001B4411"/>
    <w:rsid w:val="001B4A78"/>
    <w:rsid w:val="001B6C08"/>
    <w:rsid w:val="001B7472"/>
    <w:rsid w:val="001B7E34"/>
    <w:rsid w:val="001C0B34"/>
    <w:rsid w:val="001C2B82"/>
    <w:rsid w:val="001C3200"/>
    <w:rsid w:val="001C5484"/>
    <w:rsid w:val="001C68F6"/>
    <w:rsid w:val="001C75B9"/>
    <w:rsid w:val="001D0930"/>
    <w:rsid w:val="001D1EE3"/>
    <w:rsid w:val="001D3EB5"/>
    <w:rsid w:val="001D456A"/>
    <w:rsid w:val="001D6F3F"/>
    <w:rsid w:val="001D7E62"/>
    <w:rsid w:val="001D7F97"/>
    <w:rsid w:val="001E0CB0"/>
    <w:rsid w:val="001E102E"/>
    <w:rsid w:val="001E4CD6"/>
    <w:rsid w:val="001E57C6"/>
    <w:rsid w:val="001E6FEA"/>
    <w:rsid w:val="001F02C5"/>
    <w:rsid w:val="001F1B43"/>
    <w:rsid w:val="001F2894"/>
    <w:rsid w:val="001F3F68"/>
    <w:rsid w:val="001F6B44"/>
    <w:rsid w:val="002011BD"/>
    <w:rsid w:val="002042E6"/>
    <w:rsid w:val="00206621"/>
    <w:rsid w:val="00207C3B"/>
    <w:rsid w:val="0021226F"/>
    <w:rsid w:val="002129B0"/>
    <w:rsid w:val="00212CE6"/>
    <w:rsid w:val="002143FF"/>
    <w:rsid w:val="00215286"/>
    <w:rsid w:val="0021769E"/>
    <w:rsid w:val="0021775A"/>
    <w:rsid w:val="0022377E"/>
    <w:rsid w:val="00224F16"/>
    <w:rsid w:val="00227A00"/>
    <w:rsid w:val="00230D22"/>
    <w:rsid w:val="0023119A"/>
    <w:rsid w:val="0023267C"/>
    <w:rsid w:val="00232A61"/>
    <w:rsid w:val="00233B95"/>
    <w:rsid w:val="002351DE"/>
    <w:rsid w:val="0023615D"/>
    <w:rsid w:val="00241E93"/>
    <w:rsid w:val="0024300D"/>
    <w:rsid w:val="002433E2"/>
    <w:rsid w:val="00243D4F"/>
    <w:rsid w:val="002441DE"/>
    <w:rsid w:val="002448DA"/>
    <w:rsid w:val="00244BE4"/>
    <w:rsid w:val="00244FBB"/>
    <w:rsid w:val="0025008A"/>
    <w:rsid w:val="00251966"/>
    <w:rsid w:val="00251C8A"/>
    <w:rsid w:val="002540BB"/>
    <w:rsid w:val="00255C0B"/>
    <w:rsid w:val="0025637F"/>
    <w:rsid w:val="00256D5F"/>
    <w:rsid w:val="00261A06"/>
    <w:rsid w:val="00263466"/>
    <w:rsid w:val="002676AE"/>
    <w:rsid w:val="0026796D"/>
    <w:rsid w:val="0027069B"/>
    <w:rsid w:val="002713F1"/>
    <w:rsid w:val="0027188B"/>
    <w:rsid w:val="00273645"/>
    <w:rsid w:val="00273D13"/>
    <w:rsid w:val="002741B2"/>
    <w:rsid w:val="00274667"/>
    <w:rsid w:val="00274A0B"/>
    <w:rsid w:val="00275D69"/>
    <w:rsid w:val="0027698E"/>
    <w:rsid w:val="00277CB5"/>
    <w:rsid w:val="0028044E"/>
    <w:rsid w:val="00280719"/>
    <w:rsid w:val="00280D68"/>
    <w:rsid w:val="00281BFF"/>
    <w:rsid w:val="0028672D"/>
    <w:rsid w:val="00290308"/>
    <w:rsid w:val="00290FF4"/>
    <w:rsid w:val="00291A54"/>
    <w:rsid w:val="00291E1B"/>
    <w:rsid w:val="00291EF6"/>
    <w:rsid w:val="00292B0C"/>
    <w:rsid w:val="00293244"/>
    <w:rsid w:val="00297941"/>
    <w:rsid w:val="00297E28"/>
    <w:rsid w:val="002A1474"/>
    <w:rsid w:val="002A189F"/>
    <w:rsid w:val="002A7E88"/>
    <w:rsid w:val="002B07EA"/>
    <w:rsid w:val="002B1211"/>
    <w:rsid w:val="002B23A4"/>
    <w:rsid w:val="002B257B"/>
    <w:rsid w:val="002B2C93"/>
    <w:rsid w:val="002B39C4"/>
    <w:rsid w:val="002B4542"/>
    <w:rsid w:val="002B6C93"/>
    <w:rsid w:val="002C2A6C"/>
    <w:rsid w:val="002C3596"/>
    <w:rsid w:val="002C517F"/>
    <w:rsid w:val="002C56AE"/>
    <w:rsid w:val="002C5953"/>
    <w:rsid w:val="002C5EFB"/>
    <w:rsid w:val="002C5F11"/>
    <w:rsid w:val="002C5FA6"/>
    <w:rsid w:val="002C62B7"/>
    <w:rsid w:val="002C7C27"/>
    <w:rsid w:val="002D1198"/>
    <w:rsid w:val="002D12C7"/>
    <w:rsid w:val="002D5647"/>
    <w:rsid w:val="002E0B5B"/>
    <w:rsid w:val="002E0CEC"/>
    <w:rsid w:val="002E17BA"/>
    <w:rsid w:val="002E1CFF"/>
    <w:rsid w:val="002E2561"/>
    <w:rsid w:val="002E4B93"/>
    <w:rsid w:val="002E5F55"/>
    <w:rsid w:val="002F03F6"/>
    <w:rsid w:val="002F06CF"/>
    <w:rsid w:val="002F3EE5"/>
    <w:rsid w:val="002F6013"/>
    <w:rsid w:val="002F7523"/>
    <w:rsid w:val="0030215E"/>
    <w:rsid w:val="00302F53"/>
    <w:rsid w:val="00303E69"/>
    <w:rsid w:val="00311388"/>
    <w:rsid w:val="00312372"/>
    <w:rsid w:val="00312CC7"/>
    <w:rsid w:val="00312D60"/>
    <w:rsid w:val="00313193"/>
    <w:rsid w:val="00313283"/>
    <w:rsid w:val="00313740"/>
    <w:rsid w:val="0031532F"/>
    <w:rsid w:val="0031564B"/>
    <w:rsid w:val="0031640C"/>
    <w:rsid w:val="003166D2"/>
    <w:rsid w:val="00320E15"/>
    <w:rsid w:val="0032155E"/>
    <w:rsid w:val="00321638"/>
    <w:rsid w:val="003253AE"/>
    <w:rsid w:val="00326560"/>
    <w:rsid w:val="00326F8B"/>
    <w:rsid w:val="003279A7"/>
    <w:rsid w:val="00330918"/>
    <w:rsid w:val="00330CB8"/>
    <w:rsid w:val="00333B8C"/>
    <w:rsid w:val="00334E85"/>
    <w:rsid w:val="003369DB"/>
    <w:rsid w:val="00337BA5"/>
    <w:rsid w:val="003409BE"/>
    <w:rsid w:val="00345477"/>
    <w:rsid w:val="0035794F"/>
    <w:rsid w:val="00360B20"/>
    <w:rsid w:val="00361A18"/>
    <w:rsid w:val="00361D22"/>
    <w:rsid w:val="00364158"/>
    <w:rsid w:val="00364D9B"/>
    <w:rsid w:val="00365C09"/>
    <w:rsid w:val="003668BB"/>
    <w:rsid w:val="0036787D"/>
    <w:rsid w:val="00367F05"/>
    <w:rsid w:val="00371DCF"/>
    <w:rsid w:val="00374486"/>
    <w:rsid w:val="003747BE"/>
    <w:rsid w:val="00390078"/>
    <w:rsid w:val="0039009C"/>
    <w:rsid w:val="00390962"/>
    <w:rsid w:val="00396F51"/>
    <w:rsid w:val="003A1D95"/>
    <w:rsid w:val="003A29D0"/>
    <w:rsid w:val="003A2A01"/>
    <w:rsid w:val="003A3A04"/>
    <w:rsid w:val="003A3E4C"/>
    <w:rsid w:val="003A4B53"/>
    <w:rsid w:val="003A7630"/>
    <w:rsid w:val="003B052C"/>
    <w:rsid w:val="003B0AB5"/>
    <w:rsid w:val="003B2CD9"/>
    <w:rsid w:val="003B661F"/>
    <w:rsid w:val="003C0446"/>
    <w:rsid w:val="003C1A6B"/>
    <w:rsid w:val="003C71E3"/>
    <w:rsid w:val="003C7F23"/>
    <w:rsid w:val="003D0194"/>
    <w:rsid w:val="003D0D23"/>
    <w:rsid w:val="003D5B8B"/>
    <w:rsid w:val="003D5CA7"/>
    <w:rsid w:val="003D61FD"/>
    <w:rsid w:val="003D6685"/>
    <w:rsid w:val="003D7095"/>
    <w:rsid w:val="003E00E8"/>
    <w:rsid w:val="003E0E62"/>
    <w:rsid w:val="003E726D"/>
    <w:rsid w:val="003F07D6"/>
    <w:rsid w:val="003F402B"/>
    <w:rsid w:val="003F42BA"/>
    <w:rsid w:val="003F6EF7"/>
    <w:rsid w:val="003F776A"/>
    <w:rsid w:val="0040395D"/>
    <w:rsid w:val="004056F4"/>
    <w:rsid w:val="00405BB1"/>
    <w:rsid w:val="00407232"/>
    <w:rsid w:val="00410F20"/>
    <w:rsid w:val="00411CEB"/>
    <w:rsid w:val="0041430F"/>
    <w:rsid w:val="004143FC"/>
    <w:rsid w:val="00414996"/>
    <w:rsid w:val="00421991"/>
    <w:rsid w:val="00421A09"/>
    <w:rsid w:val="00423417"/>
    <w:rsid w:val="00423650"/>
    <w:rsid w:val="00425125"/>
    <w:rsid w:val="00430A5A"/>
    <w:rsid w:val="00431754"/>
    <w:rsid w:val="00436D30"/>
    <w:rsid w:val="00437B45"/>
    <w:rsid w:val="00437B56"/>
    <w:rsid w:val="00440FB9"/>
    <w:rsid w:val="00441AE3"/>
    <w:rsid w:val="00442C1E"/>
    <w:rsid w:val="00444F92"/>
    <w:rsid w:val="004466F9"/>
    <w:rsid w:val="00446808"/>
    <w:rsid w:val="004516AA"/>
    <w:rsid w:val="00451B24"/>
    <w:rsid w:val="00451C97"/>
    <w:rsid w:val="004560BF"/>
    <w:rsid w:val="004562E1"/>
    <w:rsid w:val="0046070E"/>
    <w:rsid w:val="00460B99"/>
    <w:rsid w:val="004617FF"/>
    <w:rsid w:val="00465FD5"/>
    <w:rsid w:val="00466EA5"/>
    <w:rsid w:val="00467A84"/>
    <w:rsid w:val="004718DD"/>
    <w:rsid w:val="00474B64"/>
    <w:rsid w:val="004764D3"/>
    <w:rsid w:val="0047768A"/>
    <w:rsid w:val="0048021F"/>
    <w:rsid w:val="00480543"/>
    <w:rsid w:val="0048465C"/>
    <w:rsid w:val="00484681"/>
    <w:rsid w:val="00490AB0"/>
    <w:rsid w:val="00492EEA"/>
    <w:rsid w:val="00492F41"/>
    <w:rsid w:val="00493741"/>
    <w:rsid w:val="00495120"/>
    <w:rsid w:val="00497A53"/>
    <w:rsid w:val="004A2B9F"/>
    <w:rsid w:val="004A2FE4"/>
    <w:rsid w:val="004A3680"/>
    <w:rsid w:val="004A554D"/>
    <w:rsid w:val="004A6E7F"/>
    <w:rsid w:val="004A7CDB"/>
    <w:rsid w:val="004B2CD4"/>
    <w:rsid w:val="004B346B"/>
    <w:rsid w:val="004B35ED"/>
    <w:rsid w:val="004B41DB"/>
    <w:rsid w:val="004C0A50"/>
    <w:rsid w:val="004C0AB5"/>
    <w:rsid w:val="004C2EAE"/>
    <w:rsid w:val="004C3621"/>
    <w:rsid w:val="004C38D5"/>
    <w:rsid w:val="004C5373"/>
    <w:rsid w:val="004C5654"/>
    <w:rsid w:val="004C6271"/>
    <w:rsid w:val="004C745F"/>
    <w:rsid w:val="004D296A"/>
    <w:rsid w:val="004D34C4"/>
    <w:rsid w:val="004D4930"/>
    <w:rsid w:val="004D5F59"/>
    <w:rsid w:val="004E0109"/>
    <w:rsid w:val="004E14A7"/>
    <w:rsid w:val="004E1E55"/>
    <w:rsid w:val="004E3701"/>
    <w:rsid w:val="004E4330"/>
    <w:rsid w:val="004E72CA"/>
    <w:rsid w:val="004E77BC"/>
    <w:rsid w:val="004F055C"/>
    <w:rsid w:val="004F0CFC"/>
    <w:rsid w:val="004F141E"/>
    <w:rsid w:val="004F1801"/>
    <w:rsid w:val="004F3A0C"/>
    <w:rsid w:val="00503F61"/>
    <w:rsid w:val="005056FD"/>
    <w:rsid w:val="00507825"/>
    <w:rsid w:val="00513314"/>
    <w:rsid w:val="00515158"/>
    <w:rsid w:val="00515349"/>
    <w:rsid w:val="00515CEC"/>
    <w:rsid w:val="005200AC"/>
    <w:rsid w:val="00521AAB"/>
    <w:rsid w:val="00521CBD"/>
    <w:rsid w:val="00522E51"/>
    <w:rsid w:val="0052353A"/>
    <w:rsid w:val="0052772A"/>
    <w:rsid w:val="00531664"/>
    <w:rsid w:val="005325B9"/>
    <w:rsid w:val="0054355A"/>
    <w:rsid w:val="00544096"/>
    <w:rsid w:val="00544F92"/>
    <w:rsid w:val="00554298"/>
    <w:rsid w:val="00555EFC"/>
    <w:rsid w:val="005566A7"/>
    <w:rsid w:val="00557FE5"/>
    <w:rsid w:val="00560AA4"/>
    <w:rsid w:val="005617F5"/>
    <w:rsid w:val="005639DC"/>
    <w:rsid w:val="00564586"/>
    <w:rsid w:val="00567743"/>
    <w:rsid w:val="00567F6E"/>
    <w:rsid w:val="0057266C"/>
    <w:rsid w:val="00572E8D"/>
    <w:rsid w:val="00573734"/>
    <w:rsid w:val="0057395D"/>
    <w:rsid w:val="00581E31"/>
    <w:rsid w:val="00583028"/>
    <w:rsid w:val="00584F25"/>
    <w:rsid w:val="0058740A"/>
    <w:rsid w:val="00587FB7"/>
    <w:rsid w:val="00593CE7"/>
    <w:rsid w:val="00594491"/>
    <w:rsid w:val="00595094"/>
    <w:rsid w:val="0059536F"/>
    <w:rsid w:val="005A2FB0"/>
    <w:rsid w:val="005A37B8"/>
    <w:rsid w:val="005A56C1"/>
    <w:rsid w:val="005B186C"/>
    <w:rsid w:val="005B338B"/>
    <w:rsid w:val="005B5E4F"/>
    <w:rsid w:val="005C19DC"/>
    <w:rsid w:val="005C28D2"/>
    <w:rsid w:val="005C36D3"/>
    <w:rsid w:val="005C4507"/>
    <w:rsid w:val="005C60BC"/>
    <w:rsid w:val="005D05B1"/>
    <w:rsid w:val="005D246A"/>
    <w:rsid w:val="005D3C12"/>
    <w:rsid w:val="005D4E4B"/>
    <w:rsid w:val="005D72DD"/>
    <w:rsid w:val="005E0042"/>
    <w:rsid w:val="005E1229"/>
    <w:rsid w:val="005E12B4"/>
    <w:rsid w:val="005E1A0A"/>
    <w:rsid w:val="005E1C91"/>
    <w:rsid w:val="005E5910"/>
    <w:rsid w:val="005E73C0"/>
    <w:rsid w:val="005E7C28"/>
    <w:rsid w:val="005E7D4F"/>
    <w:rsid w:val="005F0353"/>
    <w:rsid w:val="005F261D"/>
    <w:rsid w:val="005F3384"/>
    <w:rsid w:val="005F7C74"/>
    <w:rsid w:val="00600336"/>
    <w:rsid w:val="00602057"/>
    <w:rsid w:val="00603676"/>
    <w:rsid w:val="0060368C"/>
    <w:rsid w:val="00604373"/>
    <w:rsid w:val="00605362"/>
    <w:rsid w:val="0060554B"/>
    <w:rsid w:val="00606D87"/>
    <w:rsid w:val="006101B0"/>
    <w:rsid w:val="00612410"/>
    <w:rsid w:val="00614C9B"/>
    <w:rsid w:val="00615B56"/>
    <w:rsid w:val="00621485"/>
    <w:rsid w:val="006226DC"/>
    <w:rsid w:val="00622868"/>
    <w:rsid w:val="00624E01"/>
    <w:rsid w:val="0062640E"/>
    <w:rsid w:val="00627436"/>
    <w:rsid w:val="00631C70"/>
    <w:rsid w:val="006332E2"/>
    <w:rsid w:val="00633986"/>
    <w:rsid w:val="00635CA4"/>
    <w:rsid w:val="00636454"/>
    <w:rsid w:val="0064744B"/>
    <w:rsid w:val="00652BB2"/>
    <w:rsid w:val="00652DF9"/>
    <w:rsid w:val="006557CD"/>
    <w:rsid w:val="00660693"/>
    <w:rsid w:val="00661D1C"/>
    <w:rsid w:val="006620E8"/>
    <w:rsid w:val="006664D0"/>
    <w:rsid w:val="00666C59"/>
    <w:rsid w:val="00670F0C"/>
    <w:rsid w:val="006727B5"/>
    <w:rsid w:val="0067312C"/>
    <w:rsid w:val="006750C7"/>
    <w:rsid w:val="00675BE3"/>
    <w:rsid w:val="006775A3"/>
    <w:rsid w:val="0067774E"/>
    <w:rsid w:val="00681A1E"/>
    <w:rsid w:val="006825D9"/>
    <w:rsid w:val="00683745"/>
    <w:rsid w:val="00685A33"/>
    <w:rsid w:val="00686342"/>
    <w:rsid w:val="00690029"/>
    <w:rsid w:val="00690858"/>
    <w:rsid w:val="006914FE"/>
    <w:rsid w:val="00692D62"/>
    <w:rsid w:val="006941C7"/>
    <w:rsid w:val="006964B3"/>
    <w:rsid w:val="00696F7F"/>
    <w:rsid w:val="00697643"/>
    <w:rsid w:val="006978C1"/>
    <w:rsid w:val="006A1EB2"/>
    <w:rsid w:val="006A2172"/>
    <w:rsid w:val="006A585C"/>
    <w:rsid w:val="006A5CE3"/>
    <w:rsid w:val="006A716B"/>
    <w:rsid w:val="006B018A"/>
    <w:rsid w:val="006B075F"/>
    <w:rsid w:val="006B135F"/>
    <w:rsid w:val="006B1CF1"/>
    <w:rsid w:val="006B3277"/>
    <w:rsid w:val="006B5AE8"/>
    <w:rsid w:val="006B5DEC"/>
    <w:rsid w:val="006C097B"/>
    <w:rsid w:val="006C1CE8"/>
    <w:rsid w:val="006C2148"/>
    <w:rsid w:val="006C3C15"/>
    <w:rsid w:val="006C4010"/>
    <w:rsid w:val="006C4877"/>
    <w:rsid w:val="006C6DD1"/>
    <w:rsid w:val="006C700D"/>
    <w:rsid w:val="006D1146"/>
    <w:rsid w:val="006D13C1"/>
    <w:rsid w:val="006D141A"/>
    <w:rsid w:val="006D1DE6"/>
    <w:rsid w:val="006D251A"/>
    <w:rsid w:val="006D2F63"/>
    <w:rsid w:val="006D6C9E"/>
    <w:rsid w:val="006E016F"/>
    <w:rsid w:val="006E0C96"/>
    <w:rsid w:val="006E1459"/>
    <w:rsid w:val="006E243B"/>
    <w:rsid w:val="006E30B6"/>
    <w:rsid w:val="006E4397"/>
    <w:rsid w:val="006E4907"/>
    <w:rsid w:val="006E573E"/>
    <w:rsid w:val="006E5A7C"/>
    <w:rsid w:val="006E7169"/>
    <w:rsid w:val="006E7FA1"/>
    <w:rsid w:val="006F17CA"/>
    <w:rsid w:val="006F3EBD"/>
    <w:rsid w:val="00700E9A"/>
    <w:rsid w:val="00700FFD"/>
    <w:rsid w:val="00701F0D"/>
    <w:rsid w:val="007031FF"/>
    <w:rsid w:val="00703A82"/>
    <w:rsid w:val="00704E16"/>
    <w:rsid w:val="0070578E"/>
    <w:rsid w:val="007106F1"/>
    <w:rsid w:val="00713481"/>
    <w:rsid w:val="007138E0"/>
    <w:rsid w:val="00715075"/>
    <w:rsid w:val="0071547C"/>
    <w:rsid w:val="007234DE"/>
    <w:rsid w:val="007259CF"/>
    <w:rsid w:val="00726368"/>
    <w:rsid w:val="00726BC2"/>
    <w:rsid w:val="00726BEE"/>
    <w:rsid w:val="007270DF"/>
    <w:rsid w:val="00730A6A"/>
    <w:rsid w:val="00730F10"/>
    <w:rsid w:val="00732A6F"/>
    <w:rsid w:val="00732ADA"/>
    <w:rsid w:val="0073355A"/>
    <w:rsid w:val="007358E8"/>
    <w:rsid w:val="007445AB"/>
    <w:rsid w:val="007454E9"/>
    <w:rsid w:val="00751848"/>
    <w:rsid w:val="0075193D"/>
    <w:rsid w:val="00754EE3"/>
    <w:rsid w:val="007553CC"/>
    <w:rsid w:val="007558CD"/>
    <w:rsid w:val="00755CF9"/>
    <w:rsid w:val="00764503"/>
    <w:rsid w:val="007660CB"/>
    <w:rsid w:val="00766A60"/>
    <w:rsid w:val="007671B7"/>
    <w:rsid w:val="00770C53"/>
    <w:rsid w:val="00771759"/>
    <w:rsid w:val="00772F6F"/>
    <w:rsid w:val="007731B3"/>
    <w:rsid w:val="0077338C"/>
    <w:rsid w:val="007746EF"/>
    <w:rsid w:val="007752BD"/>
    <w:rsid w:val="007756BB"/>
    <w:rsid w:val="00775DC9"/>
    <w:rsid w:val="007769FD"/>
    <w:rsid w:val="007775DA"/>
    <w:rsid w:val="007812E6"/>
    <w:rsid w:val="007818B8"/>
    <w:rsid w:val="007822B6"/>
    <w:rsid w:val="00783115"/>
    <w:rsid w:val="00783A5C"/>
    <w:rsid w:val="00784290"/>
    <w:rsid w:val="00784934"/>
    <w:rsid w:val="007859A2"/>
    <w:rsid w:val="007870EF"/>
    <w:rsid w:val="00787711"/>
    <w:rsid w:val="0079054F"/>
    <w:rsid w:val="00790B72"/>
    <w:rsid w:val="00790E53"/>
    <w:rsid w:val="00791259"/>
    <w:rsid w:val="007914D2"/>
    <w:rsid w:val="00795902"/>
    <w:rsid w:val="007960AA"/>
    <w:rsid w:val="007A1FCD"/>
    <w:rsid w:val="007A2729"/>
    <w:rsid w:val="007A41C4"/>
    <w:rsid w:val="007A5466"/>
    <w:rsid w:val="007A5CD9"/>
    <w:rsid w:val="007A7293"/>
    <w:rsid w:val="007B0412"/>
    <w:rsid w:val="007B07DE"/>
    <w:rsid w:val="007B22EA"/>
    <w:rsid w:val="007B6397"/>
    <w:rsid w:val="007B7DFC"/>
    <w:rsid w:val="007C150B"/>
    <w:rsid w:val="007C33AC"/>
    <w:rsid w:val="007C4AAC"/>
    <w:rsid w:val="007C53C0"/>
    <w:rsid w:val="007C6C3F"/>
    <w:rsid w:val="007D05CD"/>
    <w:rsid w:val="007D23E6"/>
    <w:rsid w:val="007D7338"/>
    <w:rsid w:val="007D7DD1"/>
    <w:rsid w:val="007E0B2E"/>
    <w:rsid w:val="007E0C8F"/>
    <w:rsid w:val="007E0F9B"/>
    <w:rsid w:val="007E15BC"/>
    <w:rsid w:val="007E40E4"/>
    <w:rsid w:val="007E4B36"/>
    <w:rsid w:val="007F0719"/>
    <w:rsid w:val="007F13F2"/>
    <w:rsid w:val="007F2C7C"/>
    <w:rsid w:val="007F53F2"/>
    <w:rsid w:val="007F7582"/>
    <w:rsid w:val="00801D62"/>
    <w:rsid w:val="00801E02"/>
    <w:rsid w:val="008032C8"/>
    <w:rsid w:val="0080465C"/>
    <w:rsid w:val="00807F8E"/>
    <w:rsid w:val="008178B6"/>
    <w:rsid w:val="0082469F"/>
    <w:rsid w:val="00824E84"/>
    <w:rsid w:val="008271AB"/>
    <w:rsid w:val="008274C3"/>
    <w:rsid w:val="00832422"/>
    <w:rsid w:val="00835A73"/>
    <w:rsid w:val="00836FD8"/>
    <w:rsid w:val="008379F1"/>
    <w:rsid w:val="00837B87"/>
    <w:rsid w:val="00843151"/>
    <w:rsid w:val="00847610"/>
    <w:rsid w:val="0085084E"/>
    <w:rsid w:val="00851ABD"/>
    <w:rsid w:val="0086040A"/>
    <w:rsid w:val="00862ADA"/>
    <w:rsid w:val="008635A2"/>
    <w:rsid w:val="00864343"/>
    <w:rsid w:val="008643E4"/>
    <w:rsid w:val="0087056D"/>
    <w:rsid w:val="00873387"/>
    <w:rsid w:val="00875596"/>
    <w:rsid w:val="00884225"/>
    <w:rsid w:val="00887126"/>
    <w:rsid w:val="00890BA4"/>
    <w:rsid w:val="00891A16"/>
    <w:rsid w:val="00891CEE"/>
    <w:rsid w:val="00893FF0"/>
    <w:rsid w:val="00894550"/>
    <w:rsid w:val="00895932"/>
    <w:rsid w:val="00897AE4"/>
    <w:rsid w:val="008A0077"/>
    <w:rsid w:val="008A133C"/>
    <w:rsid w:val="008A21E6"/>
    <w:rsid w:val="008A3524"/>
    <w:rsid w:val="008A3725"/>
    <w:rsid w:val="008A4490"/>
    <w:rsid w:val="008A4ADD"/>
    <w:rsid w:val="008A5B84"/>
    <w:rsid w:val="008A5D58"/>
    <w:rsid w:val="008B1E84"/>
    <w:rsid w:val="008B279D"/>
    <w:rsid w:val="008B5263"/>
    <w:rsid w:val="008C0011"/>
    <w:rsid w:val="008C102B"/>
    <w:rsid w:val="008C1241"/>
    <w:rsid w:val="008C15B3"/>
    <w:rsid w:val="008C1F6B"/>
    <w:rsid w:val="008C260E"/>
    <w:rsid w:val="008C304D"/>
    <w:rsid w:val="008C39E6"/>
    <w:rsid w:val="008C4606"/>
    <w:rsid w:val="008C6B18"/>
    <w:rsid w:val="008D3899"/>
    <w:rsid w:val="008D5519"/>
    <w:rsid w:val="008D5809"/>
    <w:rsid w:val="008D6336"/>
    <w:rsid w:val="008D750D"/>
    <w:rsid w:val="008E446B"/>
    <w:rsid w:val="008E581B"/>
    <w:rsid w:val="008E58A4"/>
    <w:rsid w:val="008E7F86"/>
    <w:rsid w:val="008F1C65"/>
    <w:rsid w:val="008F3238"/>
    <w:rsid w:val="008F519A"/>
    <w:rsid w:val="008F54D4"/>
    <w:rsid w:val="00901973"/>
    <w:rsid w:val="00903992"/>
    <w:rsid w:val="00904A3E"/>
    <w:rsid w:val="00905612"/>
    <w:rsid w:val="00905D74"/>
    <w:rsid w:val="00911166"/>
    <w:rsid w:val="00912892"/>
    <w:rsid w:val="00912FCC"/>
    <w:rsid w:val="009173F1"/>
    <w:rsid w:val="00917ACF"/>
    <w:rsid w:val="00920443"/>
    <w:rsid w:val="00920491"/>
    <w:rsid w:val="00920DB4"/>
    <w:rsid w:val="00921022"/>
    <w:rsid w:val="009257F9"/>
    <w:rsid w:val="009300FA"/>
    <w:rsid w:val="00930653"/>
    <w:rsid w:val="00930C08"/>
    <w:rsid w:val="009337FE"/>
    <w:rsid w:val="0093401D"/>
    <w:rsid w:val="009404CF"/>
    <w:rsid w:val="009412FD"/>
    <w:rsid w:val="00941B2E"/>
    <w:rsid w:val="00942CE2"/>
    <w:rsid w:val="0094475F"/>
    <w:rsid w:val="0094529A"/>
    <w:rsid w:val="0094633D"/>
    <w:rsid w:val="00951D9C"/>
    <w:rsid w:val="0095279D"/>
    <w:rsid w:val="009547B5"/>
    <w:rsid w:val="00955A8C"/>
    <w:rsid w:val="00955B31"/>
    <w:rsid w:val="00957536"/>
    <w:rsid w:val="00960DA8"/>
    <w:rsid w:val="00960EF9"/>
    <w:rsid w:val="009632B2"/>
    <w:rsid w:val="00966C22"/>
    <w:rsid w:val="009673B4"/>
    <w:rsid w:val="00970F5F"/>
    <w:rsid w:val="009726CE"/>
    <w:rsid w:val="0097294C"/>
    <w:rsid w:val="00976541"/>
    <w:rsid w:val="009769EE"/>
    <w:rsid w:val="009811A0"/>
    <w:rsid w:val="00981459"/>
    <w:rsid w:val="00982160"/>
    <w:rsid w:val="009831F3"/>
    <w:rsid w:val="00984516"/>
    <w:rsid w:val="00984850"/>
    <w:rsid w:val="00985DC0"/>
    <w:rsid w:val="009912F6"/>
    <w:rsid w:val="009913BA"/>
    <w:rsid w:val="009915A2"/>
    <w:rsid w:val="009929B4"/>
    <w:rsid w:val="00996894"/>
    <w:rsid w:val="009A250F"/>
    <w:rsid w:val="009A272F"/>
    <w:rsid w:val="009A4B29"/>
    <w:rsid w:val="009A4C9E"/>
    <w:rsid w:val="009A5722"/>
    <w:rsid w:val="009A572E"/>
    <w:rsid w:val="009A5EFF"/>
    <w:rsid w:val="009A6CCB"/>
    <w:rsid w:val="009A7D49"/>
    <w:rsid w:val="009B035F"/>
    <w:rsid w:val="009B0DDD"/>
    <w:rsid w:val="009B1AD8"/>
    <w:rsid w:val="009B24F1"/>
    <w:rsid w:val="009B3CD3"/>
    <w:rsid w:val="009B4508"/>
    <w:rsid w:val="009B634B"/>
    <w:rsid w:val="009B7EF5"/>
    <w:rsid w:val="009C11DF"/>
    <w:rsid w:val="009D425D"/>
    <w:rsid w:val="009D74EB"/>
    <w:rsid w:val="009D7813"/>
    <w:rsid w:val="009E105E"/>
    <w:rsid w:val="009E168E"/>
    <w:rsid w:val="009E30F7"/>
    <w:rsid w:val="009E3AA6"/>
    <w:rsid w:val="009E3CDA"/>
    <w:rsid w:val="009E4268"/>
    <w:rsid w:val="009E552D"/>
    <w:rsid w:val="009E608B"/>
    <w:rsid w:val="009F1368"/>
    <w:rsid w:val="009F1D80"/>
    <w:rsid w:val="009F4246"/>
    <w:rsid w:val="009F4A1B"/>
    <w:rsid w:val="009F4E35"/>
    <w:rsid w:val="00A00434"/>
    <w:rsid w:val="00A00C9A"/>
    <w:rsid w:val="00A01EA6"/>
    <w:rsid w:val="00A02D9B"/>
    <w:rsid w:val="00A052E4"/>
    <w:rsid w:val="00A05B3E"/>
    <w:rsid w:val="00A10325"/>
    <w:rsid w:val="00A112D1"/>
    <w:rsid w:val="00A1383F"/>
    <w:rsid w:val="00A156B0"/>
    <w:rsid w:val="00A17F53"/>
    <w:rsid w:val="00A225EA"/>
    <w:rsid w:val="00A2632D"/>
    <w:rsid w:val="00A266F8"/>
    <w:rsid w:val="00A26CA1"/>
    <w:rsid w:val="00A27674"/>
    <w:rsid w:val="00A30F09"/>
    <w:rsid w:val="00A36789"/>
    <w:rsid w:val="00A37CBE"/>
    <w:rsid w:val="00A37CE4"/>
    <w:rsid w:val="00A406AF"/>
    <w:rsid w:val="00A42663"/>
    <w:rsid w:val="00A43262"/>
    <w:rsid w:val="00A452A8"/>
    <w:rsid w:val="00A4727E"/>
    <w:rsid w:val="00A47DA1"/>
    <w:rsid w:val="00A50D12"/>
    <w:rsid w:val="00A56A6C"/>
    <w:rsid w:val="00A5762E"/>
    <w:rsid w:val="00A639DD"/>
    <w:rsid w:val="00A64339"/>
    <w:rsid w:val="00A64C52"/>
    <w:rsid w:val="00A65035"/>
    <w:rsid w:val="00A71F7B"/>
    <w:rsid w:val="00A73535"/>
    <w:rsid w:val="00A7398F"/>
    <w:rsid w:val="00A74A31"/>
    <w:rsid w:val="00A75395"/>
    <w:rsid w:val="00A77D61"/>
    <w:rsid w:val="00A810B5"/>
    <w:rsid w:val="00A815B5"/>
    <w:rsid w:val="00A82CA7"/>
    <w:rsid w:val="00A83A66"/>
    <w:rsid w:val="00A84010"/>
    <w:rsid w:val="00A841E7"/>
    <w:rsid w:val="00A8673B"/>
    <w:rsid w:val="00A86CA2"/>
    <w:rsid w:val="00A93C28"/>
    <w:rsid w:val="00A9404B"/>
    <w:rsid w:val="00A94249"/>
    <w:rsid w:val="00A94591"/>
    <w:rsid w:val="00A953FC"/>
    <w:rsid w:val="00A9563F"/>
    <w:rsid w:val="00A95B52"/>
    <w:rsid w:val="00A95BA6"/>
    <w:rsid w:val="00A969CB"/>
    <w:rsid w:val="00AA269C"/>
    <w:rsid w:val="00AA2E99"/>
    <w:rsid w:val="00AA6165"/>
    <w:rsid w:val="00AB0978"/>
    <w:rsid w:val="00AB3AE8"/>
    <w:rsid w:val="00AB40A1"/>
    <w:rsid w:val="00AB50A9"/>
    <w:rsid w:val="00AB54DD"/>
    <w:rsid w:val="00AB5A8C"/>
    <w:rsid w:val="00AC4592"/>
    <w:rsid w:val="00AC4C1F"/>
    <w:rsid w:val="00AC6713"/>
    <w:rsid w:val="00AD135F"/>
    <w:rsid w:val="00AD4CE0"/>
    <w:rsid w:val="00AD5324"/>
    <w:rsid w:val="00AD5537"/>
    <w:rsid w:val="00AD777D"/>
    <w:rsid w:val="00AD7BBD"/>
    <w:rsid w:val="00AE2559"/>
    <w:rsid w:val="00AE41FF"/>
    <w:rsid w:val="00AE5053"/>
    <w:rsid w:val="00AF0D20"/>
    <w:rsid w:val="00AF1261"/>
    <w:rsid w:val="00AF342E"/>
    <w:rsid w:val="00AF3959"/>
    <w:rsid w:val="00AF5552"/>
    <w:rsid w:val="00AF5851"/>
    <w:rsid w:val="00AF7ED0"/>
    <w:rsid w:val="00B00E9B"/>
    <w:rsid w:val="00B01E58"/>
    <w:rsid w:val="00B0272E"/>
    <w:rsid w:val="00B029AA"/>
    <w:rsid w:val="00B038D8"/>
    <w:rsid w:val="00B03B9E"/>
    <w:rsid w:val="00B0447B"/>
    <w:rsid w:val="00B05041"/>
    <w:rsid w:val="00B10570"/>
    <w:rsid w:val="00B112E0"/>
    <w:rsid w:val="00B11982"/>
    <w:rsid w:val="00B11D2E"/>
    <w:rsid w:val="00B1219E"/>
    <w:rsid w:val="00B13035"/>
    <w:rsid w:val="00B13EE7"/>
    <w:rsid w:val="00B14EDA"/>
    <w:rsid w:val="00B15A57"/>
    <w:rsid w:val="00B174E8"/>
    <w:rsid w:val="00B176E4"/>
    <w:rsid w:val="00B2109E"/>
    <w:rsid w:val="00B2111A"/>
    <w:rsid w:val="00B24E60"/>
    <w:rsid w:val="00B32588"/>
    <w:rsid w:val="00B332C2"/>
    <w:rsid w:val="00B34AA9"/>
    <w:rsid w:val="00B34FD0"/>
    <w:rsid w:val="00B3514A"/>
    <w:rsid w:val="00B3676C"/>
    <w:rsid w:val="00B44C7C"/>
    <w:rsid w:val="00B4507F"/>
    <w:rsid w:val="00B45D40"/>
    <w:rsid w:val="00B513BA"/>
    <w:rsid w:val="00B518D2"/>
    <w:rsid w:val="00B5246B"/>
    <w:rsid w:val="00B54265"/>
    <w:rsid w:val="00B618CF"/>
    <w:rsid w:val="00B62212"/>
    <w:rsid w:val="00B63447"/>
    <w:rsid w:val="00B641D7"/>
    <w:rsid w:val="00B6616B"/>
    <w:rsid w:val="00B705AF"/>
    <w:rsid w:val="00B76F2B"/>
    <w:rsid w:val="00B7756D"/>
    <w:rsid w:val="00B77B3B"/>
    <w:rsid w:val="00B77FA2"/>
    <w:rsid w:val="00B83362"/>
    <w:rsid w:val="00B857B2"/>
    <w:rsid w:val="00B913C3"/>
    <w:rsid w:val="00B91E0A"/>
    <w:rsid w:val="00B92D38"/>
    <w:rsid w:val="00B93946"/>
    <w:rsid w:val="00B94E57"/>
    <w:rsid w:val="00B95751"/>
    <w:rsid w:val="00BA0C40"/>
    <w:rsid w:val="00BA2139"/>
    <w:rsid w:val="00BA4CB5"/>
    <w:rsid w:val="00BA522A"/>
    <w:rsid w:val="00BB1FD1"/>
    <w:rsid w:val="00BB2346"/>
    <w:rsid w:val="00BB24DA"/>
    <w:rsid w:val="00BB271F"/>
    <w:rsid w:val="00BB294B"/>
    <w:rsid w:val="00BB2FB8"/>
    <w:rsid w:val="00BB4EF5"/>
    <w:rsid w:val="00BC065B"/>
    <w:rsid w:val="00BC1D3E"/>
    <w:rsid w:val="00BC288F"/>
    <w:rsid w:val="00BC4641"/>
    <w:rsid w:val="00BC4B35"/>
    <w:rsid w:val="00BD0BC6"/>
    <w:rsid w:val="00BD2097"/>
    <w:rsid w:val="00BD3537"/>
    <w:rsid w:val="00BD547C"/>
    <w:rsid w:val="00BD6A2F"/>
    <w:rsid w:val="00BD7C33"/>
    <w:rsid w:val="00BE0209"/>
    <w:rsid w:val="00BE28C6"/>
    <w:rsid w:val="00BE40D2"/>
    <w:rsid w:val="00BE5394"/>
    <w:rsid w:val="00BE57B4"/>
    <w:rsid w:val="00BE59F3"/>
    <w:rsid w:val="00BE68A7"/>
    <w:rsid w:val="00BF1A6E"/>
    <w:rsid w:val="00C02201"/>
    <w:rsid w:val="00C0258C"/>
    <w:rsid w:val="00C075CF"/>
    <w:rsid w:val="00C07DAF"/>
    <w:rsid w:val="00C147C6"/>
    <w:rsid w:val="00C2203B"/>
    <w:rsid w:val="00C251CB"/>
    <w:rsid w:val="00C272A7"/>
    <w:rsid w:val="00C276A4"/>
    <w:rsid w:val="00C27CA7"/>
    <w:rsid w:val="00C30B40"/>
    <w:rsid w:val="00C32017"/>
    <w:rsid w:val="00C36418"/>
    <w:rsid w:val="00C365AC"/>
    <w:rsid w:val="00C41F00"/>
    <w:rsid w:val="00C43115"/>
    <w:rsid w:val="00C43B93"/>
    <w:rsid w:val="00C4402B"/>
    <w:rsid w:val="00C46A9C"/>
    <w:rsid w:val="00C47035"/>
    <w:rsid w:val="00C472A6"/>
    <w:rsid w:val="00C51E5E"/>
    <w:rsid w:val="00C51ECE"/>
    <w:rsid w:val="00C51F6A"/>
    <w:rsid w:val="00C51F72"/>
    <w:rsid w:val="00C52315"/>
    <w:rsid w:val="00C52973"/>
    <w:rsid w:val="00C5415F"/>
    <w:rsid w:val="00C545E9"/>
    <w:rsid w:val="00C54EC4"/>
    <w:rsid w:val="00C6436F"/>
    <w:rsid w:val="00C659CC"/>
    <w:rsid w:val="00C65EDE"/>
    <w:rsid w:val="00C72A90"/>
    <w:rsid w:val="00C72BEF"/>
    <w:rsid w:val="00C72CA4"/>
    <w:rsid w:val="00C73191"/>
    <w:rsid w:val="00C75140"/>
    <w:rsid w:val="00C75360"/>
    <w:rsid w:val="00C76567"/>
    <w:rsid w:val="00C8023B"/>
    <w:rsid w:val="00C840C0"/>
    <w:rsid w:val="00C85C88"/>
    <w:rsid w:val="00C85F2A"/>
    <w:rsid w:val="00C8781B"/>
    <w:rsid w:val="00C87D05"/>
    <w:rsid w:val="00C87EA3"/>
    <w:rsid w:val="00C92515"/>
    <w:rsid w:val="00C9288B"/>
    <w:rsid w:val="00C92EED"/>
    <w:rsid w:val="00C94A0D"/>
    <w:rsid w:val="00C953F2"/>
    <w:rsid w:val="00C95B70"/>
    <w:rsid w:val="00CA1556"/>
    <w:rsid w:val="00CA5283"/>
    <w:rsid w:val="00CA60F6"/>
    <w:rsid w:val="00CB064E"/>
    <w:rsid w:val="00CB2EF9"/>
    <w:rsid w:val="00CB5A2F"/>
    <w:rsid w:val="00CB5B09"/>
    <w:rsid w:val="00CB63DE"/>
    <w:rsid w:val="00CB6BF5"/>
    <w:rsid w:val="00CC028F"/>
    <w:rsid w:val="00CC5678"/>
    <w:rsid w:val="00CC670C"/>
    <w:rsid w:val="00CD0C14"/>
    <w:rsid w:val="00CD18BF"/>
    <w:rsid w:val="00CD21CA"/>
    <w:rsid w:val="00CD3130"/>
    <w:rsid w:val="00CD4C80"/>
    <w:rsid w:val="00CD5DF3"/>
    <w:rsid w:val="00CD72C9"/>
    <w:rsid w:val="00CE0B57"/>
    <w:rsid w:val="00CE0E00"/>
    <w:rsid w:val="00CE6D15"/>
    <w:rsid w:val="00CE6D8E"/>
    <w:rsid w:val="00CF094F"/>
    <w:rsid w:val="00CF2F38"/>
    <w:rsid w:val="00CF309B"/>
    <w:rsid w:val="00CF351A"/>
    <w:rsid w:val="00CF3682"/>
    <w:rsid w:val="00D01C20"/>
    <w:rsid w:val="00D04808"/>
    <w:rsid w:val="00D04C6C"/>
    <w:rsid w:val="00D04E6B"/>
    <w:rsid w:val="00D05185"/>
    <w:rsid w:val="00D051ED"/>
    <w:rsid w:val="00D0709E"/>
    <w:rsid w:val="00D07D23"/>
    <w:rsid w:val="00D07DC4"/>
    <w:rsid w:val="00D106C4"/>
    <w:rsid w:val="00D126A8"/>
    <w:rsid w:val="00D14BB4"/>
    <w:rsid w:val="00D16EAA"/>
    <w:rsid w:val="00D227F3"/>
    <w:rsid w:val="00D22CD5"/>
    <w:rsid w:val="00D22FB6"/>
    <w:rsid w:val="00D23CD5"/>
    <w:rsid w:val="00D274CB"/>
    <w:rsid w:val="00D27F02"/>
    <w:rsid w:val="00D30C51"/>
    <w:rsid w:val="00D3278C"/>
    <w:rsid w:val="00D345B0"/>
    <w:rsid w:val="00D34B33"/>
    <w:rsid w:val="00D35B06"/>
    <w:rsid w:val="00D360B6"/>
    <w:rsid w:val="00D41F68"/>
    <w:rsid w:val="00D43C13"/>
    <w:rsid w:val="00D548D2"/>
    <w:rsid w:val="00D601CE"/>
    <w:rsid w:val="00D627AE"/>
    <w:rsid w:val="00D63333"/>
    <w:rsid w:val="00D63B72"/>
    <w:rsid w:val="00D63F49"/>
    <w:rsid w:val="00D6775F"/>
    <w:rsid w:val="00D70550"/>
    <w:rsid w:val="00D70FC8"/>
    <w:rsid w:val="00D7183D"/>
    <w:rsid w:val="00D71DC6"/>
    <w:rsid w:val="00D75D62"/>
    <w:rsid w:val="00D87C3F"/>
    <w:rsid w:val="00D928EB"/>
    <w:rsid w:val="00D93235"/>
    <w:rsid w:val="00D93CE9"/>
    <w:rsid w:val="00D94E3A"/>
    <w:rsid w:val="00DA1317"/>
    <w:rsid w:val="00DA3E80"/>
    <w:rsid w:val="00DA43D3"/>
    <w:rsid w:val="00DA55A5"/>
    <w:rsid w:val="00DA567F"/>
    <w:rsid w:val="00DA6203"/>
    <w:rsid w:val="00DA6A21"/>
    <w:rsid w:val="00DB2BF4"/>
    <w:rsid w:val="00DB4327"/>
    <w:rsid w:val="00DB462F"/>
    <w:rsid w:val="00DB4754"/>
    <w:rsid w:val="00DB6DF5"/>
    <w:rsid w:val="00DC0117"/>
    <w:rsid w:val="00DC1B36"/>
    <w:rsid w:val="00DC1ED3"/>
    <w:rsid w:val="00DC421F"/>
    <w:rsid w:val="00DC4804"/>
    <w:rsid w:val="00DC6360"/>
    <w:rsid w:val="00DC76C2"/>
    <w:rsid w:val="00DC7B4F"/>
    <w:rsid w:val="00DD1389"/>
    <w:rsid w:val="00DD5CC1"/>
    <w:rsid w:val="00DD7E92"/>
    <w:rsid w:val="00DE0929"/>
    <w:rsid w:val="00DE138A"/>
    <w:rsid w:val="00DE1541"/>
    <w:rsid w:val="00DE3ED2"/>
    <w:rsid w:val="00DE53D9"/>
    <w:rsid w:val="00DE66CF"/>
    <w:rsid w:val="00DF12B5"/>
    <w:rsid w:val="00DF2661"/>
    <w:rsid w:val="00DF571B"/>
    <w:rsid w:val="00DF5B23"/>
    <w:rsid w:val="00E01039"/>
    <w:rsid w:val="00E02803"/>
    <w:rsid w:val="00E03FC9"/>
    <w:rsid w:val="00E052AF"/>
    <w:rsid w:val="00E06C98"/>
    <w:rsid w:val="00E1655A"/>
    <w:rsid w:val="00E1671C"/>
    <w:rsid w:val="00E1753A"/>
    <w:rsid w:val="00E2010A"/>
    <w:rsid w:val="00E2064C"/>
    <w:rsid w:val="00E20CB4"/>
    <w:rsid w:val="00E221B5"/>
    <w:rsid w:val="00E2347B"/>
    <w:rsid w:val="00E2413E"/>
    <w:rsid w:val="00E24443"/>
    <w:rsid w:val="00E25794"/>
    <w:rsid w:val="00E26239"/>
    <w:rsid w:val="00E265F9"/>
    <w:rsid w:val="00E27794"/>
    <w:rsid w:val="00E2786D"/>
    <w:rsid w:val="00E301C8"/>
    <w:rsid w:val="00E304D8"/>
    <w:rsid w:val="00E30E8E"/>
    <w:rsid w:val="00E31226"/>
    <w:rsid w:val="00E32478"/>
    <w:rsid w:val="00E3396F"/>
    <w:rsid w:val="00E34358"/>
    <w:rsid w:val="00E35254"/>
    <w:rsid w:val="00E359C6"/>
    <w:rsid w:val="00E364F2"/>
    <w:rsid w:val="00E3785A"/>
    <w:rsid w:val="00E4111D"/>
    <w:rsid w:val="00E454A6"/>
    <w:rsid w:val="00E51F7A"/>
    <w:rsid w:val="00E52A94"/>
    <w:rsid w:val="00E56FDF"/>
    <w:rsid w:val="00E605F7"/>
    <w:rsid w:val="00E62A01"/>
    <w:rsid w:val="00E632B2"/>
    <w:rsid w:val="00E634C3"/>
    <w:rsid w:val="00E634D0"/>
    <w:rsid w:val="00E64F05"/>
    <w:rsid w:val="00E66900"/>
    <w:rsid w:val="00E670CC"/>
    <w:rsid w:val="00E7039C"/>
    <w:rsid w:val="00E7182F"/>
    <w:rsid w:val="00E71AE5"/>
    <w:rsid w:val="00E722F4"/>
    <w:rsid w:val="00E72302"/>
    <w:rsid w:val="00E72ADE"/>
    <w:rsid w:val="00E74353"/>
    <w:rsid w:val="00E75FAE"/>
    <w:rsid w:val="00E76753"/>
    <w:rsid w:val="00E76EEF"/>
    <w:rsid w:val="00E81858"/>
    <w:rsid w:val="00E81C04"/>
    <w:rsid w:val="00E821A4"/>
    <w:rsid w:val="00E8396F"/>
    <w:rsid w:val="00E84EDB"/>
    <w:rsid w:val="00E854AC"/>
    <w:rsid w:val="00E87407"/>
    <w:rsid w:val="00E90CC1"/>
    <w:rsid w:val="00E91168"/>
    <w:rsid w:val="00E937FE"/>
    <w:rsid w:val="00E93E80"/>
    <w:rsid w:val="00E9795B"/>
    <w:rsid w:val="00EA1084"/>
    <w:rsid w:val="00EA1853"/>
    <w:rsid w:val="00EA2942"/>
    <w:rsid w:val="00EA2F4C"/>
    <w:rsid w:val="00EA303C"/>
    <w:rsid w:val="00EA3609"/>
    <w:rsid w:val="00EA5673"/>
    <w:rsid w:val="00EA5F51"/>
    <w:rsid w:val="00EB11CD"/>
    <w:rsid w:val="00EB2699"/>
    <w:rsid w:val="00EB3BF2"/>
    <w:rsid w:val="00EB6647"/>
    <w:rsid w:val="00EB68E9"/>
    <w:rsid w:val="00EB6C71"/>
    <w:rsid w:val="00EC038C"/>
    <w:rsid w:val="00EC2770"/>
    <w:rsid w:val="00EC2AA2"/>
    <w:rsid w:val="00EC61D2"/>
    <w:rsid w:val="00EC79BB"/>
    <w:rsid w:val="00ED2F38"/>
    <w:rsid w:val="00ED2F3B"/>
    <w:rsid w:val="00ED2F77"/>
    <w:rsid w:val="00ED3B31"/>
    <w:rsid w:val="00ED41CE"/>
    <w:rsid w:val="00EE329A"/>
    <w:rsid w:val="00EE3A59"/>
    <w:rsid w:val="00EE3E1B"/>
    <w:rsid w:val="00EE52ED"/>
    <w:rsid w:val="00EE7B8C"/>
    <w:rsid w:val="00EF5252"/>
    <w:rsid w:val="00EF6015"/>
    <w:rsid w:val="00EF6FB4"/>
    <w:rsid w:val="00F01BA6"/>
    <w:rsid w:val="00F02361"/>
    <w:rsid w:val="00F04FB5"/>
    <w:rsid w:val="00F053CA"/>
    <w:rsid w:val="00F05A9E"/>
    <w:rsid w:val="00F06F10"/>
    <w:rsid w:val="00F06F61"/>
    <w:rsid w:val="00F1085B"/>
    <w:rsid w:val="00F122BA"/>
    <w:rsid w:val="00F24EA6"/>
    <w:rsid w:val="00F2557A"/>
    <w:rsid w:val="00F33132"/>
    <w:rsid w:val="00F349FE"/>
    <w:rsid w:val="00F41CDA"/>
    <w:rsid w:val="00F42F12"/>
    <w:rsid w:val="00F43BDE"/>
    <w:rsid w:val="00F50ACC"/>
    <w:rsid w:val="00F51047"/>
    <w:rsid w:val="00F53564"/>
    <w:rsid w:val="00F55EA1"/>
    <w:rsid w:val="00F55F69"/>
    <w:rsid w:val="00F56B5F"/>
    <w:rsid w:val="00F57FB5"/>
    <w:rsid w:val="00F62A22"/>
    <w:rsid w:val="00F64723"/>
    <w:rsid w:val="00F64909"/>
    <w:rsid w:val="00F66232"/>
    <w:rsid w:val="00F66832"/>
    <w:rsid w:val="00F7156A"/>
    <w:rsid w:val="00F744A3"/>
    <w:rsid w:val="00F75B8A"/>
    <w:rsid w:val="00F805B4"/>
    <w:rsid w:val="00F81CB1"/>
    <w:rsid w:val="00F8780E"/>
    <w:rsid w:val="00F902C4"/>
    <w:rsid w:val="00F9351F"/>
    <w:rsid w:val="00F93E2C"/>
    <w:rsid w:val="00F948D3"/>
    <w:rsid w:val="00F94B31"/>
    <w:rsid w:val="00F9549F"/>
    <w:rsid w:val="00FA1614"/>
    <w:rsid w:val="00FA3458"/>
    <w:rsid w:val="00FA375A"/>
    <w:rsid w:val="00FA436D"/>
    <w:rsid w:val="00FA505B"/>
    <w:rsid w:val="00FA580D"/>
    <w:rsid w:val="00FA71AB"/>
    <w:rsid w:val="00FB0B82"/>
    <w:rsid w:val="00FB23F0"/>
    <w:rsid w:val="00FB4BC0"/>
    <w:rsid w:val="00FB5803"/>
    <w:rsid w:val="00FB5EF3"/>
    <w:rsid w:val="00FB666C"/>
    <w:rsid w:val="00FB67B4"/>
    <w:rsid w:val="00FC055E"/>
    <w:rsid w:val="00FC0760"/>
    <w:rsid w:val="00FC15DE"/>
    <w:rsid w:val="00FC3740"/>
    <w:rsid w:val="00FC6EAD"/>
    <w:rsid w:val="00FD33E7"/>
    <w:rsid w:val="00FD3A3A"/>
    <w:rsid w:val="00FD5AFF"/>
    <w:rsid w:val="00FD6184"/>
    <w:rsid w:val="00FD7B93"/>
    <w:rsid w:val="00FE0BDC"/>
    <w:rsid w:val="00FE2754"/>
    <w:rsid w:val="00FE7395"/>
    <w:rsid w:val="00FE74A5"/>
    <w:rsid w:val="00FF3120"/>
    <w:rsid w:val="00FF3597"/>
    <w:rsid w:val="00FF4514"/>
    <w:rsid w:val="00FF4716"/>
    <w:rsid w:val="00FF5478"/>
    <w:rsid w:val="00FF6361"/>
    <w:rsid w:val="00FF752B"/>
    <w:rsid w:val="00FF75C5"/>
    <w:rsid w:val="06874743"/>
    <w:rsid w:val="077397CF"/>
    <w:rsid w:val="0DF26B16"/>
    <w:rsid w:val="13192907"/>
    <w:rsid w:val="13E34122"/>
    <w:rsid w:val="14EF1989"/>
    <w:rsid w:val="158351B6"/>
    <w:rsid w:val="18C4C53B"/>
    <w:rsid w:val="1BE033F5"/>
    <w:rsid w:val="1E983E3A"/>
    <w:rsid w:val="20D3008E"/>
    <w:rsid w:val="273B1FD3"/>
    <w:rsid w:val="3238044A"/>
    <w:rsid w:val="36D5CE0C"/>
    <w:rsid w:val="380AA772"/>
    <w:rsid w:val="4491D311"/>
    <w:rsid w:val="45F7FD0D"/>
    <w:rsid w:val="49B66384"/>
    <w:rsid w:val="4A92EA5D"/>
    <w:rsid w:val="4E746BEB"/>
    <w:rsid w:val="500923C2"/>
    <w:rsid w:val="539B0D91"/>
    <w:rsid w:val="573CC224"/>
    <w:rsid w:val="5815708C"/>
    <w:rsid w:val="5C77E50A"/>
    <w:rsid w:val="5FC42274"/>
    <w:rsid w:val="607FC5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DFC87"/>
  <w15:chartTrackingRefBased/>
  <w15:docId w15:val="{6AB1A485-FA74-4092-835C-5C11C001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DB"/>
    <w:pPr>
      <w:spacing w:before="100" w:beforeAutospacing="1" w:after="100" w:afterAutospacing="1" w:line="276" w:lineRule="auto"/>
    </w:pPr>
    <w:rPr>
      <w:rFonts w:eastAsia="Batang"/>
    </w:rPr>
  </w:style>
  <w:style w:type="paragraph" w:styleId="Heading1">
    <w:name w:val="heading 1"/>
    <w:basedOn w:val="Normal"/>
    <w:next w:val="Normal"/>
    <w:link w:val="Heading1Char"/>
    <w:uiPriority w:val="9"/>
    <w:qFormat/>
    <w:rsid w:val="009B4508"/>
    <w:pPr>
      <w:keepNext/>
      <w:keepLines/>
      <w:spacing w:line="240" w:lineRule="auto"/>
      <w:outlineLvl w:val="0"/>
    </w:pPr>
    <w:rPr>
      <w:rFonts w:ascii="Arial" w:eastAsiaTheme="majorEastAsia" w:hAnsi="Arial" w:cs="Arial"/>
      <w:b/>
      <w:bCs/>
      <w:caps/>
      <w:color w:val="000000"/>
      <w:sz w:val="32"/>
      <w:szCs w:val="32"/>
    </w:rPr>
  </w:style>
  <w:style w:type="paragraph" w:styleId="Heading2">
    <w:name w:val="heading 2"/>
    <w:basedOn w:val="Normal"/>
    <w:next w:val="Normal"/>
    <w:link w:val="Heading2Char"/>
    <w:uiPriority w:val="9"/>
    <w:unhideWhenUsed/>
    <w:qFormat/>
    <w:rsid w:val="008E581B"/>
    <w:pPr>
      <w:keepNext/>
      <w:keepLines/>
      <w:numPr>
        <w:numId w:val="10"/>
      </w:numPr>
      <w:spacing w:before="480" w:beforeAutospacing="0" w:line="240" w:lineRule="auto"/>
      <w:ind w:left="357" w:hanging="357"/>
      <w:outlineLvl w:val="1"/>
    </w:pPr>
    <w:rPr>
      <w:rFonts w:asciiTheme="majorHAnsi" w:eastAsia="Times New Roman" w:hAnsiTheme="majorHAnsi" w:cstheme="majorBidi"/>
      <w:b/>
      <w:bCs/>
      <w:caps/>
      <w:lang w:eastAsia="en-GB"/>
    </w:rPr>
  </w:style>
  <w:style w:type="paragraph" w:styleId="Heading3">
    <w:name w:val="heading 3"/>
    <w:basedOn w:val="Normal"/>
    <w:next w:val="Normal"/>
    <w:link w:val="Heading3Char"/>
    <w:uiPriority w:val="9"/>
    <w:unhideWhenUsed/>
    <w:qFormat/>
    <w:rsid w:val="008C39E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C39E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C39E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C39E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C39E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C39E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C39E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34"/>
    <w:qFormat/>
    <w:rsid w:val="00A71F7B"/>
    <w:pPr>
      <w:ind w:left="720"/>
      <w:contextualSpacing/>
    </w:pPr>
  </w:style>
  <w:style w:type="paragraph" w:customStyle="1" w:styleId="paragraph">
    <w:name w:val="paragraph"/>
    <w:basedOn w:val="Normal"/>
    <w:rsid w:val="00A71F7B"/>
    <w:pPr>
      <w:spacing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1F7B"/>
  </w:style>
  <w:style w:type="character" w:customStyle="1" w:styleId="eop">
    <w:name w:val="eop"/>
    <w:basedOn w:val="DefaultParagraphFont"/>
    <w:rsid w:val="00A71F7B"/>
  </w:style>
  <w:style w:type="paragraph" w:styleId="Header">
    <w:name w:val="header"/>
    <w:basedOn w:val="Normal"/>
    <w:link w:val="HeaderChar"/>
    <w:uiPriority w:val="99"/>
    <w:unhideWhenUsed/>
    <w:rsid w:val="00A71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7B"/>
  </w:style>
  <w:style w:type="paragraph" w:styleId="Footer">
    <w:name w:val="footer"/>
    <w:basedOn w:val="Normal"/>
    <w:link w:val="FooterChar"/>
    <w:uiPriority w:val="99"/>
    <w:unhideWhenUsed/>
    <w:rsid w:val="00A71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7B"/>
  </w:style>
  <w:style w:type="character" w:styleId="Hyperlink">
    <w:name w:val="Hyperlink"/>
    <w:basedOn w:val="DefaultParagraphFont"/>
    <w:unhideWhenUsed/>
    <w:rsid w:val="00A71F7B"/>
    <w:rPr>
      <w:color w:val="0000FF"/>
      <w:u w:val="single"/>
    </w:rPr>
  </w:style>
  <w:style w:type="paragraph" w:styleId="FootnoteText">
    <w:name w:val="footnote text"/>
    <w:basedOn w:val="Normal"/>
    <w:link w:val="FootnoteTextChar"/>
    <w:uiPriority w:val="99"/>
    <w:semiHidden/>
    <w:unhideWhenUsed/>
    <w:rsid w:val="00A71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F7B"/>
    <w:rPr>
      <w:sz w:val="20"/>
      <w:szCs w:val="20"/>
    </w:rPr>
  </w:style>
  <w:style w:type="character" w:styleId="FootnoteReference">
    <w:name w:val="footnote reference"/>
    <w:aliases w:val="Footnote Reference Superscript,BVI fnr, BVI fnr,*UKCES Footnote Reference,Footnote Reference (EKOS),EN Footnote Reference"/>
    <w:basedOn w:val="DefaultParagraphFont"/>
    <w:uiPriority w:val="99"/>
    <w:unhideWhenUsed/>
    <w:rsid w:val="00A71F7B"/>
    <w:rPr>
      <w:vertAlign w:val="superscript"/>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34"/>
    <w:qFormat/>
    <w:locked/>
    <w:rsid w:val="00A71F7B"/>
  </w:style>
  <w:style w:type="table" w:customStyle="1" w:styleId="TableGrid1">
    <w:name w:val="Table Grid1"/>
    <w:basedOn w:val="TableNormal"/>
    <w:next w:val="TableGrid"/>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B279D"/>
    <w:rPr>
      <w:color w:val="605E5C"/>
      <w:shd w:val="clear" w:color="auto" w:fill="E1DFDD"/>
    </w:rPr>
  </w:style>
  <w:style w:type="character" w:styleId="CommentReference">
    <w:name w:val="annotation reference"/>
    <w:basedOn w:val="DefaultParagraphFont"/>
    <w:uiPriority w:val="99"/>
    <w:semiHidden/>
    <w:unhideWhenUsed/>
    <w:rsid w:val="00230D22"/>
    <w:rPr>
      <w:sz w:val="16"/>
      <w:szCs w:val="16"/>
    </w:rPr>
  </w:style>
  <w:style w:type="paragraph" w:styleId="CommentText">
    <w:name w:val="annotation text"/>
    <w:basedOn w:val="Normal"/>
    <w:link w:val="CommentTextChar"/>
    <w:uiPriority w:val="99"/>
    <w:semiHidden/>
    <w:unhideWhenUsed/>
    <w:rsid w:val="00230D22"/>
    <w:pPr>
      <w:spacing w:line="240" w:lineRule="auto"/>
    </w:pPr>
    <w:rPr>
      <w:sz w:val="20"/>
      <w:szCs w:val="20"/>
    </w:rPr>
  </w:style>
  <w:style w:type="character" w:customStyle="1" w:styleId="CommentTextChar">
    <w:name w:val="Comment Text Char"/>
    <w:basedOn w:val="DefaultParagraphFont"/>
    <w:link w:val="CommentText"/>
    <w:uiPriority w:val="99"/>
    <w:semiHidden/>
    <w:rsid w:val="00230D22"/>
    <w:rPr>
      <w:sz w:val="20"/>
      <w:szCs w:val="20"/>
    </w:rPr>
  </w:style>
  <w:style w:type="paragraph" w:styleId="CommentSubject">
    <w:name w:val="annotation subject"/>
    <w:basedOn w:val="CommentText"/>
    <w:next w:val="CommentText"/>
    <w:link w:val="CommentSubjectChar"/>
    <w:uiPriority w:val="99"/>
    <w:semiHidden/>
    <w:unhideWhenUsed/>
    <w:rsid w:val="00230D22"/>
    <w:rPr>
      <w:b/>
      <w:bCs/>
    </w:rPr>
  </w:style>
  <w:style w:type="character" w:customStyle="1" w:styleId="CommentSubjectChar">
    <w:name w:val="Comment Subject Char"/>
    <w:basedOn w:val="CommentTextChar"/>
    <w:link w:val="CommentSubject"/>
    <w:uiPriority w:val="99"/>
    <w:semiHidden/>
    <w:rsid w:val="00230D22"/>
    <w:rPr>
      <w:b/>
      <w:bCs/>
      <w:sz w:val="20"/>
      <w:szCs w:val="20"/>
    </w:rPr>
  </w:style>
  <w:style w:type="paragraph" w:styleId="BalloonText">
    <w:name w:val="Balloon Text"/>
    <w:basedOn w:val="Normal"/>
    <w:link w:val="BalloonTextChar"/>
    <w:uiPriority w:val="99"/>
    <w:semiHidden/>
    <w:unhideWhenUsed/>
    <w:rsid w:val="0023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2"/>
    <w:rPr>
      <w:rFonts w:ascii="Segoe UI" w:hAnsi="Segoe UI" w:cs="Segoe UI"/>
      <w:sz w:val="18"/>
      <w:szCs w:val="18"/>
    </w:rPr>
  </w:style>
  <w:style w:type="character" w:styleId="FollowedHyperlink">
    <w:name w:val="FollowedHyperlink"/>
    <w:basedOn w:val="DefaultParagraphFont"/>
    <w:uiPriority w:val="99"/>
    <w:semiHidden/>
    <w:unhideWhenUsed/>
    <w:rsid w:val="00F50ACC"/>
    <w:rPr>
      <w:color w:val="954F72" w:themeColor="followedHyperlink"/>
      <w:u w:val="single"/>
    </w:rPr>
  </w:style>
  <w:style w:type="character" w:customStyle="1" w:styleId="Heading1Char">
    <w:name w:val="Heading 1 Char"/>
    <w:basedOn w:val="DefaultParagraphFont"/>
    <w:link w:val="Heading1"/>
    <w:uiPriority w:val="9"/>
    <w:rsid w:val="009B4508"/>
    <w:rPr>
      <w:rFonts w:ascii="Arial" w:eastAsiaTheme="majorEastAsia" w:hAnsi="Arial" w:cs="Arial"/>
      <w:b/>
      <w:bCs/>
      <w:caps/>
      <w:color w:val="000000"/>
      <w:sz w:val="32"/>
      <w:szCs w:val="32"/>
    </w:rPr>
  </w:style>
  <w:style w:type="character" w:customStyle="1" w:styleId="Heading2Char">
    <w:name w:val="Heading 2 Char"/>
    <w:basedOn w:val="DefaultParagraphFont"/>
    <w:link w:val="Heading2"/>
    <w:uiPriority w:val="9"/>
    <w:rsid w:val="008E581B"/>
    <w:rPr>
      <w:rFonts w:asciiTheme="majorHAnsi" w:eastAsia="Times New Roman" w:hAnsiTheme="majorHAnsi" w:cstheme="majorBidi"/>
      <w:b/>
      <w:bCs/>
      <w:caps/>
      <w:lang w:eastAsia="en-GB"/>
    </w:rPr>
  </w:style>
  <w:style w:type="character" w:customStyle="1" w:styleId="Heading3Char">
    <w:name w:val="Heading 3 Char"/>
    <w:basedOn w:val="DefaultParagraphFont"/>
    <w:link w:val="Heading3"/>
    <w:uiPriority w:val="9"/>
    <w:rsid w:val="008C39E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C39E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C39E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C39E6"/>
    <w:rPr>
      <w:rFonts w:asciiTheme="majorHAnsi" w:eastAsiaTheme="majorEastAsia" w:hAnsiTheme="majorHAnsi" w:cstheme="majorBidi"/>
      <w:b/>
      <w:bCs/>
      <w:caps/>
      <w:color w:val="262626" w:themeColor="text1" w:themeTint="D9"/>
      <w:sz w:val="20"/>
      <w:szCs w:val="20"/>
    </w:rPr>
  </w:style>
  <w:style w:type="paragraph" w:styleId="Title">
    <w:name w:val="Title"/>
    <w:basedOn w:val="Normal"/>
    <w:next w:val="Normal"/>
    <w:link w:val="TitleChar"/>
    <w:uiPriority w:val="10"/>
    <w:qFormat/>
    <w:rsid w:val="008C39E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C39E6"/>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C39E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C39E6"/>
    <w:rPr>
      <w:rFonts w:asciiTheme="majorHAnsi" w:eastAsiaTheme="majorEastAsia" w:hAnsiTheme="majorHAnsi" w:cstheme="majorBidi"/>
      <w:smallCaps/>
      <w:color w:val="595959" w:themeColor="text1" w:themeTint="A6"/>
      <w:sz w:val="28"/>
      <w:szCs w:val="28"/>
    </w:rPr>
  </w:style>
  <w:style w:type="paragraph" w:customStyle="1" w:styleId="m-8705749303586886605msolistparagraph">
    <w:name w:val="m_-8705749303586886605msolistparagraph"/>
    <w:basedOn w:val="Normal"/>
    <w:rsid w:val="008C102B"/>
    <w:pPr>
      <w:spacing w:line="240" w:lineRule="auto"/>
    </w:pPr>
    <w:rPr>
      <w:rFonts w:ascii="Calibri" w:eastAsiaTheme="minorEastAsia" w:hAnsi="Calibri" w:cs="Calibri"/>
      <w:lang w:eastAsia="en-GB"/>
    </w:rPr>
  </w:style>
  <w:style w:type="paragraph" w:styleId="PlainText">
    <w:name w:val="Plain Text"/>
    <w:basedOn w:val="Normal"/>
    <w:link w:val="PlainTextChar"/>
    <w:rsid w:val="008C102B"/>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C102B"/>
    <w:rPr>
      <w:rFonts w:ascii="Courier New" w:eastAsia="Times New Roman" w:hAnsi="Courier New" w:cs="Times New Roman"/>
      <w:sz w:val="20"/>
      <w:szCs w:val="20"/>
      <w:lang w:eastAsia="en-GB"/>
    </w:rPr>
  </w:style>
  <w:style w:type="paragraph" w:styleId="NoSpacing">
    <w:name w:val="No Spacing"/>
    <w:uiPriority w:val="1"/>
    <w:qFormat/>
    <w:rsid w:val="008C39E6"/>
    <w:pPr>
      <w:spacing w:after="0" w:line="240" w:lineRule="auto"/>
    </w:pPr>
  </w:style>
  <w:style w:type="paragraph" w:styleId="BodyText">
    <w:name w:val="Body Text"/>
    <w:basedOn w:val="Normal"/>
    <w:link w:val="BodyTextChar"/>
    <w:uiPriority w:val="1"/>
    <w:unhideWhenUsed/>
    <w:rsid w:val="008C102B"/>
    <w:pPr>
      <w:autoSpaceDE w:val="0"/>
      <w:autoSpaceDN w:val="0"/>
      <w:spacing w:after="0" w:line="240" w:lineRule="auto"/>
    </w:pPr>
    <w:rPr>
      <w:rFonts w:ascii="Gill Sans MT" w:hAnsi="Gill Sans MT" w:cs="Calibri"/>
    </w:rPr>
  </w:style>
  <w:style w:type="character" w:customStyle="1" w:styleId="BodyTextChar">
    <w:name w:val="Body Text Char"/>
    <w:basedOn w:val="DefaultParagraphFont"/>
    <w:link w:val="BodyText"/>
    <w:uiPriority w:val="1"/>
    <w:rsid w:val="008C102B"/>
    <w:rPr>
      <w:rFonts w:ascii="Gill Sans MT" w:hAnsi="Gill Sans MT" w:cs="Calibri"/>
    </w:rPr>
  </w:style>
  <w:style w:type="paragraph" w:customStyle="1" w:styleId="Default">
    <w:name w:val="Default"/>
    <w:rsid w:val="008C102B"/>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basedOn w:val="Normal"/>
    <w:link w:val="BodyChar1"/>
    <w:rsid w:val="008C102B"/>
    <w:pPr>
      <w:numPr>
        <w:numId w:val="9"/>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character" w:customStyle="1" w:styleId="BodyChar1">
    <w:name w:val="Body Char1"/>
    <w:link w:val="Body"/>
    <w:locked/>
    <w:rsid w:val="008C102B"/>
    <w:rPr>
      <w:rFonts w:ascii="Verdana" w:eastAsia="Times New Roman" w:hAnsi="Verdana" w:cs="Times New Roman"/>
      <w:sz w:val="18"/>
      <w:szCs w:val="18"/>
      <w:lang w:eastAsia="zh-CN"/>
    </w:rPr>
  </w:style>
  <w:style w:type="paragraph" w:customStyle="1" w:styleId="aDefinition">
    <w:name w:val="(a) Definition"/>
    <w:basedOn w:val="Body"/>
    <w:rsid w:val="008C102B"/>
    <w:pPr>
      <w:numPr>
        <w:ilvl w:val="1"/>
      </w:numPr>
      <w:tabs>
        <w:tab w:val="clear" w:pos="851"/>
        <w:tab w:val="clear" w:pos="1843"/>
        <w:tab w:val="clear" w:pos="3119"/>
        <w:tab w:val="clear" w:pos="4253"/>
        <w:tab w:val="num" w:pos="360"/>
      </w:tabs>
    </w:pPr>
  </w:style>
  <w:style w:type="paragraph" w:customStyle="1" w:styleId="iDefinition">
    <w:name w:val="(i) Definition"/>
    <w:basedOn w:val="Body"/>
    <w:rsid w:val="008C102B"/>
    <w:pPr>
      <w:numPr>
        <w:ilvl w:val="2"/>
      </w:numPr>
      <w:tabs>
        <w:tab w:val="clear" w:pos="1843"/>
        <w:tab w:val="clear" w:pos="3119"/>
        <w:tab w:val="clear" w:pos="4253"/>
        <w:tab w:val="num" w:pos="360"/>
      </w:tabs>
    </w:pPr>
  </w:style>
  <w:style w:type="character" w:customStyle="1" w:styleId="Heading7Char">
    <w:name w:val="Heading 7 Char"/>
    <w:basedOn w:val="DefaultParagraphFont"/>
    <w:link w:val="Heading7"/>
    <w:uiPriority w:val="9"/>
    <w:semiHidden/>
    <w:rsid w:val="008C39E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C39E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C39E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C39E6"/>
    <w:pPr>
      <w:spacing w:line="240" w:lineRule="auto"/>
    </w:pPr>
    <w:rPr>
      <w:b/>
      <w:bCs/>
      <w:smallCaps/>
      <w:color w:val="595959" w:themeColor="text1" w:themeTint="A6"/>
    </w:rPr>
  </w:style>
  <w:style w:type="character" w:styleId="Strong">
    <w:name w:val="Strong"/>
    <w:basedOn w:val="DefaultParagraphFont"/>
    <w:uiPriority w:val="22"/>
    <w:qFormat/>
    <w:rsid w:val="008C39E6"/>
    <w:rPr>
      <w:b/>
      <w:bCs/>
    </w:rPr>
  </w:style>
  <w:style w:type="character" w:styleId="Emphasis">
    <w:name w:val="Emphasis"/>
    <w:basedOn w:val="DefaultParagraphFont"/>
    <w:uiPriority w:val="20"/>
    <w:qFormat/>
    <w:rsid w:val="008C39E6"/>
    <w:rPr>
      <w:i/>
      <w:iCs/>
    </w:rPr>
  </w:style>
  <w:style w:type="paragraph" w:styleId="Quote">
    <w:name w:val="Quote"/>
    <w:basedOn w:val="Normal"/>
    <w:next w:val="Normal"/>
    <w:link w:val="QuoteChar"/>
    <w:uiPriority w:val="29"/>
    <w:qFormat/>
    <w:rsid w:val="008C39E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C39E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C39E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C39E6"/>
    <w:rPr>
      <w:color w:val="404040" w:themeColor="text1" w:themeTint="BF"/>
      <w:sz w:val="32"/>
      <w:szCs w:val="32"/>
    </w:rPr>
  </w:style>
  <w:style w:type="character" w:styleId="SubtleEmphasis">
    <w:name w:val="Subtle Emphasis"/>
    <w:basedOn w:val="DefaultParagraphFont"/>
    <w:uiPriority w:val="19"/>
    <w:qFormat/>
    <w:rsid w:val="008C39E6"/>
    <w:rPr>
      <w:i/>
      <w:iCs/>
      <w:color w:val="595959" w:themeColor="text1" w:themeTint="A6"/>
    </w:rPr>
  </w:style>
  <w:style w:type="character" w:styleId="IntenseEmphasis">
    <w:name w:val="Intense Emphasis"/>
    <w:basedOn w:val="DefaultParagraphFont"/>
    <w:uiPriority w:val="21"/>
    <w:qFormat/>
    <w:rsid w:val="008C39E6"/>
    <w:rPr>
      <w:b/>
      <w:bCs/>
      <w:i/>
      <w:iCs/>
    </w:rPr>
  </w:style>
  <w:style w:type="character" w:styleId="SubtleReference">
    <w:name w:val="Subtle Reference"/>
    <w:basedOn w:val="DefaultParagraphFont"/>
    <w:uiPriority w:val="31"/>
    <w:qFormat/>
    <w:rsid w:val="008C39E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39E6"/>
    <w:rPr>
      <w:b/>
      <w:bCs/>
      <w:caps w:val="0"/>
      <w:smallCaps/>
      <w:color w:val="auto"/>
      <w:spacing w:val="3"/>
      <w:u w:val="single"/>
    </w:rPr>
  </w:style>
  <w:style w:type="character" w:styleId="BookTitle">
    <w:name w:val="Book Title"/>
    <w:basedOn w:val="DefaultParagraphFont"/>
    <w:uiPriority w:val="33"/>
    <w:qFormat/>
    <w:rsid w:val="008C39E6"/>
    <w:rPr>
      <w:b/>
      <w:bCs/>
      <w:smallCaps/>
      <w:spacing w:val="7"/>
    </w:rPr>
  </w:style>
  <w:style w:type="paragraph" w:styleId="TOCHeading">
    <w:name w:val="TOC Heading"/>
    <w:basedOn w:val="Heading1"/>
    <w:next w:val="Normal"/>
    <w:uiPriority w:val="39"/>
    <w:semiHidden/>
    <w:unhideWhenUsed/>
    <w:qFormat/>
    <w:rsid w:val="008C39E6"/>
    <w:pPr>
      <w:outlineLvl w:val="9"/>
    </w:pPr>
  </w:style>
  <w:style w:type="paragraph" w:styleId="Revision">
    <w:name w:val="Revision"/>
    <w:hidden/>
    <w:uiPriority w:val="99"/>
    <w:semiHidden/>
    <w:rsid w:val="00142075"/>
    <w:pPr>
      <w:spacing w:after="0" w:line="240" w:lineRule="auto"/>
    </w:pPr>
    <w:rPr>
      <w:rFonts w:eastAsia="Batang"/>
    </w:rPr>
  </w:style>
  <w:style w:type="character" w:styleId="Mention">
    <w:name w:val="Mention"/>
    <w:basedOn w:val="DefaultParagraphFont"/>
    <w:uiPriority w:val="99"/>
    <w:unhideWhenUsed/>
    <w:rsid w:val="00C85C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umberland.gov.uk/NorthumberlandCountyCouncil/media/About-the-Council/North%20of%20Tyne%20Authority/Inclusive-Economy-Policy-Statemen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orthoftyne-ca.gov.uk/wp-content/uploads/2020/09/NorthofTyne_EconomicVision_webfinal.pdf" TargetMode="External"/><Relationship Id="rId17" Type="http://schemas.openxmlformats.org/officeDocument/2006/relationships/hyperlink" Target="mailto:matt.bratton@northoftyne-ca.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tt.bratton@northoftyne-ca.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mplying-with-the-uks-international-obligations-on-subsidy-control-guidance-for-public-authorities/technical-guidance-on-the-uks-international-subsidy-control-commitments-from-1-january-202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ortheastlep.co.uk/wp-content/uploads/2020/06/economic-response-summary-report-final-1.pdf"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eastlep.co.uk/the-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FC9330A8CD93449E72AC541A9DE0FF" ma:contentTypeVersion="11" ma:contentTypeDescription="Create a new document." ma:contentTypeScope="" ma:versionID="2c2327563c0b244ff308be5f7fd9fe66">
  <xsd:schema xmlns:xsd="http://www.w3.org/2001/XMLSchema" xmlns:xs="http://www.w3.org/2001/XMLSchema" xmlns:p="http://schemas.microsoft.com/office/2006/metadata/properties" xmlns:ns2="e0558e81-69f7-48e9-b7d9-14107295364e" xmlns:ns3="bae4bcaf-3dc7-4891-808e-09169083e8ff" targetNamespace="http://schemas.microsoft.com/office/2006/metadata/properties" ma:root="true" ma:fieldsID="249fa268be8b315655a3a966dd7b7d91" ns2:_="" ns3:_="">
    <xsd:import namespace="e0558e81-69f7-48e9-b7d9-14107295364e"/>
    <xsd:import namespace="bae4bcaf-3dc7-4891-808e-09169083e8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8e81-69f7-48e9-b7d9-141072953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4bcaf-3dc7-4891-808e-09169083e8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ae4bcaf-3dc7-4891-808e-09169083e8ff">
      <UserInfo>
        <DisplayName>Hamilton, Robert (North of Tyne)</DisplayName>
        <AccountId>19</AccountId>
        <AccountType/>
      </UserInfo>
      <UserInfo>
        <DisplayName>Stamper, Mark (North Of Tyne)</DisplayName>
        <AccountId>20</AccountId>
        <AccountType/>
      </UserInfo>
    </SharedWithUsers>
  </documentManagement>
</p:properties>
</file>

<file path=customXml/itemProps1.xml><?xml version="1.0" encoding="utf-8"?>
<ds:datastoreItem xmlns:ds="http://schemas.openxmlformats.org/officeDocument/2006/customXml" ds:itemID="{601D49FD-DF2B-44F4-98DB-418674C1BDD7}">
  <ds:schemaRefs>
    <ds:schemaRef ds:uri="http://schemas.microsoft.com/sharepoint/v3/contenttype/forms"/>
  </ds:schemaRefs>
</ds:datastoreItem>
</file>

<file path=customXml/itemProps2.xml><?xml version="1.0" encoding="utf-8"?>
<ds:datastoreItem xmlns:ds="http://schemas.openxmlformats.org/officeDocument/2006/customXml" ds:itemID="{A292A70D-549D-42E6-94AC-98895BFC610B}">
  <ds:schemaRefs>
    <ds:schemaRef ds:uri="http://schemas.openxmlformats.org/officeDocument/2006/bibliography"/>
  </ds:schemaRefs>
</ds:datastoreItem>
</file>

<file path=customXml/itemProps3.xml><?xml version="1.0" encoding="utf-8"?>
<ds:datastoreItem xmlns:ds="http://schemas.openxmlformats.org/officeDocument/2006/customXml" ds:itemID="{45F29A3C-FE32-48C0-B4C6-33EEEC71D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58e81-69f7-48e9-b7d9-14107295364e"/>
    <ds:schemaRef ds:uri="bae4bcaf-3dc7-4891-808e-09169083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89F9E-F410-4658-88D3-D7DEF08C0D5A}">
  <ds:schemaRefs>
    <ds:schemaRef ds:uri="http://schemas.openxmlformats.org/package/2006/metadata/core-properties"/>
    <ds:schemaRef ds:uri="http://purl.org/dc/dcmitype/"/>
    <ds:schemaRef ds:uri="http://schemas.microsoft.com/office/2006/documentManagement/types"/>
    <ds:schemaRef ds:uri="bae4bcaf-3dc7-4891-808e-09169083e8ff"/>
    <ds:schemaRef ds:uri="http://purl.org/dc/elements/1.1/"/>
    <ds:schemaRef ds:uri="http://schemas.microsoft.com/office/2006/metadata/properties"/>
    <ds:schemaRef ds:uri="http://purl.org/dc/terms/"/>
    <ds:schemaRef ds:uri="http://schemas.microsoft.com/office/infopath/2007/PartnerControls"/>
    <ds:schemaRef ds:uri="e0558e81-69f7-48e9-b7d9-1410729536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Mark (North Of Tyne)</dc:creator>
  <cp:keywords/>
  <dc:description/>
  <cp:lastModifiedBy>Bratton, Matt (North Of Tyne)</cp:lastModifiedBy>
  <cp:revision>15</cp:revision>
  <dcterms:created xsi:type="dcterms:W3CDTF">2021-05-04T13:45:00Z</dcterms:created>
  <dcterms:modified xsi:type="dcterms:W3CDTF">2021-05-04T18:23:00Z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0x010100BBFC9330A8CD93449E72AC541A9DE0FF</vt:lpwstr>
  </property>
</Properties>
</file>