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9841C" w14:textId="77777777" w:rsidR="00C131EA" w:rsidRDefault="00331F3F" w:rsidP="00DC1CC6">
      <w:pPr>
        <w:jc w:val="both"/>
        <w:rPr>
          <w:rFonts w:ascii="Arial" w:eastAsia="Arial" w:hAnsi="Arial" w:cs="Arial"/>
          <w:b/>
          <w:sz w:val="22"/>
          <w:szCs w:val="22"/>
        </w:rPr>
      </w:pPr>
      <w:r>
        <w:rPr>
          <w:noProof/>
        </w:rPr>
        <w:drawing>
          <wp:anchor distT="0" distB="0" distL="114300" distR="114300" simplePos="0" relativeHeight="251658240" behindDoc="0" locked="0" layoutInCell="1" hidden="0" allowOverlap="1" wp14:anchorId="151E38D0" wp14:editId="43764114">
            <wp:simplePos x="0" y="0"/>
            <wp:positionH relativeFrom="column">
              <wp:posOffset>-85724</wp:posOffset>
            </wp:positionH>
            <wp:positionV relativeFrom="paragraph">
              <wp:posOffset>0</wp:posOffset>
            </wp:positionV>
            <wp:extent cx="1371600" cy="1377950"/>
            <wp:effectExtent l="0" t="0" r="0" b="0"/>
            <wp:wrapSquare wrapText="bothSides" distT="0" distB="0" distL="114300" distR="114300"/>
            <wp:docPr id="3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1371600" cy="1377950"/>
                    </a:xfrm>
                    <a:prstGeom prst="rect">
                      <a:avLst/>
                    </a:prstGeom>
                    <a:ln/>
                  </pic:spPr>
                </pic:pic>
              </a:graphicData>
            </a:graphic>
          </wp:anchor>
        </w:drawing>
      </w:r>
    </w:p>
    <w:p w14:paraId="7CDE1CC8" w14:textId="77777777" w:rsidR="00C131EA" w:rsidRDefault="00C131EA" w:rsidP="00DC1CC6">
      <w:pPr>
        <w:ind w:left="3686"/>
        <w:jc w:val="both"/>
        <w:rPr>
          <w:rFonts w:ascii="Arial" w:eastAsia="Arial" w:hAnsi="Arial" w:cs="Arial"/>
          <w:b/>
          <w:sz w:val="22"/>
          <w:szCs w:val="22"/>
        </w:rPr>
      </w:pPr>
    </w:p>
    <w:p w14:paraId="7003132C" w14:textId="77777777" w:rsidR="00C131EA" w:rsidRDefault="00331F3F" w:rsidP="00DC1CC6">
      <w:pPr>
        <w:ind w:left="3686"/>
        <w:jc w:val="both"/>
        <w:rPr>
          <w:rFonts w:ascii="Arial" w:eastAsia="Arial" w:hAnsi="Arial" w:cs="Arial"/>
          <w:b/>
          <w:sz w:val="22"/>
          <w:szCs w:val="22"/>
        </w:rPr>
      </w:pPr>
      <w:r>
        <w:rPr>
          <w:rFonts w:ascii="Arial" w:eastAsia="Arial" w:hAnsi="Arial" w:cs="Arial"/>
          <w:b/>
          <w:sz w:val="22"/>
          <w:szCs w:val="22"/>
        </w:rPr>
        <w:t>North of Tyne Green New Deal Fund Provision – Call Definition Document</w:t>
      </w:r>
    </w:p>
    <w:p w14:paraId="41037C31" w14:textId="77777777" w:rsidR="00C131EA" w:rsidRDefault="00C131EA" w:rsidP="00DC1CC6">
      <w:pPr>
        <w:ind w:left="3686"/>
        <w:jc w:val="both"/>
        <w:rPr>
          <w:rFonts w:ascii="Arial" w:eastAsia="Arial" w:hAnsi="Arial" w:cs="Arial"/>
          <w:b/>
          <w:sz w:val="22"/>
          <w:szCs w:val="22"/>
        </w:rPr>
      </w:pPr>
    </w:p>
    <w:p w14:paraId="3DC02B5C" w14:textId="77777777" w:rsidR="00C131EA" w:rsidRDefault="00C131EA" w:rsidP="00DC1CC6">
      <w:pPr>
        <w:jc w:val="both"/>
        <w:rPr>
          <w:rFonts w:ascii="Arial" w:eastAsia="Arial" w:hAnsi="Arial" w:cs="Arial"/>
          <w:sz w:val="22"/>
          <w:szCs w:val="22"/>
        </w:rPr>
      </w:pPr>
    </w:p>
    <w:p w14:paraId="104C2DCF" w14:textId="77777777" w:rsidR="00C131EA" w:rsidRDefault="00C131EA" w:rsidP="00DC1CC6">
      <w:pPr>
        <w:jc w:val="both"/>
        <w:rPr>
          <w:rFonts w:ascii="Arial" w:eastAsia="Arial" w:hAnsi="Arial" w:cs="Arial"/>
          <w:sz w:val="22"/>
          <w:szCs w:val="22"/>
        </w:rPr>
      </w:pPr>
    </w:p>
    <w:p w14:paraId="55861951" w14:textId="77777777" w:rsidR="00C131EA" w:rsidRDefault="00331F3F" w:rsidP="00DC1CC6">
      <w:pPr>
        <w:jc w:val="both"/>
        <w:rPr>
          <w:rFonts w:ascii="Arial" w:eastAsia="Arial" w:hAnsi="Arial" w:cs="Arial"/>
          <w:sz w:val="22"/>
          <w:szCs w:val="22"/>
        </w:rPr>
      </w:pPr>
      <w:r>
        <w:rPr>
          <w:rFonts w:ascii="Arial" w:eastAsia="Arial" w:hAnsi="Arial" w:cs="Arial"/>
          <w:sz w:val="22"/>
          <w:szCs w:val="22"/>
        </w:rPr>
        <w:t xml:space="preserve"> </w:t>
      </w:r>
    </w:p>
    <w:p w14:paraId="14861E55" w14:textId="77777777" w:rsidR="00C131EA" w:rsidRDefault="00C131EA" w:rsidP="00DC1CC6">
      <w:pPr>
        <w:jc w:val="both"/>
        <w:rPr>
          <w:rFonts w:ascii="Arial" w:eastAsia="Arial" w:hAnsi="Arial" w:cs="Arial"/>
          <w:sz w:val="22"/>
          <w:szCs w:val="22"/>
        </w:rPr>
      </w:pPr>
    </w:p>
    <w:p w14:paraId="7846578D" w14:textId="77777777" w:rsidR="00C131EA" w:rsidRDefault="00331F3F" w:rsidP="00DC1CC6">
      <w:pPr>
        <w:numPr>
          <w:ilvl w:val="0"/>
          <w:numId w:val="15"/>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Introduction</w:t>
      </w:r>
    </w:p>
    <w:p w14:paraId="3D99B0A9" w14:textId="06D12695" w:rsidR="00C131EA" w:rsidRDefault="00331F3F" w:rsidP="00DC1CC6">
      <w:pPr>
        <w:jc w:val="both"/>
        <w:rPr>
          <w:rFonts w:ascii="Arial" w:eastAsia="Arial" w:hAnsi="Arial" w:cs="Arial"/>
          <w:sz w:val="22"/>
          <w:szCs w:val="22"/>
        </w:rPr>
      </w:pPr>
      <w:r>
        <w:rPr>
          <w:rFonts w:ascii="Arial" w:eastAsia="Arial" w:hAnsi="Arial" w:cs="Arial"/>
          <w:sz w:val="22"/>
          <w:szCs w:val="22"/>
        </w:rPr>
        <w:t xml:space="preserve">The purpose of this call definition document is to provide </w:t>
      </w:r>
      <w:r w:rsidR="00BA42CC">
        <w:rPr>
          <w:rFonts w:ascii="Arial" w:eastAsia="Arial" w:hAnsi="Arial" w:cs="Arial"/>
          <w:sz w:val="22"/>
          <w:szCs w:val="22"/>
        </w:rPr>
        <w:t>applicants</w:t>
      </w:r>
      <w:r>
        <w:rPr>
          <w:rFonts w:ascii="Arial" w:eastAsia="Arial" w:hAnsi="Arial" w:cs="Arial"/>
          <w:sz w:val="22"/>
          <w:szCs w:val="22"/>
        </w:rPr>
        <w:t xml:space="preserve"> with the information needed to submit a bid to the North of Tyne Combined Authority (NTCA). </w:t>
      </w:r>
      <w:r>
        <w:rPr>
          <w:rFonts w:ascii="Arial" w:eastAsia="Arial" w:hAnsi="Arial" w:cs="Arial"/>
          <w:color w:val="000000"/>
          <w:sz w:val="22"/>
          <w:szCs w:val="22"/>
          <w:highlight w:val="white"/>
        </w:rPr>
        <w:t>This call is </w:t>
      </w:r>
      <w:r>
        <w:rPr>
          <w:rFonts w:ascii="Arial" w:eastAsia="Arial" w:hAnsi="Arial" w:cs="Arial"/>
          <w:b/>
          <w:color w:val="000000"/>
          <w:sz w:val="22"/>
          <w:szCs w:val="22"/>
          <w:highlight w:val="white"/>
          <w:u w:val="single"/>
        </w:rPr>
        <w:t>NOT intended</w:t>
      </w:r>
      <w:r>
        <w:rPr>
          <w:rFonts w:ascii="Arial" w:eastAsia="Arial" w:hAnsi="Arial" w:cs="Arial"/>
          <w:color w:val="000000"/>
          <w:sz w:val="22"/>
          <w:szCs w:val="22"/>
          <w:highlight w:val="white"/>
        </w:rPr>
        <w:t> for businesses and other organisations to apply directly for funding which will follow in the programme, a separate application process will be established and communicated by the successful provider organisation. T</w:t>
      </w:r>
      <w:r>
        <w:rPr>
          <w:rFonts w:ascii="Arial" w:eastAsia="Arial" w:hAnsi="Arial" w:cs="Arial"/>
          <w:sz w:val="22"/>
          <w:szCs w:val="22"/>
        </w:rPr>
        <w:t xml:space="preserve">his document also sets out the funding priorities for the Fund and explains the application process, the eligibility conditions and the indicative timetable. </w:t>
      </w:r>
    </w:p>
    <w:p w14:paraId="4C1B27B9" w14:textId="77777777" w:rsidR="00C131EA" w:rsidRDefault="00C131EA" w:rsidP="00DC1CC6">
      <w:pPr>
        <w:jc w:val="both"/>
        <w:rPr>
          <w:rFonts w:ascii="Arial" w:eastAsia="Arial" w:hAnsi="Arial" w:cs="Arial"/>
          <w:sz w:val="22"/>
          <w:szCs w:val="22"/>
        </w:rPr>
      </w:pPr>
    </w:p>
    <w:p w14:paraId="48CFC65D" w14:textId="77777777" w:rsidR="00C131EA" w:rsidRDefault="00331F3F" w:rsidP="00DC1CC6">
      <w:pPr>
        <w:numPr>
          <w:ilvl w:val="0"/>
          <w:numId w:val="15"/>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Background &amp; Strategic Context</w:t>
      </w:r>
    </w:p>
    <w:p w14:paraId="37BB8A29" w14:textId="77777777" w:rsidR="00C131EA" w:rsidRDefault="00331F3F" w:rsidP="00DC1CC6">
      <w:pPr>
        <w:jc w:val="both"/>
        <w:rPr>
          <w:rFonts w:ascii="Arial" w:eastAsia="Arial" w:hAnsi="Arial" w:cs="Arial"/>
          <w:sz w:val="22"/>
          <w:szCs w:val="22"/>
        </w:rPr>
      </w:pPr>
      <w:r>
        <w:rPr>
          <w:rFonts w:ascii="Arial" w:eastAsia="Arial" w:hAnsi="Arial" w:cs="Arial"/>
          <w:sz w:val="22"/>
          <w:szCs w:val="22"/>
        </w:rPr>
        <w:t xml:space="preserve">In March 2020, the emergency decision making powers in the NTCA constitution were enacted and a £24.2m investment fund allocation till 2023 for an Energy, Green Growth and Climate Change blueprint was approved.  This includes an in-principle £12m ‘match and multiply’ Offshore Fund, an in-principle £10m ‘match and multiply’ Green New Deal Fund, an in-principle £2m Green Growth Skills programme, a commitment of £100,000 for further development work for a revolving NTCA  Carbon Reduction Fund with an ambition this fund will leverage £10m investment in decarbonisation, and an allocation of £100k to develop a pipeline of future interventions to support citizen, community and public sector engagement to be brought back to Cabinet in due course.  </w:t>
      </w:r>
    </w:p>
    <w:p w14:paraId="30B01858" w14:textId="77777777" w:rsidR="00C131EA" w:rsidRDefault="00C131EA" w:rsidP="00DC1CC6">
      <w:pPr>
        <w:jc w:val="both"/>
        <w:rPr>
          <w:rFonts w:ascii="Arial" w:eastAsia="Arial" w:hAnsi="Arial" w:cs="Arial"/>
          <w:sz w:val="22"/>
          <w:szCs w:val="22"/>
        </w:rPr>
      </w:pPr>
    </w:p>
    <w:p w14:paraId="6EA2AC73" w14:textId="77777777" w:rsidR="00C131EA" w:rsidRDefault="00331F3F" w:rsidP="00DC1CC6">
      <w:pPr>
        <w:jc w:val="both"/>
        <w:rPr>
          <w:rFonts w:ascii="Arial" w:eastAsia="Arial" w:hAnsi="Arial" w:cs="Arial"/>
          <w:color w:val="000000"/>
          <w:sz w:val="22"/>
          <w:szCs w:val="22"/>
        </w:rPr>
      </w:pPr>
      <w:r>
        <w:rPr>
          <w:rFonts w:ascii="Arial" w:eastAsia="Arial" w:hAnsi="Arial" w:cs="Arial"/>
          <w:sz w:val="22"/>
          <w:szCs w:val="22"/>
        </w:rPr>
        <w:t>The NTCA Energy, Green Growth, and Climate Change blueprint links directly to NTCA’s strategic priorities and is identified as a priority sector in both the NTCA Economic Vision and the Devolution Deal. It also supports the climate change emergency declarations of NTCA and the constituent Local Authorities. Energy is a key area of strategic opportunity in the North East LEP’s Strategic Economic Plan, detailed within the LEP’s Energy for Growth Strategy.</w:t>
      </w:r>
    </w:p>
    <w:p w14:paraId="71BEB8BA" w14:textId="77777777" w:rsidR="00C131EA" w:rsidRDefault="00C131EA" w:rsidP="00DC1CC6">
      <w:pPr>
        <w:jc w:val="both"/>
        <w:rPr>
          <w:rFonts w:ascii="Arial" w:eastAsia="Arial" w:hAnsi="Arial" w:cs="Arial"/>
          <w:color w:val="000000"/>
          <w:sz w:val="22"/>
          <w:szCs w:val="22"/>
        </w:rPr>
      </w:pPr>
    </w:p>
    <w:p w14:paraId="3CC1A8A3" w14:textId="2BD61824" w:rsidR="00C131EA" w:rsidRDefault="00331F3F" w:rsidP="00DC1CC6">
      <w:pPr>
        <w:jc w:val="both"/>
        <w:rPr>
          <w:rFonts w:ascii="Arial" w:eastAsia="Arial" w:hAnsi="Arial" w:cs="Arial"/>
          <w:color w:val="000000"/>
          <w:sz w:val="22"/>
          <w:szCs w:val="22"/>
        </w:rPr>
      </w:pPr>
      <w:r>
        <w:rPr>
          <w:rFonts w:ascii="Arial" w:eastAsia="Arial" w:hAnsi="Arial" w:cs="Arial"/>
          <w:color w:val="000000"/>
          <w:sz w:val="22"/>
          <w:szCs w:val="22"/>
        </w:rPr>
        <w:t>The NTCA Green Growth approach creates the conditions for radical innovation across our industries and public services – supporting collaborative interventions that stimulate the market to create new jobs and growth, demonstrating bold ambition around carbon reduction. This will allow us to grow our capacity as a region to build the skills base to support new jobs and transition to cleaner ways of working</w:t>
      </w:r>
      <w:r w:rsidR="007336AE">
        <w:rPr>
          <w:rFonts w:ascii="Arial" w:eastAsia="Arial" w:hAnsi="Arial" w:cs="Arial"/>
          <w:color w:val="000000"/>
          <w:sz w:val="22"/>
          <w:szCs w:val="22"/>
        </w:rPr>
        <w:t xml:space="preserve">, </w:t>
      </w:r>
      <w:r w:rsidR="007336AE" w:rsidRPr="00A20EC6">
        <w:rPr>
          <w:rFonts w:ascii="Arial" w:eastAsia="Arial" w:hAnsi="Arial" w:cs="Arial"/>
          <w:color w:val="000000"/>
          <w:sz w:val="22"/>
          <w:szCs w:val="22"/>
        </w:rPr>
        <w:t>aligning with wider green growth policies such as 'green prescribing' and harnessing the natural capital of the area.</w:t>
      </w:r>
    </w:p>
    <w:p w14:paraId="5B7BE34D" w14:textId="77777777" w:rsidR="009136C3" w:rsidRDefault="009136C3" w:rsidP="00DC1CC6">
      <w:pPr>
        <w:jc w:val="both"/>
        <w:rPr>
          <w:rFonts w:ascii="Arial" w:eastAsia="Arial" w:hAnsi="Arial" w:cs="Arial"/>
          <w:sz w:val="22"/>
          <w:szCs w:val="22"/>
        </w:rPr>
      </w:pPr>
    </w:p>
    <w:p w14:paraId="05C8574C" w14:textId="58B7199E" w:rsidR="00C131EA" w:rsidRDefault="00331F3F" w:rsidP="00DC1CC6">
      <w:pPr>
        <w:jc w:val="both"/>
        <w:rPr>
          <w:rFonts w:ascii="Arial" w:eastAsia="Arial" w:hAnsi="Arial" w:cs="Arial"/>
          <w:color w:val="000000"/>
          <w:sz w:val="22"/>
          <w:szCs w:val="22"/>
        </w:rPr>
      </w:pPr>
      <w:r>
        <w:rPr>
          <w:rFonts w:ascii="Arial" w:eastAsia="Arial" w:hAnsi="Arial" w:cs="Arial"/>
          <w:color w:val="000000"/>
          <w:sz w:val="22"/>
          <w:szCs w:val="22"/>
        </w:rPr>
        <w:t xml:space="preserve">NTCA </w:t>
      </w:r>
      <w:r w:rsidR="00E35E5B">
        <w:rPr>
          <w:rFonts w:ascii="Arial" w:eastAsia="Arial" w:hAnsi="Arial" w:cs="Arial"/>
          <w:color w:val="000000"/>
          <w:sz w:val="22"/>
          <w:szCs w:val="22"/>
        </w:rPr>
        <w:t>will</w:t>
      </w:r>
      <w:r>
        <w:rPr>
          <w:rFonts w:ascii="Arial" w:eastAsia="Arial" w:hAnsi="Arial" w:cs="Arial"/>
          <w:color w:val="000000"/>
          <w:sz w:val="22"/>
          <w:szCs w:val="22"/>
        </w:rPr>
        <w:t xml:space="preserve"> establish a Green New Deal Fund to catalyse investment in green growth.</w:t>
      </w:r>
      <w:r w:rsidR="00084864">
        <w:rPr>
          <w:rFonts w:ascii="Arial" w:eastAsia="Arial" w:hAnsi="Arial" w:cs="Arial"/>
          <w:color w:val="000000"/>
          <w:sz w:val="22"/>
          <w:szCs w:val="22"/>
        </w:rPr>
        <w:t xml:space="preserve"> Committing </w:t>
      </w:r>
      <w:r>
        <w:rPr>
          <w:rFonts w:ascii="Arial" w:eastAsia="Arial" w:hAnsi="Arial" w:cs="Arial"/>
          <w:color w:val="000000"/>
          <w:sz w:val="22"/>
          <w:szCs w:val="22"/>
        </w:rPr>
        <w:t>£</w:t>
      </w:r>
      <w:r w:rsidR="00E35E5B">
        <w:rPr>
          <w:rFonts w:ascii="Arial" w:eastAsia="Arial" w:hAnsi="Arial" w:cs="Arial"/>
          <w:color w:val="000000"/>
          <w:sz w:val="22"/>
          <w:szCs w:val="22"/>
        </w:rPr>
        <w:t>9m</w:t>
      </w:r>
      <w:r>
        <w:rPr>
          <w:rFonts w:ascii="Arial" w:eastAsia="Arial" w:hAnsi="Arial" w:cs="Arial"/>
          <w:color w:val="000000"/>
          <w:sz w:val="22"/>
          <w:szCs w:val="22"/>
        </w:rPr>
        <w:t xml:space="preserve"> over the next three years, this fund will form a mechanism to stimulate innovation and business growth in the areas of heat decarbonisation, energy efficiency, renewables, energy systems, low carbon transport and natural capital. In parallel, NTCA will negotiate with Government and the private sector to match and multiply this commitment with additional funds. We will seek alignment of regional spend from national and regional stakeholders to deliver a place-based approach to tackle emissions whilst delivering inclusive economic growth, building on the leading role Local Authorities play in their areas and aligned with the North East LEP’s Energy for Growth Strategy</w:t>
      </w:r>
      <w:r w:rsidR="00E35E5B">
        <w:rPr>
          <w:rFonts w:ascii="Arial" w:eastAsia="Arial" w:hAnsi="Arial" w:cs="Arial"/>
          <w:color w:val="000000"/>
          <w:sz w:val="22"/>
          <w:szCs w:val="22"/>
        </w:rPr>
        <w:t xml:space="preserve">.  In addition to the £9m fund, the NTCA will allocate £1m toward project development </w:t>
      </w:r>
      <w:r w:rsidR="003F2097">
        <w:rPr>
          <w:rFonts w:ascii="Arial" w:eastAsia="Arial" w:hAnsi="Arial" w:cs="Arial"/>
          <w:color w:val="000000"/>
          <w:sz w:val="22"/>
          <w:szCs w:val="22"/>
        </w:rPr>
        <w:t>capacity</w:t>
      </w:r>
      <w:r w:rsidR="00E35E5B">
        <w:rPr>
          <w:rFonts w:ascii="Arial" w:eastAsia="Arial" w:hAnsi="Arial" w:cs="Arial"/>
          <w:color w:val="000000"/>
          <w:sz w:val="22"/>
          <w:szCs w:val="22"/>
        </w:rPr>
        <w:t>, which will be managed separately</w:t>
      </w:r>
      <w:r w:rsidR="00991CA5">
        <w:rPr>
          <w:rFonts w:ascii="Arial" w:eastAsia="Arial" w:hAnsi="Arial" w:cs="Arial"/>
          <w:color w:val="000000"/>
          <w:sz w:val="22"/>
          <w:szCs w:val="22"/>
        </w:rPr>
        <w:t xml:space="preserve"> and should not form part of </w:t>
      </w:r>
      <w:r w:rsidR="00084864">
        <w:rPr>
          <w:rFonts w:ascii="Arial" w:eastAsia="Arial" w:hAnsi="Arial" w:cs="Arial"/>
          <w:color w:val="000000"/>
          <w:sz w:val="22"/>
          <w:szCs w:val="22"/>
        </w:rPr>
        <w:t>any proposals</w:t>
      </w:r>
      <w:r w:rsidR="00991CA5">
        <w:rPr>
          <w:rFonts w:ascii="Arial" w:eastAsia="Arial" w:hAnsi="Arial" w:cs="Arial"/>
          <w:color w:val="000000"/>
          <w:sz w:val="22"/>
          <w:szCs w:val="22"/>
        </w:rPr>
        <w:t xml:space="preserve"> under this call which is specifically </w:t>
      </w:r>
      <w:r w:rsidR="003F2097">
        <w:rPr>
          <w:rFonts w:ascii="Arial" w:eastAsia="Arial" w:hAnsi="Arial" w:cs="Arial"/>
          <w:color w:val="000000"/>
          <w:sz w:val="22"/>
          <w:szCs w:val="22"/>
        </w:rPr>
        <w:t>related to the</w:t>
      </w:r>
      <w:r w:rsidR="00991CA5">
        <w:rPr>
          <w:rFonts w:ascii="Arial" w:eastAsia="Arial" w:hAnsi="Arial" w:cs="Arial"/>
          <w:color w:val="000000"/>
          <w:sz w:val="22"/>
          <w:szCs w:val="22"/>
        </w:rPr>
        <w:t xml:space="preserve"> </w:t>
      </w:r>
      <w:r w:rsidR="002A069B">
        <w:rPr>
          <w:rFonts w:ascii="Arial" w:eastAsia="Arial" w:hAnsi="Arial" w:cs="Arial"/>
          <w:color w:val="000000"/>
          <w:sz w:val="22"/>
          <w:szCs w:val="22"/>
        </w:rPr>
        <w:t>£9m Green New Deal fund</w:t>
      </w:r>
      <w:r w:rsidR="00E35E5B">
        <w:rPr>
          <w:rFonts w:ascii="Arial" w:eastAsia="Arial" w:hAnsi="Arial" w:cs="Arial"/>
          <w:color w:val="000000"/>
          <w:sz w:val="22"/>
          <w:szCs w:val="22"/>
        </w:rPr>
        <w:t>.</w:t>
      </w:r>
      <w:r w:rsidR="00E43D1A">
        <w:rPr>
          <w:rFonts w:ascii="Arial" w:eastAsia="Arial" w:hAnsi="Arial" w:cs="Arial"/>
          <w:color w:val="000000"/>
          <w:sz w:val="22"/>
          <w:szCs w:val="22"/>
        </w:rPr>
        <w:t xml:space="preserve"> </w:t>
      </w:r>
    </w:p>
    <w:p w14:paraId="31F7EC48" w14:textId="0F304B78" w:rsidR="00A74ED4" w:rsidRDefault="00A74ED4" w:rsidP="00DC1CC6">
      <w:pPr>
        <w:jc w:val="both"/>
        <w:rPr>
          <w:rFonts w:ascii="Arial" w:eastAsia="Arial" w:hAnsi="Arial" w:cs="Arial"/>
          <w:color w:val="000000"/>
          <w:sz w:val="22"/>
          <w:szCs w:val="22"/>
        </w:rPr>
      </w:pPr>
    </w:p>
    <w:p w14:paraId="4ACBEEBE" w14:textId="0C92D90D" w:rsidR="00A74ED4" w:rsidRDefault="00A74ED4" w:rsidP="00DC1CC6">
      <w:pPr>
        <w:jc w:val="both"/>
        <w:rPr>
          <w:rFonts w:ascii="Arial" w:eastAsia="Arial" w:hAnsi="Arial" w:cs="Arial"/>
          <w:color w:val="000000"/>
          <w:sz w:val="22"/>
          <w:szCs w:val="22"/>
        </w:rPr>
      </w:pPr>
    </w:p>
    <w:p w14:paraId="789D7C05" w14:textId="4CABC3C7" w:rsidR="00A74ED4" w:rsidRDefault="00A74ED4" w:rsidP="00DC1CC6">
      <w:pPr>
        <w:jc w:val="both"/>
        <w:rPr>
          <w:rFonts w:ascii="Arial" w:eastAsia="Arial" w:hAnsi="Arial" w:cs="Arial"/>
          <w:color w:val="000000"/>
          <w:sz w:val="22"/>
          <w:szCs w:val="22"/>
        </w:rPr>
      </w:pPr>
    </w:p>
    <w:p w14:paraId="74827BC9" w14:textId="77777777" w:rsidR="00A74ED4" w:rsidRDefault="00A74ED4" w:rsidP="00DC1CC6">
      <w:pPr>
        <w:jc w:val="both"/>
        <w:rPr>
          <w:rFonts w:ascii="Arial" w:eastAsia="Arial" w:hAnsi="Arial" w:cs="Arial"/>
          <w:color w:val="000000"/>
          <w:sz w:val="22"/>
          <w:szCs w:val="22"/>
        </w:rPr>
      </w:pPr>
    </w:p>
    <w:p w14:paraId="53CD7C44" w14:textId="77777777" w:rsidR="00C131EA" w:rsidRDefault="00331F3F" w:rsidP="00DC1CC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0D2521EF" w14:textId="77777777" w:rsidR="00C131EA" w:rsidRDefault="00331F3F" w:rsidP="00DC1CC6">
      <w:pPr>
        <w:numPr>
          <w:ilvl w:val="0"/>
          <w:numId w:val="15"/>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lastRenderedPageBreak/>
        <w:t>NTCA Approach</w:t>
      </w:r>
    </w:p>
    <w:p w14:paraId="22E0B54A" w14:textId="2B6E443D" w:rsidR="00F8391A" w:rsidRDefault="008F3FC5" w:rsidP="00DC1CC6">
      <w:pPr>
        <w:pBdr>
          <w:top w:val="nil"/>
          <w:left w:val="nil"/>
          <w:bottom w:val="nil"/>
          <w:right w:val="nil"/>
          <w:between w:val="nil"/>
        </w:pBdr>
        <w:jc w:val="both"/>
        <w:rPr>
          <w:rFonts w:ascii="Arial" w:eastAsia="Arial" w:hAnsi="Arial" w:cs="Arial"/>
          <w:color w:val="000000"/>
          <w:sz w:val="22"/>
          <w:szCs w:val="22"/>
        </w:rPr>
      </w:pPr>
      <w:bookmarkStart w:id="0" w:name="_Hlk48819963"/>
      <w:r>
        <w:rPr>
          <w:rFonts w:ascii="Arial" w:eastAsia="Arial" w:hAnsi="Arial" w:cs="Arial"/>
          <w:color w:val="000000"/>
          <w:sz w:val="22"/>
          <w:szCs w:val="22"/>
        </w:rPr>
        <w:t>This call for proposals</w:t>
      </w:r>
      <w:r w:rsidR="00F8391A">
        <w:rPr>
          <w:rFonts w:ascii="Arial" w:eastAsia="Arial" w:hAnsi="Arial" w:cs="Arial"/>
          <w:color w:val="000000"/>
          <w:sz w:val="22"/>
          <w:szCs w:val="22"/>
        </w:rPr>
        <w:t xml:space="preserve"> invite</w:t>
      </w:r>
      <w:r>
        <w:rPr>
          <w:rFonts w:ascii="Arial" w:eastAsia="Arial" w:hAnsi="Arial" w:cs="Arial"/>
          <w:color w:val="000000"/>
          <w:sz w:val="22"/>
          <w:szCs w:val="22"/>
        </w:rPr>
        <w:t>s</w:t>
      </w:r>
      <w:r w:rsidR="00F8391A">
        <w:rPr>
          <w:rFonts w:ascii="Arial" w:eastAsia="Arial" w:hAnsi="Arial" w:cs="Arial"/>
          <w:color w:val="000000"/>
          <w:sz w:val="22"/>
          <w:szCs w:val="22"/>
        </w:rPr>
        <w:t xml:space="preserve"> full business case submissions from organisations that could </w:t>
      </w:r>
      <w:r w:rsidR="0087083B">
        <w:rPr>
          <w:rFonts w:ascii="Arial" w:eastAsia="Arial" w:hAnsi="Arial" w:cs="Arial"/>
          <w:color w:val="000000"/>
          <w:sz w:val="22"/>
          <w:szCs w:val="22"/>
        </w:rPr>
        <w:t>deliver a</w:t>
      </w:r>
      <w:r w:rsidR="00F8391A">
        <w:rPr>
          <w:rFonts w:ascii="Arial" w:eastAsia="Arial" w:hAnsi="Arial" w:cs="Arial"/>
          <w:color w:val="000000"/>
          <w:sz w:val="22"/>
          <w:szCs w:val="22"/>
        </w:rPr>
        <w:t xml:space="preserve"> Green New Deal Fund. Each full business case will be considered in line with the NTCA assurance framework.</w:t>
      </w:r>
    </w:p>
    <w:p w14:paraId="21979135" w14:textId="77777777" w:rsidR="00F8391A" w:rsidRDefault="00F8391A" w:rsidP="00DC1CC6">
      <w:pPr>
        <w:pBdr>
          <w:top w:val="nil"/>
          <w:left w:val="nil"/>
          <w:bottom w:val="nil"/>
          <w:right w:val="nil"/>
          <w:between w:val="nil"/>
        </w:pBdr>
        <w:jc w:val="both"/>
        <w:rPr>
          <w:rFonts w:ascii="Arial" w:eastAsia="Arial" w:hAnsi="Arial" w:cs="Arial"/>
          <w:color w:val="000000"/>
          <w:sz w:val="22"/>
          <w:szCs w:val="22"/>
        </w:rPr>
      </w:pPr>
    </w:p>
    <w:p w14:paraId="76CC2794" w14:textId="4A6EFCD3" w:rsidR="00F8391A" w:rsidRPr="00965FBA" w:rsidRDefault="00F8391A" w:rsidP="00DC1CC6">
      <w:pPr>
        <w:pBdr>
          <w:top w:val="nil"/>
          <w:left w:val="nil"/>
          <w:bottom w:val="nil"/>
          <w:right w:val="nil"/>
          <w:between w:val="nil"/>
        </w:pBdr>
        <w:jc w:val="both"/>
        <w:rPr>
          <w:rFonts w:ascii="Arial" w:eastAsia="Arial" w:hAnsi="Arial" w:cs="Arial"/>
          <w:color w:val="000000"/>
          <w:sz w:val="22"/>
          <w:szCs w:val="22"/>
        </w:rPr>
      </w:pPr>
      <w:r w:rsidRPr="00965FBA">
        <w:rPr>
          <w:rFonts w:ascii="Arial" w:eastAsia="Arial" w:hAnsi="Arial" w:cs="Arial"/>
          <w:color w:val="000000"/>
          <w:sz w:val="22"/>
          <w:szCs w:val="22"/>
        </w:rPr>
        <w:t>The fund once operationalised will support a range of interventions, with the following high</w:t>
      </w:r>
      <w:r>
        <w:rPr>
          <w:rFonts w:ascii="Arial" w:eastAsia="Arial" w:hAnsi="Arial" w:cs="Arial"/>
          <w:color w:val="000000"/>
          <w:sz w:val="22"/>
          <w:szCs w:val="22"/>
        </w:rPr>
        <w:t>-</w:t>
      </w:r>
      <w:r w:rsidRPr="00965FBA">
        <w:rPr>
          <w:rFonts w:ascii="Arial" w:eastAsia="Arial" w:hAnsi="Arial" w:cs="Arial"/>
          <w:color w:val="000000"/>
          <w:sz w:val="22"/>
          <w:szCs w:val="22"/>
        </w:rPr>
        <w:t>level structure and components</w:t>
      </w:r>
      <w:r>
        <w:rPr>
          <w:rFonts w:ascii="Arial" w:eastAsia="Arial" w:hAnsi="Arial" w:cs="Arial"/>
          <w:color w:val="000000"/>
          <w:sz w:val="22"/>
          <w:szCs w:val="22"/>
        </w:rPr>
        <w:t>.</w:t>
      </w:r>
      <w:r w:rsidRPr="00965FBA">
        <w:rPr>
          <w:rFonts w:ascii="Arial" w:eastAsia="Arial" w:hAnsi="Arial" w:cs="Arial"/>
          <w:color w:val="000000"/>
          <w:sz w:val="22"/>
          <w:szCs w:val="22"/>
        </w:rPr>
        <w:t xml:space="preserve"> The expected</w:t>
      </w:r>
      <w:r>
        <w:rPr>
          <w:rFonts w:ascii="Arial" w:eastAsia="Arial" w:hAnsi="Arial" w:cs="Arial"/>
          <w:color w:val="000000"/>
          <w:sz w:val="22"/>
          <w:szCs w:val="22"/>
        </w:rPr>
        <w:t xml:space="preserve"> </w:t>
      </w:r>
      <w:r w:rsidRPr="00965FBA">
        <w:rPr>
          <w:rFonts w:ascii="Arial" w:eastAsia="Arial" w:hAnsi="Arial" w:cs="Arial"/>
          <w:color w:val="000000"/>
          <w:sz w:val="22"/>
          <w:szCs w:val="22"/>
        </w:rPr>
        <w:t xml:space="preserve">total fund size will be £9m, to be managed and deployed achieving financial completion by </w:t>
      </w:r>
      <w:r w:rsidRPr="009B2DBE">
        <w:rPr>
          <w:rFonts w:ascii="Arial" w:eastAsia="Arial" w:hAnsi="Arial" w:cs="Arial"/>
          <w:b/>
          <w:bCs/>
          <w:color w:val="000000"/>
          <w:sz w:val="22"/>
          <w:szCs w:val="22"/>
        </w:rPr>
        <w:t xml:space="preserve">March </w:t>
      </w:r>
      <w:r w:rsidR="00BE734D" w:rsidRPr="009B2DBE">
        <w:rPr>
          <w:rFonts w:ascii="Arial" w:eastAsia="Arial" w:hAnsi="Arial" w:cs="Arial"/>
          <w:b/>
          <w:bCs/>
          <w:color w:val="000000"/>
          <w:sz w:val="22"/>
          <w:szCs w:val="22"/>
        </w:rPr>
        <w:t>2025</w:t>
      </w:r>
      <w:r w:rsidRPr="00965FBA">
        <w:rPr>
          <w:rFonts w:ascii="Arial" w:eastAsia="Arial" w:hAnsi="Arial" w:cs="Arial"/>
          <w:color w:val="000000"/>
          <w:sz w:val="22"/>
          <w:szCs w:val="22"/>
        </w:rPr>
        <w:t xml:space="preserve">.  The fund </w:t>
      </w:r>
      <w:r w:rsidR="00612053">
        <w:rPr>
          <w:rFonts w:ascii="Arial" w:eastAsia="Arial" w:hAnsi="Arial" w:cs="Arial"/>
          <w:color w:val="000000"/>
          <w:sz w:val="22"/>
          <w:szCs w:val="22"/>
        </w:rPr>
        <w:t xml:space="preserve">can </w:t>
      </w:r>
      <w:r w:rsidRPr="00965FBA">
        <w:rPr>
          <w:rFonts w:ascii="Arial" w:eastAsia="Arial" w:hAnsi="Arial" w:cs="Arial"/>
          <w:color w:val="000000"/>
          <w:sz w:val="22"/>
          <w:szCs w:val="22"/>
        </w:rPr>
        <w:t xml:space="preserve">include both revenue and capital components and utilise innovative and competitive bidding or call processes to </w:t>
      </w:r>
      <w:r w:rsidR="006D1249">
        <w:rPr>
          <w:rFonts w:ascii="Arial" w:eastAsia="Arial" w:hAnsi="Arial" w:cs="Arial"/>
          <w:color w:val="000000"/>
          <w:sz w:val="22"/>
          <w:szCs w:val="22"/>
        </w:rPr>
        <w:t>bring forward proposals</w:t>
      </w:r>
      <w:r w:rsidRPr="00965FBA">
        <w:rPr>
          <w:rFonts w:ascii="Arial" w:eastAsia="Arial" w:hAnsi="Arial" w:cs="Arial"/>
          <w:color w:val="000000"/>
          <w:sz w:val="22"/>
          <w:szCs w:val="22"/>
        </w:rPr>
        <w:t xml:space="preserve">.  Investment in innovative financial models will </w:t>
      </w:r>
      <w:r>
        <w:rPr>
          <w:rFonts w:ascii="Arial" w:eastAsia="Arial" w:hAnsi="Arial" w:cs="Arial"/>
          <w:color w:val="000000"/>
          <w:sz w:val="22"/>
          <w:szCs w:val="22"/>
        </w:rPr>
        <w:t xml:space="preserve">also </w:t>
      </w:r>
      <w:r w:rsidRPr="00965FBA">
        <w:rPr>
          <w:rFonts w:ascii="Arial" w:eastAsia="Arial" w:hAnsi="Arial" w:cs="Arial"/>
          <w:color w:val="000000"/>
          <w:sz w:val="22"/>
          <w:szCs w:val="22"/>
        </w:rPr>
        <w:t xml:space="preserve">be considered, to drive green growth in the North of Tyne region, ensuring the greatest possible value for money is achieved.   </w:t>
      </w:r>
    </w:p>
    <w:p w14:paraId="11174437" w14:textId="77777777" w:rsidR="00F8391A" w:rsidRDefault="00F8391A" w:rsidP="00DC1CC6">
      <w:pPr>
        <w:pBdr>
          <w:top w:val="nil"/>
          <w:left w:val="nil"/>
          <w:bottom w:val="nil"/>
          <w:right w:val="nil"/>
          <w:between w:val="nil"/>
        </w:pBdr>
        <w:jc w:val="both"/>
        <w:rPr>
          <w:rFonts w:ascii="Arial" w:eastAsia="Arial" w:hAnsi="Arial" w:cs="Arial"/>
          <w:color w:val="000000"/>
          <w:sz w:val="22"/>
          <w:szCs w:val="22"/>
        </w:rPr>
      </w:pPr>
    </w:p>
    <w:p w14:paraId="44A0B7BD" w14:textId="77777777" w:rsidR="00F8391A" w:rsidRDefault="00F8391A" w:rsidP="00DC1CC6">
      <w:pPr>
        <w:pBdr>
          <w:top w:val="nil"/>
          <w:left w:val="nil"/>
          <w:bottom w:val="nil"/>
          <w:right w:val="nil"/>
          <w:between w:val="nil"/>
        </w:pBdr>
        <w:jc w:val="both"/>
        <w:rPr>
          <w:rFonts w:ascii="Arial" w:eastAsia="Arial" w:hAnsi="Arial" w:cs="Arial"/>
          <w:color w:val="000000"/>
          <w:sz w:val="22"/>
          <w:szCs w:val="22"/>
        </w:rPr>
      </w:pPr>
      <w:bookmarkStart w:id="1" w:name="_Hlk49325192"/>
      <w:r w:rsidRPr="00965FBA">
        <w:rPr>
          <w:rFonts w:ascii="Arial" w:eastAsia="Arial" w:hAnsi="Arial" w:cs="Arial"/>
          <w:color w:val="000000"/>
          <w:sz w:val="22"/>
          <w:szCs w:val="22"/>
        </w:rPr>
        <w:t>The focus of the Green New Deal fund is to support the ‘green growth economy’ by, prioritising projects which ca</w:t>
      </w:r>
      <w:r>
        <w:rPr>
          <w:rFonts w:ascii="Arial" w:eastAsia="Arial" w:hAnsi="Arial" w:cs="Arial"/>
          <w:color w:val="000000"/>
          <w:sz w:val="22"/>
          <w:szCs w:val="22"/>
        </w:rPr>
        <w:t xml:space="preserve">n </w:t>
      </w:r>
      <w:r w:rsidRPr="00965FBA">
        <w:rPr>
          <w:rFonts w:ascii="Arial" w:eastAsia="Arial" w:hAnsi="Arial" w:cs="Arial"/>
          <w:color w:val="000000"/>
          <w:sz w:val="22"/>
          <w:szCs w:val="22"/>
        </w:rPr>
        <w:t>deliver significant carbon reductions as well as supporting new industry and jobs in areas where emissions reductions are most needed.  The fund should</w:t>
      </w:r>
      <w:r>
        <w:rPr>
          <w:rFonts w:ascii="Arial" w:eastAsia="Arial" w:hAnsi="Arial" w:cs="Arial"/>
          <w:color w:val="000000"/>
          <w:sz w:val="22"/>
          <w:szCs w:val="22"/>
        </w:rPr>
        <w:t xml:space="preserve">: </w:t>
      </w:r>
    </w:p>
    <w:p w14:paraId="64B5AB9E" w14:textId="77777777" w:rsidR="00F8391A" w:rsidRDefault="00F8391A" w:rsidP="00DC1CC6">
      <w:pPr>
        <w:pBdr>
          <w:top w:val="nil"/>
          <w:left w:val="nil"/>
          <w:bottom w:val="nil"/>
          <w:right w:val="nil"/>
          <w:between w:val="nil"/>
        </w:pBdr>
        <w:jc w:val="both"/>
        <w:rPr>
          <w:rFonts w:ascii="Arial" w:eastAsia="Arial" w:hAnsi="Arial" w:cs="Arial"/>
          <w:color w:val="000000"/>
          <w:sz w:val="22"/>
          <w:szCs w:val="22"/>
        </w:rPr>
      </w:pPr>
    </w:p>
    <w:p w14:paraId="2885C410" w14:textId="77777777" w:rsidR="00F8391A" w:rsidRPr="00965FBA" w:rsidRDefault="00F8391A" w:rsidP="00DC1CC6">
      <w:pPr>
        <w:pStyle w:val="ListParagraph"/>
        <w:numPr>
          <w:ilvl w:val="0"/>
          <w:numId w:val="18"/>
        </w:numPr>
        <w:pBdr>
          <w:top w:val="nil"/>
          <w:left w:val="nil"/>
          <w:bottom w:val="nil"/>
          <w:right w:val="nil"/>
          <w:between w:val="nil"/>
        </w:pBdr>
        <w:contextualSpacing/>
        <w:jc w:val="both"/>
        <w:rPr>
          <w:rFonts w:ascii="Batang" w:eastAsia="Batang" w:hAnsi="Batang" w:cs="Batang"/>
          <w:color w:val="000000"/>
          <w:szCs w:val="22"/>
        </w:rPr>
      </w:pPr>
      <w:r>
        <w:rPr>
          <w:rFonts w:eastAsia="Arial"/>
          <w:color w:val="000000"/>
          <w:szCs w:val="22"/>
        </w:rPr>
        <w:t>M</w:t>
      </w:r>
      <w:r w:rsidRPr="00965FBA">
        <w:rPr>
          <w:rFonts w:eastAsia="Arial"/>
          <w:color w:val="000000"/>
          <w:szCs w:val="22"/>
        </w:rPr>
        <w:t xml:space="preserve">aintain and enable positive environmental benefits in the recovery </w:t>
      </w:r>
    </w:p>
    <w:p w14:paraId="2EBF505D" w14:textId="77777777" w:rsidR="00F8391A" w:rsidRPr="00965FBA" w:rsidRDefault="00F8391A" w:rsidP="00DC1CC6">
      <w:pPr>
        <w:pStyle w:val="ListParagraph"/>
        <w:numPr>
          <w:ilvl w:val="0"/>
          <w:numId w:val="18"/>
        </w:numPr>
        <w:pBdr>
          <w:top w:val="nil"/>
          <w:left w:val="nil"/>
          <w:bottom w:val="nil"/>
          <w:right w:val="nil"/>
          <w:between w:val="nil"/>
        </w:pBdr>
        <w:contextualSpacing/>
        <w:jc w:val="both"/>
        <w:rPr>
          <w:rFonts w:ascii="Batang" w:eastAsia="Batang" w:hAnsi="Batang" w:cs="Batang"/>
          <w:color w:val="000000"/>
          <w:szCs w:val="22"/>
        </w:rPr>
      </w:pPr>
      <w:r w:rsidRPr="00965FBA">
        <w:rPr>
          <w:rFonts w:eastAsia="Arial"/>
          <w:color w:val="000000"/>
          <w:szCs w:val="22"/>
        </w:rPr>
        <w:t>Catalyse investment in green growth which complements and aligns with other regional and national funding and leverages private sector investment</w:t>
      </w:r>
      <w:r>
        <w:rPr>
          <w:rFonts w:eastAsia="Arial"/>
          <w:color w:val="000000"/>
          <w:szCs w:val="22"/>
        </w:rPr>
        <w:t xml:space="preserve">, including new financial models.  </w:t>
      </w:r>
    </w:p>
    <w:p w14:paraId="7C7ABC40" w14:textId="77777777" w:rsidR="00F8391A" w:rsidRPr="00965FBA" w:rsidRDefault="00F8391A" w:rsidP="00DC1CC6">
      <w:pPr>
        <w:pStyle w:val="ListParagraph"/>
        <w:numPr>
          <w:ilvl w:val="0"/>
          <w:numId w:val="18"/>
        </w:numPr>
        <w:pBdr>
          <w:top w:val="nil"/>
          <w:left w:val="nil"/>
          <w:bottom w:val="nil"/>
          <w:right w:val="nil"/>
          <w:between w:val="nil"/>
        </w:pBdr>
        <w:contextualSpacing/>
        <w:jc w:val="both"/>
        <w:rPr>
          <w:rFonts w:ascii="Batang" w:eastAsia="Batang" w:hAnsi="Batang" w:cs="Batang"/>
          <w:color w:val="000000"/>
          <w:szCs w:val="22"/>
        </w:rPr>
      </w:pPr>
      <w:r w:rsidRPr="00965FBA">
        <w:rPr>
          <w:rFonts w:eastAsia="Arial"/>
          <w:color w:val="000000"/>
          <w:szCs w:val="22"/>
        </w:rPr>
        <w:t xml:space="preserve">Stimulate innovation (including new to market solutions) and business growth in the areas of heat decarbonisation, energy efficiency, renewables, energy systems, low carbon transport and natural capital. </w:t>
      </w:r>
    </w:p>
    <w:p w14:paraId="67826682" w14:textId="79B94108" w:rsidR="00F8391A" w:rsidRPr="00B125A7" w:rsidRDefault="00F8391A" w:rsidP="00DC1CC6">
      <w:pPr>
        <w:pStyle w:val="ListParagraph"/>
        <w:numPr>
          <w:ilvl w:val="0"/>
          <w:numId w:val="18"/>
        </w:numPr>
        <w:pBdr>
          <w:top w:val="nil"/>
          <w:left w:val="nil"/>
          <w:bottom w:val="nil"/>
          <w:right w:val="nil"/>
          <w:between w:val="nil"/>
        </w:pBdr>
        <w:contextualSpacing/>
        <w:jc w:val="both"/>
        <w:rPr>
          <w:rFonts w:eastAsia="Arial"/>
          <w:color w:val="000000"/>
          <w:szCs w:val="22"/>
        </w:rPr>
      </w:pPr>
      <w:r w:rsidRPr="00965FBA">
        <w:rPr>
          <w:rFonts w:eastAsia="Arial"/>
          <w:color w:val="000000"/>
          <w:szCs w:val="22"/>
        </w:rPr>
        <w:t>Address common market failures for example where investment would unlock low carbon economic development opportunities</w:t>
      </w:r>
      <w:r>
        <w:rPr>
          <w:rFonts w:eastAsia="Arial"/>
          <w:color w:val="000000"/>
          <w:szCs w:val="22"/>
        </w:rPr>
        <w:t>, including where enabling works may be required to bring projects forward</w:t>
      </w:r>
      <w:r w:rsidR="00A86186">
        <w:rPr>
          <w:rFonts w:eastAsia="Arial"/>
          <w:color w:val="000000"/>
          <w:szCs w:val="22"/>
        </w:rPr>
        <w:t>.</w:t>
      </w:r>
    </w:p>
    <w:p w14:paraId="07AB1B37" w14:textId="53AE51D6" w:rsidR="00F8391A" w:rsidRDefault="00F8391A" w:rsidP="00DC1CC6">
      <w:pPr>
        <w:pStyle w:val="ListParagraph"/>
        <w:numPr>
          <w:ilvl w:val="0"/>
          <w:numId w:val="18"/>
        </w:numPr>
        <w:pBdr>
          <w:top w:val="nil"/>
          <w:left w:val="nil"/>
          <w:bottom w:val="nil"/>
          <w:right w:val="nil"/>
          <w:between w:val="nil"/>
        </w:pBdr>
        <w:contextualSpacing/>
        <w:jc w:val="both"/>
        <w:rPr>
          <w:rFonts w:eastAsia="Arial"/>
          <w:color w:val="000000"/>
          <w:szCs w:val="22"/>
        </w:rPr>
      </w:pPr>
      <w:r w:rsidRPr="00965FBA">
        <w:rPr>
          <w:rFonts w:eastAsia="Arial"/>
          <w:color w:val="000000"/>
          <w:szCs w:val="22"/>
        </w:rPr>
        <w:t xml:space="preserve">Align with £2M green skills allocation as part of </w:t>
      </w:r>
      <w:r>
        <w:rPr>
          <w:rFonts w:eastAsia="Arial"/>
          <w:color w:val="000000"/>
          <w:szCs w:val="22"/>
        </w:rPr>
        <w:t xml:space="preserve">NTCA’s </w:t>
      </w:r>
      <w:r w:rsidRPr="00965FBA">
        <w:rPr>
          <w:rFonts w:eastAsia="Arial"/>
          <w:color w:val="000000"/>
          <w:szCs w:val="22"/>
        </w:rPr>
        <w:t>wider skills programme</w:t>
      </w:r>
      <w:r>
        <w:rPr>
          <w:rFonts w:eastAsia="Arial"/>
          <w:color w:val="000000"/>
          <w:szCs w:val="22"/>
        </w:rPr>
        <w:t>, contributing to a just low carbon transition</w:t>
      </w:r>
      <w:r w:rsidR="00A86186">
        <w:rPr>
          <w:rFonts w:eastAsia="Arial"/>
          <w:color w:val="000000"/>
          <w:szCs w:val="22"/>
        </w:rPr>
        <w:t>.</w:t>
      </w:r>
      <w:r w:rsidRPr="00965FBA">
        <w:rPr>
          <w:rFonts w:eastAsia="Arial"/>
          <w:color w:val="000000"/>
          <w:szCs w:val="22"/>
        </w:rPr>
        <w:t xml:space="preserve"> </w:t>
      </w:r>
    </w:p>
    <w:p w14:paraId="45010875" w14:textId="618656B5" w:rsidR="00A86186" w:rsidRPr="0080066A" w:rsidRDefault="00A86186" w:rsidP="00DC1CC6">
      <w:pPr>
        <w:numPr>
          <w:ilvl w:val="0"/>
          <w:numId w:val="18"/>
        </w:numPr>
        <w:jc w:val="both"/>
        <w:rPr>
          <w:rFonts w:ascii="Arial" w:eastAsia="Arial" w:hAnsi="Arial" w:cs="Arial"/>
          <w:sz w:val="22"/>
          <w:szCs w:val="22"/>
        </w:rPr>
      </w:pPr>
      <w:r>
        <w:rPr>
          <w:rFonts w:ascii="Arial" w:eastAsia="Arial" w:hAnsi="Arial" w:cs="Arial"/>
          <w:sz w:val="22"/>
          <w:szCs w:val="22"/>
        </w:rPr>
        <w:t>Align with NTCA’s inclusive economy focus and approach.</w:t>
      </w:r>
    </w:p>
    <w:p w14:paraId="752E6823" w14:textId="7DB18E04" w:rsidR="4BE04DEC" w:rsidRDefault="4BE04DEC" w:rsidP="4BE04DEC">
      <w:pPr>
        <w:jc w:val="both"/>
        <w:rPr>
          <w:rFonts w:ascii="Arial" w:eastAsia="Arial" w:hAnsi="Arial" w:cs="Arial"/>
          <w:sz w:val="22"/>
          <w:szCs w:val="22"/>
        </w:rPr>
      </w:pPr>
    </w:p>
    <w:p w14:paraId="4A3FBB10" w14:textId="0C9308E4" w:rsidR="00F8391A" w:rsidRDefault="00F8391A" w:rsidP="00495816">
      <w:pPr>
        <w:spacing w:line="259" w:lineRule="auto"/>
        <w:jc w:val="both"/>
        <w:rPr>
          <w:rFonts w:ascii="Arial" w:eastAsia="Arial" w:hAnsi="Arial" w:cs="Arial"/>
          <w:color w:val="000000" w:themeColor="text1"/>
          <w:sz w:val="22"/>
          <w:szCs w:val="22"/>
        </w:rPr>
      </w:pPr>
      <w:r w:rsidRPr="4BE04DEC">
        <w:rPr>
          <w:rFonts w:ascii="Arial" w:eastAsia="Arial" w:hAnsi="Arial" w:cs="Arial"/>
          <w:color w:val="000000" w:themeColor="text1"/>
          <w:sz w:val="22"/>
          <w:szCs w:val="22"/>
        </w:rPr>
        <w:t xml:space="preserve">Proposals for operationalising the fund should </w:t>
      </w:r>
      <w:r w:rsidR="2D4ADDC9" w:rsidRPr="4BE04DEC">
        <w:rPr>
          <w:rFonts w:ascii="Arial" w:eastAsia="Arial" w:hAnsi="Arial" w:cs="Arial"/>
          <w:color w:val="000000" w:themeColor="text1"/>
          <w:sz w:val="22"/>
          <w:szCs w:val="22"/>
        </w:rPr>
        <w:t xml:space="preserve">as a </w:t>
      </w:r>
      <w:r w:rsidRPr="4BE04DEC">
        <w:rPr>
          <w:rFonts w:ascii="Arial" w:eastAsia="Arial" w:hAnsi="Arial" w:cs="Arial"/>
          <w:color w:val="000000" w:themeColor="text1"/>
          <w:sz w:val="22"/>
          <w:szCs w:val="22"/>
        </w:rPr>
        <w:t>minimum reflect the following</w:t>
      </w:r>
      <w:r w:rsidRPr="4BE04DEC">
        <w:rPr>
          <w:rFonts w:ascii="Arial" w:eastAsia="Arial" w:hAnsi="Arial" w:cs="Arial"/>
          <w:b/>
          <w:color w:val="000000" w:themeColor="text1"/>
          <w:sz w:val="22"/>
          <w:szCs w:val="22"/>
        </w:rPr>
        <w:t xml:space="preserve"> key delivery principles</w:t>
      </w:r>
      <w:r w:rsidR="004237F3">
        <w:rPr>
          <w:rFonts w:ascii="Arial" w:eastAsia="Arial" w:hAnsi="Arial" w:cs="Arial"/>
          <w:b/>
          <w:color w:val="000000" w:themeColor="text1"/>
          <w:sz w:val="22"/>
          <w:szCs w:val="22"/>
        </w:rPr>
        <w:t>:</w:t>
      </w:r>
      <w:r w:rsidRPr="4BE04DEC">
        <w:rPr>
          <w:rFonts w:ascii="Arial" w:eastAsia="Arial" w:hAnsi="Arial" w:cs="Arial"/>
          <w:b/>
          <w:color w:val="000000" w:themeColor="text1"/>
          <w:sz w:val="22"/>
          <w:szCs w:val="22"/>
        </w:rPr>
        <w:t xml:space="preserve"> </w:t>
      </w:r>
    </w:p>
    <w:p w14:paraId="0F76419D" w14:textId="6B5957B5" w:rsidR="00F8391A" w:rsidRDefault="000E021A" w:rsidP="00DC1CC6">
      <w:pPr>
        <w:pStyle w:val="ListParagraph"/>
        <w:numPr>
          <w:ilvl w:val="0"/>
          <w:numId w:val="19"/>
        </w:numPr>
        <w:pBdr>
          <w:top w:val="nil"/>
          <w:left w:val="nil"/>
          <w:bottom w:val="nil"/>
          <w:right w:val="nil"/>
          <w:between w:val="nil"/>
        </w:pBdr>
        <w:contextualSpacing/>
        <w:jc w:val="both"/>
        <w:rPr>
          <w:rFonts w:eastAsia="Arial"/>
          <w:color w:val="000000"/>
        </w:rPr>
      </w:pPr>
      <w:r w:rsidRPr="4BE04DEC">
        <w:rPr>
          <w:rFonts w:eastAsia="Arial"/>
          <w:color w:val="000000" w:themeColor="text1"/>
        </w:rPr>
        <w:t>Targeting investment</w:t>
      </w:r>
      <w:r w:rsidR="00F8391A" w:rsidRPr="4BE04DEC">
        <w:rPr>
          <w:rFonts w:eastAsia="Arial"/>
          <w:color w:val="000000" w:themeColor="text1"/>
        </w:rPr>
        <w:t xml:space="preserve"> </w:t>
      </w:r>
      <w:r w:rsidR="1B5FF5A7" w:rsidRPr="4BE04DEC">
        <w:rPr>
          <w:rFonts w:eastAsia="Arial"/>
          <w:color w:val="000000" w:themeColor="text1"/>
        </w:rPr>
        <w:t>i</w:t>
      </w:r>
      <w:r w:rsidR="00F8391A" w:rsidRPr="4BE04DEC">
        <w:rPr>
          <w:rFonts w:eastAsia="Arial"/>
          <w:color w:val="000000" w:themeColor="text1"/>
        </w:rPr>
        <w:t>n areas of genuine opportunity for the area, and which are also scalable market opportunities aligned to national policy</w:t>
      </w:r>
    </w:p>
    <w:p w14:paraId="46BFD749" w14:textId="77777777" w:rsidR="00F8391A" w:rsidRDefault="00F8391A" w:rsidP="00DC1CC6">
      <w:pPr>
        <w:pStyle w:val="ListParagraph"/>
        <w:numPr>
          <w:ilvl w:val="0"/>
          <w:numId w:val="19"/>
        </w:numPr>
        <w:pBdr>
          <w:top w:val="nil"/>
          <w:left w:val="nil"/>
          <w:bottom w:val="nil"/>
          <w:right w:val="nil"/>
          <w:between w:val="nil"/>
        </w:pBdr>
        <w:contextualSpacing/>
        <w:jc w:val="both"/>
        <w:rPr>
          <w:rFonts w:eastAsia="Arial"/>
          <w:color w:val="000000"/>
          <w:szCs w:val="22"/>
        </w:rPr>
      </w:pPr>
      <w:r w:rsidRPr="004F68BC">
        <w:rPr>
          <w:rFonts w:eastAsia="Arial"/>
          <w:color w:val="000000"/>
          <w:szCs w:val="22"/>
        </w:rPr>
        <w:t xml:space="preserve">Flexibility – maintain flexibility so the fund can respond to the uncertain climate in which it will operate </w:t>
      </w:r>
    </w:p>
    <w:p w14:paraId="48B2EEA6" w14:textId="77777777" w:rsidR="00F8391A" w:rsidRDefault="00F8391A" w:rsidP="00DC1CC6">
      <w:pPr>
        <w:pStyle w:val="ListParagraph"/>
        <w:numPr>
          <w:ilvl w:val="0"/>
          <w:numId w:val="19"/>
        </w:numPr>
        <w:pBdr>
          <w:top w:val="nil"/>
          <w:left w:val="nil"/>
          <w:bottom w:val="nil"/>
          <w:right w:val="nil"/>
          <w:between w:val="nil"/>
        </w:pBdr>
        <w:contextualSpacing/>
        <w:jc w:val="both"/>
        <w:rPr>
          <w:rFonts w:eastAsia="Arial"/>
          <w:color w:val="000000"/>
          <w:szCs w:val="22"/>
        </w:rPr>
      </w:pPr>
      <w:r w:rsidRPr="004F68BC">
        <w:rPr>
          <w:rFonts w:eastAsia="Arial"/>
          <w:color w:val="000000"/>
          <w:szCs w:val="22"/>
        </w:rPr>
        <w:t xml:space="preserve">Additionality – support contingent on proposals demonstrating match funding is essential  </w:t>
      </w:r>
    </w:p>
    <w:p w14:paraId="6E0D4956" w14:textId="74334D09" w:rsidR="000E021A" w:rsidRDefault="00F8391A" w:rsidP="00DC1CC6">
      <w:pPr>
        <w:pStyle w:val="ListParagraph"/>
        <w:numPr>
          <w:ilvl w:val="0"/>
          <w:numId w:val="19"/>
        </w:numPr>
        <w:pBdr>
          <w:top w:val="nil"/>
          <w:left w:val="nil"/>
          <w:bottom w:val="nil"/>
          <w:right w:val="nil"/>
          <w:between w:val="nil"/>
        </w:pBdr>
        <w:contextualSpacing/>
        <w:jc w:val="both"/>
        <w:rPr>
          <w:rFonts w:eastAsia="Arial"/>
          <w:color w:val="000000"/>
          <w:szCs w:val="22"/>
        </w:rPr>
      </w:pPr>
      <w:r w:rsidRPr="004F68BC">
        <w:rPr>
          <w:rFonts w:eastAsia="Arial"/>
          <w:color w:val="000000"/>
          <w:szCs w:val="22"/>
        </w:rPr>
        <w:t xml:space="preserve">Strategic alignment - proposals must be strategically aligned with NTCA plans; Climate Emergency plans of Local Authorities; Energy for Growth Strategy  </w:t>
      </w:r>
      <w:bookmarkEnd w:id="1"/>
    </w:p>
    <w:p w14:paraId="6F1F3DCA" w14:textId="46EA004F" w:rsidR="002937CA" w:rsidRPr="00495816" w:rsidRDefault="002937CA" w:rsidP="002937CA">
      <w:pPr>
        <w:pStyle w:val="ListParagraph"/>
        <w:numPr>
          <w:ilvl w:val="0"/>
          <w:numId w:val="19"/>
        </w:numPr>
        <w:pBdr>
          <w:top w:val="nil"/>
          <w:left w:val="nil"/>
          <w:bottom w:val="nil"/>
          <w:right w:val="nil"/>
          <w:between w:val="nil"/>
        </w:pBdr>
        <w:contextualSpacing/>
        <w:jc w:val="both"/>
        <w:rPr>
          <w:rFonts w:eastAsia="Arial"/>
          <w:color w:val="000000"/>
          <w:szCs w:val="22"/>
        </w:rPr>
      </w:pPr>
      <w:r w:rsidRPr="002937CA">
        <w:rPr>
          <w:rFonts w:eastAsia="Arial"/>
          <w:color w:val="000000" w:themeColor="text1"/>
        </w:rPr>
        <w:t xml:space="preserve">Take a programme view of </w:t>
      </w:r>
      <w:r w:rsidRPr="00500BA0">
        <w:rPr>
          <w:rFonts w:eastAsia="Arial"/>
          <w:color w:val="000000" w:themeColor="text1"/>
        </w:rPr>
        <w:t>applications</w:t>
      </w:r>
      <w:r w:rsidR="00084864">
        <w:rPr>
          <w:rFonts w:eastAsia="Arial"/>
          <w:color w:val="000000" w:themeColor="text1"/>
        </w:rPr>
        <w:t xml:space="preserve"> and established projects</w:t>
      </w:r>
      <w:r w:rsidRPr="00E60F2B">
        <w:rPr>
          <w:rFonts w:eastAsia="Arial"/>
          <w:color w:val="000000" w:themeColor="text1"/>
        </w:rPr>
        <w:t>, identifying r</w:t>
      </w:r>
      <w:r w:rsidRPr="00495816">
        <w:rPr>
          <w:rFonts w:eastAsia="Arial"/>
          <w:color w:val="000000" w:themeColor="text1"/>
        </w:rPr>
        <w:t>elevant gaps and opportunities in the pipeline.</w:t>
      </w:r>
    </w:p>
    <w:p w14:paraId="2AE22871" w14:textId="77777777" w:rsidR="00B125A7" w:rsidRDefault="00B125A7" w:rsidP="00DC1CC6">
      <w:pPr>
        <w:pStyle w:val="ListParagraph"/>
        <w:pBdr>
          <w:top w:val="nil"/>
          <w:left w:val="nil"/>
          <w:bottom w:val="nil"/>
          <w:right w:val="nil"/>
          <w:between w:val="nil"/>
        </w:pBdr>
        <w:contextualSpacing/>
        <w:jc w:val="both"/>
        <w:rPr>
          <w:rFonts w:eastAsia="Arial"/>
          <w:color w:val="000000"/>
          <w:szCs w:val="22"/>
        </w:rPr>
      </w:pPr>
    </w:p>
    <w:p w14:paraId="0E390353" w14:textId="47B702EB" w:rsidR="00CD00A4" w:rsidRDefault="00F8391A" w:rsidP="00DC1CC6">
      <w:pPr>
        <w:pStyle w:val="ListParagraph"/>
        <w:pBdr>
          <w:top w:val="nil"/>
          <w:left w:val="nil"/>
          <w:bottom w:val="nil"/>
          <w:right w:val="nil"/>
          <w:between w:val="nil"/>
        </w:pBdr>
        <w:ind w:left="0"/>
        <w:contextualSpacing/>
        <w:jc w:val="both"/>
        <w:rPr>
          <w:rFonts w:eastAsia="Arial"/>
          <w:color w:val="000000"/>
          <w:szCs w:val="22"/>
        </w:rPr>
      </w:pPr>
      <w:r w:rsidRPr="000E021A">
        <w:rPr>
          <w:rFonts w:eastAsia="Arial"/>
          <w:color w:val="000000"/>
          <w:szCs w:val="22"/>
        </w:rPr>
        <w:t xml:space="preserve">Proposals should outline opportunities to encourage economies of scale and increase value for money/deliver additional benefits.  Proposals should additionally consider how they will encourage innovation to deliver projects that are not currently commercially viable for example due to technologies or business practises, including </w:t>
      </w:r>
      <w:r w:rsidRPr="000E021A">
        <w:rPr>
          <w:color w:val="000000"/>
          <w:szCs w:val="22"/>
        </w:rPr>
        <w:t>i</w:t>
      </w:r>
      <w:r w:rsidRPr="000E021A">
        <w:rPr>
          <w:rFonts w:eastAsia="Arial"/>
          <w:color w:val="000000"/>
          <w:szCs w:val="22"/>
        </w:rPr>
        <w:t xml:space="preserve">ncentives to reduce emissions when considering tax changes. </w:t>
      </w:r>
    </w:p>
    <w:bookmarkEnd w:id="0"/>
    <w:p w14:paraId="5C10C7B7" w14:textId="4D4E42E9" w:rsidR="00C131EA" w:rsidRDefault="00C131EA" w:rsidP="00DC1CC6">
      <w:pPr>
        <w:pBdr>
          <w:top w:val="nil"/>
          <w:left w:val="nil"/>
          <w:bottom w:val="nil"/>
          <w:right w:val="nil"/>
          <w:between w:val="nil"/>
        </w:pBdr>
        <w:jc w:val="both"/>
        <w:rPr>
          <w:rFonts w:ascii="Arial" w:eastAsia="Arial" w:hAnsi="Arial" w:cs="Arial"/>
          <w:color w:val="000000"/>
          <w:sz w:val="22"/>
          <w:szCs w:val="22"/>
        </w:rPr>
      </w:pPr>
    </w:p>
    <w:p w14:paraId="0ACA9572" w14:textId="77777777" w:rsidR="00C131EA" w:rsidRDefault="00331F3F" w:rsidP="00DC1CC6">
      <w:pPr>
        <w:numPr>
          <w:ilvl w:val="0"/>
          <w:numId w:val="15"/>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Green New Deal Fund - Funding Priorities &amp; Call Focus</w:t>
      </w:r>
    </w:p>
    <w:p w14:paraId="1378F03F" w14:textId="2B961A0B" w:rsidR="00C131EA" w:rsidRDefault="00331F3F" w:rsidP="00DC1CC6">
      <w:pPr>
        <w:jc w:val="both"/>
        <w:rPr>
          <w:rFonts w:ascii="Arial" w:eastAsia="Arial" w:hAnsi="Arial" w:cs="Arial"/>
          <w:sz w:val="22"/>
          <w:szCs w:val="22"/>
        </w:rPr>
      </w:pPr>
      <w:r>
        <w:rPr>
          <w:rFonts w:ascii="Arial" w:eastAsia="Arial" w:hAnsi="Arial" w:cs="Arial"/>
          <w:sz w:val="22"/>
          <w:szCs w:val="22"/>
        </w:rPr>
        <w:t xml:space="preserve">The call for proposals is open to all organisations (or a consortium or partnership of organisations) that are able to demonstrate the ability to deliver the full scope of the Green New Deal Fund within the guidelines set out in this document. </w:t>
      </w:r>
    </w:p>
    <w:p w14:paraId="21A55D5B" w14:textId="77777777" w:rsidR="00C131EA" w:rsidRDefault="00C131EA" w:rsidP="00DC1CC6">
      <w:pPr>
        <w:jc w:val="both"/>
        <w:rPr>
          <w:rFonts w:ascii="Arial" w:eastAsia="Arial" w:hAnsi="Arial" w:cs="Arial"/>
          <w:sz w:val="22"/>
          <w:szCs w:val="22"/>
        </w:rPr>
      </w:pPr>
    </w:p>
    <w:p w14:paraId="5FFB35F0" w14:textId="56002DBF" w:rsidR="00C131EA" w:rsidRDefault="003243CB" w:rsidP="00DC1CC6">
      <w:pPr>
        <w:jc w:val="both"/>
        <w:rPr>
          <w:rFonts w:ascii="Arial" w:eastAsia="Arial" w:hAnsi="Arial" w:cs="Arial"/>
          <w:sz w:val="22"/>
          <w:szCs w:val="22"/>
        </w:rPr>
      </w:pPr>
      <w:r>
        <w:rPr>
          <w:rFonts w:ascii="Arial" w:eastAsia="Arial" w:hAnsi="Arial" w:cs="Arial"/>
          <w:sz w:val="22"/>
          <w:szCs w:val="22"/>
        </w:rPr>
        <w:t>We will select one</w:t>
      </w:r>
      <w:r w:rsidR="00331F3F">
        <w:rPr>
          <w:rFonts w:ascii="Arial" w:eastAsia="Arial" w:hAnsi="Arial" w:cs="Arial"/>
          <w:sz w:val="22"/>
          <w:szCs w:val="22"/>
        </w:rPr>
        <w:t xml:space="preserve"> intermediar</w:t>
      </w:r>
      <w:r>
        <w:rPr>
          <w:rFonts w:ascii="Arial" w:eastAsia="Arial" w:hAnsi="Arial" w:cs="Arial"/>
          <w:sz w:val="22"/>
          <w:szCs w:val="22"/>
        </w:rPr>
        <w:t>y (</w:t>
      </w:r>
      <w:r w:rsidR="00AB362F">
        <w:rPr>
          <w:rFonts w:ascii="Arial" w:eastAsia="Arial" w:hAnsi="Arial" w:cs="Arial"/>
          <w:sz w:val="22"/>
          <w:szCs w:val="22"/>
        </w:rPr>
        <w:t>which may represent</w:t>
      </w:r>
      <w:r w:rsidR="00331F3F">
        <w:rPr>
          <w:rFonts w:ascii="Arial" w:eastAsia="Arial" w:hAnsi="Arial" w:cs="Arial"/>
          <w:sz w:val="22"/>
          <w:szCs w:val="22"/>
        </w:rPr>
        <w:t xml:space="preserve"> a partnership </w:t>
      </w:r>
      <w:r w:rsidR="00801CA7">
        <w:rPr>
          <w:rFonts w:ascii="Arial" w:eastAsia="Arial" w:hAnsi="Arial" w:cs="Arial"/>
          <w:sz w:val="22"/>
          <w:szCs w:val="22"/>
        </w:rPr>
        <w:t>or consortium</w:t>
      </w:r>
      <w:r w:rsidR="00331F3F">
        <w:rPr>
          <w:rFonts w:ascii="Arial" w:eastAsia="Arial" w:hAnsi="Arial" w:cs="Arial"/>
          <w:sz w:val="22"/>
          <w:szCs w:val="22"/>
        </w:rPr>
        <w:t xml:space="preserve"> of intermediaries</w:t>
      </w:r>
      <w:r>
        <w:rPr>
          <w:rFonts w:ascii="Arial" w:eastAsia="Arial" w:hAnsi="Arial" w:cs="Arial"/>
          <w:sz w:val="22"/>
          <w:szCs w:val="22"/>
        </w:rPr>
        <w:t xml:space="preserve">) to </w:t>
      </w:r>
      <w:r w:rsidR="00331F3F">
        <w:rPr>
          <w:rFonts w:ascii="Arial" w:eastAsia="Arial" w:hAnsi="Arial" w:cs="Arial"/>
          <w:sz w:val="22"/>
          <w:szCs w:val="22"/>
        </w:rPr>
        <w:t>manag</w:t>
      </w:r>
      <w:r>
        <w:rPr>
          <w:rFonts w:ascii="Arial" w:eastAsia="Arial" w:hAnsi="Arial" w:cs="Arial"/>
          <w:sz w:val="22"/>
          <w:szCs w:val="22"/>
        </w:rPr>
        <w:t>e</w:t>
      </w:r>
      <w:r w:rsidR="00331F3F">
        <w:rPr>
          <w:rFonts w:ascii="Arial" w:eastAsia="Arial" w:hAnsi="Arial" w:cs="Arial"/>
          <w:sz w:val="22"/>
          <w:szCs w:val="22"/>
        </w:rPr>
        <w:t xml:space="preserve"> the Green New Deal Fund.  The selected intermediary is to design, </w:t>
      </w:r>
      <w:r w:rsidR="00331F3F">
        <w:rPr>
          <w:rFonts w:ascii="Arial" w:eastAsia="Arial" w:hAnsi="Arial" w:cs="Arial"/>
          <w:sz w:val="22"/>
          <w:szCs w:val="22"/>
        </w:rPr>
        <w:lastRenderedPageBreak/>
        <w:t xml:space="preserve">manage and administer the Green New Deal Fund, using their own expertise and with appropriate input from regional partners. The intermediary will be required to manage and assure applications from eligible </w:t>
      </w:r>
      <w:r w:rsidR="00AB362F">
        <w:rPr>
          <w:rFonts w:ascii="Arial" w:eastAsia="Arial" w:hAnsi="Arial" w:cs="Arial"/>
          <w:sz w:val="22"/>
          <w:szCs w:val="22"/>
        </w:rPr>
        <w:t xml:space="preserve">organisations </w:t>
      </w:r>
      <w:r w:rsidR="00331F3F">
        <w:rPr>
          <w:rFonts w:ascii="Arial" w:eastAsia="Arial" w:hAnsi="Arial" w:cs="Arial"/>
          <w:sz w:val="22"/>
          <w:szCs w:val="22"/>
        </w:rPr>
        <w:t>including SMEs, public sector bodies and consortiums/partnerships</w:t>
      </w:r>
      <w:r w:rsidR="00084864">
        <w:rPr>
          <w:rFonts w:ascii="Arial" w:eastAsia="Arial" w:hAnsi="Arial" w:cs="Arial"/>
          <w:sz w:val="22"/>
          <w:szCs w:val="22"/>
        </w:rPr>
        <w:t xml:space="preserve"> including larger scale community </w:t>
      </w:r>
      <w:r w:rsidR="00D66569">
        <w:rPr>
          <w:rFonts w:ascii="Arial" w:eastAsia="Arial" w:hAnsi="Arial" w:cs="Arial"/>
          <w:sz w:val="22"/>
          <w:szCs w:val="22"/>
        </w:rPr>
        <w:t>partnerships</w:t>
      </w:r>
      <w:r w:rsidR="00331F3F">
        <w:rPr>
          <w:rFonts w:ascii="Arial" w:eastAsia="Arial" w:hAnsi="Arial" w:cs="Arial"/>
          <w:sz w:val="22"/>
          <w:szCs w:val="22"/>
        </w:rPr>
        <w:t xml:space="preserve">. </w:t>
      </w:r>
      <w:r w:rsidR="00622AA9" w:rsidRPr="002C2D75">
        <w:rPr>
          <w:rFonts w:ascii="Arial" w:eastAsia="Arial" w:hAnsi="Arial" w:cs="Arial"/>
          <w:sz w:val="22"/>
          <w:szCs w:val="22"/>
        </w:rPr>
        <w:t>The cost</w:t>
      </w:r>
      <w:r w:rsidR="00622AA9">
        <w:rPr>
          <w:rFonts w:ascii="Arial" w:eastAsia="Arial" w:hAnsi="Arial" w:cs="Arial"/>
          <w:sz w:val="22"/>
          <w:szCs w:val="22"/>
        </w:rPr>
        <w:t>s</w:t>
      </w:r>
      <w:r w:rsidR="00622AA9" w:rsidRPr="002C2D75">
        <w:rPr>
          <w:rFonts w:ascii="Arial" w:eastAsia="Arial" w:hAnsi="Arial" w:cs="Arial"/>
          <w:sz w:val="22"/>
          <w:szCs w:val="22"/>
        </w:rPr>
        <w:t xml:space="preserve"> of managing the fund should </w:t>
      </w:r>
      <w:r w:rsidR="00661086">
        <w:rPr>
          <w:rFonts w:ascii="Arial" w:eastAsia="Arial" w:hAnsi="Arial" w:cs="Arial"/>
          <w:sz w:val="22"/>
          <w:szCs w:val="22"/>
        </w:rPr>
        <w:t>not exceed</w:t>
      </w:r>
      <w:r w:rsidR="00622AA9" w:rsidRPr="002C2D75">
        <w:rPr>
          <w:rFonts w:ascii="Arial" w:eastAsia="Arial" w:hAnsi="Arial" w:cs="Arial"/>
          <w:sz w:val="22"/>
          <w:szCs w:val="22"/>
        </w:rPr>
        <w:t xml:space="preserve"> 5 -10</w:t>
      </w:r>
      <w:r w:rsidR="005E24B7">
        <w:rPr>
          <w:rFonts w:ascii="Arial" w:eastAsia="Arial" w:hAnsi="Arial" w:cs="Arial"/>
          <w:sz w:val="22"/>
          <w:szCs w:val="22"/>
        </w:rPr>
        <w:t xml:space="preserve">% </w:t>
      </w:r>
      <w:r w:rsidR="00622AA9" w:rsidRPr="002C2D75">
        <w:rPr>
          <w:rFonts w:ascii="Arial" w:eastAsia="Arial" w:hAnsi="Arial" w:cs="Arial"/>
          <w:sz w:val="22"/>
          <w:szCs w:val="22"/>
        </w:rPr>
        <w:t>of the value of the fund, with relevant costs considered as part of the value for money assessment</w:t>
      </w:r>
      <w:r w:rsidR="00622AA9">
        <w:rPr>
          <w:rFonts w:ascii="Arial" w:eastAsia="Arial" w:hAnsi="Arial" w:cs="Arial"/>
          <w:sz w:val="22"/>
          <w:szCs w:val="22"/>
        </w:rPr>
        <w:t xml:space="preserve">.  </w:t>
      </w:r>
    </w:p>
    <w:p w14:paraId="435115C6" w14:textId="77777777" w:rsidR="00C131EA" w:rsidRDefault="00C131EA" w:rsidP="00DC1CC6">
      <w:pPr>
        <w:jc w:val="both"/>
        <w:rPr>
          <w:rFonts w:ascii="Arial" w:eastAsia="Arial" w:hAnsi="Arial" w:cs="Arial"/>
          <w:sz w:val="22"/>
          <w:szCs w:val="22"/>
        </w:rPr>
      </w:pPr>
    </w:p>
    <w:p w14:paraId="18BD21C0" w14:textId="14DB427E" w:rsidR="00C131EA" w:rsidRDefault="00331F3F" w:rsidP="00DC1CC6">
      <w:pPr>
        <w:jc w:val="both"/>
        <w:rPr>
          <w:rFonts w:ascii="Arial" w:eastAsia="Arial" w:hAnsi="Arial" w:cs="Arial"/>
          <w:sz w:val="22"/>
          <w:szCs w:val="22"/>
        </w:rPr>
      </w:pPr>
      <w:r>
        <w:rPr>
          <w:rFonts w:ascii="Arial" w:eastAsia="Arial" w:hAnsi="Arial" w:cs="Arial"/>
          <w:sz w:val="22"/>
          <w:szCs w:val="22"/>
        </w:rPr>
        <w:t xml:space="preserve">NTCA will require the selected intermediary to </w:t>
      </w:r>
      <w:r w:rsidR="00403ACB">
        <w:rPr>
          <w:rFonts w:ascii="Arial" w:eastAsia="Arial" w:hAnsi="Arial" w:cs="Arial"/>
          <w:sz w:val="22"/>
          <w:szCs w:val="22"/>
        </w:rPr>
        <w:t>work with NTCA to establish</w:t>
      </w:r>
      <w:r>
        <w:rPr>
          <w:rFonts w:ascii="Arial" w:eastAsia="Arial" w:hAnsi="Arial" w:cs="Arial"/>
          <w:sz w:val="22"/>
          <w:szCs w:val="22"/>
        </w:rPr>
        <w:t xml:space="preserve"> an experienced </w:t>
      </w:r>
      <w:r w:rsidR="000F7850">
        <w:rPr>
          <w:rFonts w:ascii="Arial" w:eastAsia="Arial" w:hAnsi="Arial" w:cs="Arial"/>
          <w:sz w:val="22"/>
          <w:szCs w:val="22"/>
        </w:rPr>
        <w:t xml:space="preserve">Green New Deal Fund </w:t>
      </w:r>
      <w:r>
        <w:rPr>
          <w:rFonts w:ascii="Arial" w:eastAsia="Arial" w:hAnsi="Arial" w:cs="Arial"/>
          <w:sz w:val="22"/>
          <w:szCs w:val="22"/>
        </w:rPr>
        <w:t xml:space="preserve">Panel to </w:t>
      </w:r>
      <w:r w:rsidR="00281DA3">
        <w:rPr>
          <w:rFonts w:ascii="Arial" w:eastAsia="Arial" w:hAnsi="Arial" w:cs="Arial"/>
          <w:sz w:val="22"/>
          <w:szCs w:val="22"/>
        </w:rPr>
        <w:t>make recommendations on</w:t>
      </w:r>
      <w:r>
        <w:rPr>
          <w:rFonts w:ascii="Arial" w:eastAsia="Arial" w:hAnsi="Arial" w:cs="Arial"/>
          <w:sz w:val="22"/>
          <w:szCs w:val="22"/>
        </w:rPr>
        <w:t xml:space="preserve"> investment decisions</w:t>
      </w:r>
      <w:r w:rsidR="00281DA3">
        <w:rPr>
          <w:rFonts w:ascii="Arial" w:eastAsia="Arial" w:hAnsi="Arial" w:cs="Arial"/>
          <w:sz w:val="22"/>
          <w:szCs w:val="22"/>
        </w:rPr>
        <w:t xml:space="preserve">.  The panel will include </w:t>
      </w:r>
      <w:r>
        <w:rPr>
          <w:rFonts w:ascii="Arial" w:eastAsia="Arial" w:hAnsi="Arial" w:cs="Arial"/>
          <w:sz w:val="22"/>
          <w:szCs w:val="22"/>
        </w:rPr>
        <w:t xml:space="preserve">a mix of appropriate private and public sector representation with NTCA taking a strong stake in the governance - with </w:t>
      </w:r>
      <w:r w:rsidR="00500BA0">
        <w:rPr>
          <w:rFonts w:ascii="Arial" w:eastAsia="Arial" w:hAnsi="Arial" w:cs="Arial"/>
          <w:sz w:val="22"/>
          <w:szCs w:val="22"/>
        </w:rPr>
        <w:t xml:space="preserve">the </w:t>
      </w:r>
      <w:r>
        <w:rPr>
          <w:rFonts w:ascii="Arial" w:eastAsia="Arial" w:hAnsi="Arial" w:cs="Arial"/>
          <w:sz w:val="22"/>
          <w:szCs w:val="22"/>
        </w:rPr>
        <w:t>portfolio holder</w:t>
      </w:r>
      <w:r w:rsidR="00500BA0">
        <w:rPr>
          <w:rFonts w:ascii="Arial" w:eastAsia="Arial" w:hAnsi="Arial" w:cs="Arial"/>
          <w:sz w:val="22"/>
          <w:szCs w:val="22"/>
        </w:rPr>
        <w:t xml:space="preserve"> chairing</w:t>
      </w:r>
      <w:r>
        <w:rPr>
          <w:rFonts w:ascii="Arial" w:eastAsia="Arial" w:hAnsi="Arial" w:cs="Arial"/>
          <w:sz w:val="22"/>
          <w:szCs w:val="22"/>
        </w:rPr>
        <w:t xml:space="preserve">.  </w:t>
      </w:r>
    </w:p>
    <w:p w14:paraId="2AC48DE8" w14:textId="77777777" w:rsidR="00C131EA" w:rsidRDefault="00C131EA" w:rsidP="00DC1CC6">
      <w:pPr>
        <w:jc w:val="both"/>
        <w:rPr>
          <w:rFonts w:ascii="Arial" w:eastAsia="Arial" w:hAnsi="Arial" w:cs="Arial"/>
          <w:sz w:val="22"/>
          <w:szCs w:val="22"/>
        </w:rPr>
      </w:pPr>
    </w:p>
    <w:p w14:paraId="5184B7E0" w14:textId="244373C7" w:rsidR="00C131EA" w:rsidRDefault="00331F3F" w:rsidP="00DC1CC6">
      <w:pPr>
        <w:jc w:val="both"/>
        <w:rPr>
          <w:rFonts w:ascii="Arial" w:eastAsia="Arial" w:hAnsi="Arial" w:cs="Arial"/>
          <w:sz w:val="22"/>
          <w:szCs w:val="22"/>
        </w:rPr>
      </w:pPr>
      <w:r>
        <w:rPr>
          <w:rFonts w:ascii="Arial" w:eastAsia="Arial" w:hAnsi="Arial" w:cs="Arial"/>
          <w:sz w:val="22"/>
          <w:szCs w:val="22"/>
        </w:rPr>
        <w:t xml:space="preserve">The </w:t>
      </w:r>
      <w:r w:rsidR="000F7850">
        <w:rPr>
          <w:rFonts w:ascii="Arial" w:eastAsia="Arial" w:hAnsi="Arial" w:cs="Arial"/>
          <w:sz w:val="22"/>
          <w:szCs w:val="22"/>
        </w:rPr>
        <w:t xml:space="preserve">Green New Deal Fund Panel </w:t>
      </w:r>
      <w:r w:rsidR="00500BA0">
        <w:rPr>
          <w:rFonts w:ascii="Arial" w:eastAsia="Arial" w:hAnsi="Arial" w:cs="Arial"/>
          <w:sz w:val="22"/>
          <w:szCs w:val="22"/>
        </w:rPr>
        <w:t xml:space="preserve">should </w:t>
      </w:r>
      <w:r w:rsidR="000F7850" w:rsidRPr="000F7850">
        <w:rPr>
          <w:rFonts w:ascii="Arial" w:eastAsia="Arial" w:hAnsi="Arial" w:cs="Arial"/>
          <w:sz w:val="22"/>
          <w:szCs w:val="22"/>
        </w:rPr>
        <w:t>bring the skills and expertise required</w:t>
      </w:r>
      <w:r w:rsidR="000F7850">
        <w:rPr>
          <w:rFonts w:ascii="Arial" w:eastAsia="Arial" w:hAnsi="Arial" w:cs="Arial"/>
          <w:sz w:val="22"/>
          <w:szCs w:val="22"/>
        </w:rPr>
        <w:t xml:space="preserve"> </w:t>
      </w:r>
      <w:r>
        <w:rPr>
          <w:rFonts w:ascii="Arial" w:eastAsia="Arial" w:hAnsi="Arial" w:cs="Arial"/>
          <w:sz w:val="22"/>
          <w:szCs w:val="22"/>
        </w:rPr>
        <w:t xml:space="preserve">to inform and guide the approach to carbon emission reduction whilst promoting a productive, competitive and sustainable economy. The </w:t>
      </w:r>
      <w:r w:rsidR="000F7850">
        <w:rPr>
          <w:rFonts w:ascii="Arial" w:eastAsia="Arial" w:hAnsi="Arial" w:cs="Arial"/>
          <w:sz w:val="22"/>
          <w:szCs w:val="22"/>
        </w:rPr>
        <w:t xml:space="preserve">Green New Deal Fund Panel </w:t>
      </w:r>
      <w:r w:rsidR="00266456">
        <w:rPr>
          <w:rFonts w:ascii="Arial" w:eastAsia="Arial" w:hAnsi="Arial" w:cs="Arial"/>
          <w:sz w:val="22"/>
          <w:szCs w:val="22"/>
        </w:rPr>
        <w:t xml:space="preserve">should </w:t>
      </w:r>
      <w:r>
        <w:rPr>
          <w:rFonts w:ascii="Arial" w:eastAsia="Arial" w:hAnsi="Arial" w:cs="Arial"/>
          <w:sz w:val="22"/>
          <w:szCs w:val="22"/>
        </w:rPr>
        <w:t>also be able to shape propositions at scale, ensuring value for money on investments and maximising opportunities to leverage funds and rapidly decarbonise our economy. Regular updates will be provided to Investment Panel and Cabinet as appropriate.</w:t>
      </w:r>
    </w:p>
    <w:p w14:paraId="6B8EE7DC" w14:textId="77777777" w:rsidR="00C131EA" w:rsidRDefault="00C131EA" w:rsidP="00DC1CC6">
      <w:pPr>
        <w:jc w:val="both"/>
        <w:rPr>
          <w:rFonts w:ascii="Arial" w:eastAsia="Arial" w:hAnsi="Arial" w:cs="Arial"/>
          <w:b/>
          <w:sz w:val="22"/>
          <w:szCs w:val="22"/>
        </w:rPr>
      </w:pPr>
    </w:p>
    <w:p w14:paraId="2FB69723" w14:textId="70D7FBF1" w:rsidR="00C131EA" w:rsidRDefault="00331F3F" w:rsidP="00DC1CC6">
      <w:pPr>
        <w:jc w:val="both"/>
        <w:rPr>
          <w:rFonts w:ascii="Arial" w:eastAsia="Arial" w:hAnsi="Arial" w:cs="Arial"/>
          <w:b/>
          <w:sz w:val="22"/>
          <w:szCs w:val="22"/>
        </w:rPr>
      </w:pPr>
      <w:r>
        <w:rPr>
          <w:rFonts w:ascii="Arial" w:eastAsia="Arial" w:hAnsi="Arial" w:cs="Arial"/>
          <w:sz w:val="22"/>
          <w:szCs w:val="22"/>
        </w:rPr>
        <w:t>The intermediary organisation should also be able to illustrate how they are able to deploy the fund in an engaging way within the timeframe set, meeting the desired outcomes and principles, manage a diversified portfolio of clients and proposals, and indicate if they are able to leverage private</w:t>
      </w:r>
      <w:r w:rsidR="000F7850">
        <w:rPr>
          <w:rFonts w:ascii="Arial" w:eastAsia="Arial" w:hAnsi="Arial" w:cs="Arial"/>
          <w:sz w:val="22"/>
          <w:szCs w:val="22"/>
        </w:rPr>
        <w:t xml:space="preserve"> and/or</w:t>
      </w:r>
      <w:r>
        <w:rPr>
          <w:rFonts w:ascii="Arial" w:eastAsia="Arial" w:hAnsi="Arial" w:cs="Arial"/>
          <w:sz w:val="22"/>
          <w:szCs w:val="22"/>
        </w:rPr>
        <w:t xml:space="preserve"> public funding through co-financing options alongside NTCA’s £9 million investment.   The intermediary organisation must demonstrate a flexible investment strategy that will encourage business growth and employment in the low carbon supply chain, provide match funding of last resort to low carbon capital projects that can demonstrate significant jobs impacts, and run relevant exercises such as Expressions of Interest and/or technology challenges to stimulate pipeline development.  </w:t>
      </w:r>
    </w:p>
    <w:p w14:paraId="63EF0621" w14:textId="03F44F6E" w:rsidR="00C131EA" w:rsidRPr="00833093" w:rsidRDefault="00C131EA" w:rsidP="00DC1CC6">
      <w:pPr>
        <w:pBdr>
          <w:top w:val="nil"/>
          <w:left w:val="nil"/>
          <w:bottom w:val="nil"/>
          <w:right w:val="nil"/>
          <w:between w:val="nil"/>
        </w:pBdr>
        <w:ind w:left="720"/>
        <w:jc w:val="both"/>
        <w:rPr>
          <w:rFonts w:ascii="Arial" w:eastAsia="Arial" w:hAnsi="Arial" w:cs="Arial"/>
          <w:color w:val="000000"/>
          <w:sz w:val="22"/>
          <w:szCs w:val="22"/>
          <w:highlight w:val="green"/>
        </w:rPr>
      </w:pPr>
    </w:p>
    <w:p w14:paraId="2976B3AC" w14:textId="26165AC6" w:rsidR="00C131EA" w:rsidRPr="000E021A" w:rsidRDefault="00331F3F" w:rsidP="00DC1CC6">
      <w:pPr>
        <w:jc w:val="both"/>
        <w:rPr>
          <w:color w:val="000000"/>
          <w:sz w:val="22"/>
          <w:szCs w:val="22"/>
        </w:rPr>
      </w:pPr>
      <w:r w:rsidRPr="000E021A">
        <w:rPr>
          <w:rFonts w:ascii="Arial" w:eastAsia="Arial" w:hAnsi="Arial" w:cs="Arial"/>
          <w:sz w:val="22"/>
          <w:szCs w:val="22"/>
        </w:rPr>
        <w:t>It is important to note that the Green New Deal Fund</w:t>
      </w:r>
      <w:r w:rsidR="009B537A" w:rsidRPr="000E021A">
        <w:rPr>
          <w:rFonts w:ascii="Arial" w:eastAsia="Arial" w:hAnsi="Arial" w:cs="Arial"/>
          <w:sz w:val="22"/>
          <w:szCs w:val="22"/>
        </w:rPr>
        <w:t xml:space="preserve"> </w:t>
      </w:r>
      <w:r w:rsidRPr="000E021A">
        <w:rPr>
          <w:rFonts w:ascii="Arial" w:eastAsia="Arial" w:hAnsi="Arial" w:cs="Arial"/>
          <w:color w:val="000000"/>
          <w:sz w:val="22"/>
          <w:szCs w:val="22"/>
        </w:rPr>
        <w:t xml:space="preserve">will need to be flexible to adapt not only to changing circumstances and operating environment but also evolving national government support and </w:t>
      </w:r>
      <w:r w:rsidR="009B537A" w:rsidRPr="000E021A">
        <w:rPr>
          <w:rFonts w:ascii="Arial" w:eastAsia="Arial" w:hAnsi="Arial" w:cs="Arial"/>
          <w:color w:val="000000"/>
          <w:sz w:val="22"/>
          <w:szCs w:val="22"/>
        </w:rPr>
        <w:t xml:space="preserve">the </w:t>
      </w:r>
      <w:r w:rsidRPr="000E021A">
        <w:rPr>
          <w:rFonts w:ascii="Arial" w:eastAsia="Arial" w:hAnsi="Arial" w:cs="Arial"/>
          <w:color w:val="000000"/>
          <w:sz w:val="22"/>
          <w:szCs w:val="22"/>
        </w:rPr>
        <w:t>changing needs of the sector through the restart and recovery phases</w:t>
      </w:r>
      <w:r w:rsidR="009B537A" w:rsidRPr="000E021A">
        <w:rPr>
          <w:rFonts w:ascii="Arial" w:eastAsia="Arial" w:hAnsi="Arial" w:cs="Arial"/>
          <w:color w:val="000000"/>
          <w:sz w:val="22"/>
          <w:szCs w:val="22"/>
        </w:rPr>
        <w:t xml:space="preserve">.  The Green New Deal Fund will not </w:t>
      </w:r>
      <w:r w:rsidRPr="000E021A">
        <w:rPr>
          <w:rFonts w:ascii="Arial" w:eastAsia="Arial" w:hAnsi="Arial" w:cs="Arial"/>
          <w:color w:val="000000"/>
          <w:sz w:val="22"/>
          <w:szCs w:val="22"/>
        </w:rPr>
        <w:t>support activity which duplicates or displaces</w:t>
      </w:r>
      <w:r w:rsidR="009B537A" w:rsidRPr="000E021A">
        <w:rPr>
          <w:rFonts w:ascii="Arial" w:eastAsia="Arial" w:hAnsi="Arial" w:cs="Arial"/>
          <w:color w:val="000000"/>
          <w:sz w:val="22"/>
          <w:szCs w:val="22"/>
        </w:rPr>
        <w:t xml:space="preserve"> existing</w:t>
      </w:r>
      <w:r w:rsidRPr="000E021A">
        <w:rPr>
          <w:rFonts w:ascii="Arial" w:eastAsia="Arial" w:hAnsi="Arial" w:cs="Arial"/>
          <w:color w:val="000000"/>
          <w:sz w:val="22"/>
          <w:szCs w:val="22"/>
        </w:rPr>
        <w:t xml:space="preserve"> provision or funding but will instead stimulate additional benefits</w:t>
      </w:r>
      <w:r w:rsidR="00307508">
        <w:rPr>
          <w:rFonts w:ascii="Arial" w:eastAsia="Arial" w:hAnsi="Arial" w:cs="Arial"/>
          <w:color w:val="000000"/>
          <w:sz w:val="22"/>
          <w:szCs w:val="22"/>
        </w:rPr>
        <w:t>.</w:t>
      </w:r>
    </w:p>
    <w:p w14:paraId="6FD67CDC" w14:textId="77777777" w:rsidR="00C131EA" w:rsidRPr="000E021A" w:rsidRDefault="00C131EA" w:rsidP="00DC1CC6">
      <w:pPr>
        <w:jc w:val="both"/>
        <w:rPr>
          <w:rFonts w:ascii="Arial" w:eastAsia="Arial" w:hAnsi="Arial" w:cs="Arial"/>
          <w:sz w:val="22"/>
          <w:szCs w:val="22"/>
        </w:rPr>
      </w:pPr>
    </w:p>
    <w:p w14:paraId="1280E99A" w14:textId="112905AD" w:rsidR="00C131EA" w:rsidRPr="000E021A" w:rsidRDefault="00331F3F" w:rsidP="00DC1CC6">
      <w:pPr>
        <w:jc w:val="both"/>
      </w:pPr>
      <w:r w:rsidRPr="000E021A">
        <w:rPr>
          <w:rFonts w:ascii="Arial" w:eastAsia="Arial" w:hAnsi="Arial" w:cs="Arial"/>
          <w:sz w:val="22"/>
          <w:szCs w:val="22"/>
        </w:rPr>
        <w:t xml:space="preserve">Proposals should </w:t>
      </w:r>
      <w:r w:rsidR="009B537A" w:rsidRPr="000E021A">
        <w:rPr>
          <w:rFonts w:ascii="Arial" w:eastAsia="Arial" w:hAnsi="Arial" w:cs="Arial"/>
          <w:sz w:val="22"/>
          <w:szCs w:val="22"/>
        </w:rPr>
        <w:t xml:space="preserve">demonstrate how they intend to </w:t>
      </w:r>
      <w:r w:rsidRPr="000E021A">
        <w:rPr>
          <w:rFonts w:ascii="Arial" w:eastAsia="Arial" w:hAnsi="Arial" w:cs="Arial"/>
          <w:sz w:val="22"/>
          <w:szCs w:val="22"/>
        </w:rPr>
        <w:t>deliver against North of Tyne Investment Fund outputs</w:t>
      </w:r>
      <w:r w:rsidR="009B537A" w:rsidRPr="000E021A">
        <w:rPr>
          <w:rFonts w:ascii="Arial" w:eastAsia="Arial" w:hAnsi="Arial" w:cs="Arial"/>
          <w:sz w:val="22"/>
          <w:szCs w:val="22"/>
        </w:rPr>
        <w:t xml:space="preserve"> including</w:t>
      </w:r>
      <w:r w:rsidRPr="000E021A">
        <w:rPr>
          <w:rFonts w:ascii="Arial" w:eastAsia="Arial" w:hAnsi="Arial" w:cs="Arial"/>
          <w:sz w:val="22"/>
          <w:szCs w:val="22"/>
        </w:rPr>
        <w:t>: </w:t>
      </w:r>
    </w:p>
    <w:p w14:paraId="768E7F26" w14:textId="77777777" w:rsidR="00C131EA" w:rsidRPr="000E021A" w:rsidRDefault="00331F3F" w:rsidP="00DC1CC6">
      <w:pPr>
        <w:numPr>
          <w:ilvl w:val="0"/>
          <w:numId w:val="2"/>
        </w:numPr>
        <w:pBdr>
          <w:top w:val="nil"/>
          <w:left w:val="nil"/>
          <w:bottom w:val="nil"/>
          <w:right w:val="nil"/>
          <w:between w:val="nil"/>
        </w:pBdr>
        <w:ind w:left="360" w:firstLine="0"/>
        <w:jc w:val="both"/>
        <w:rPr>
          <w:color w:val="000000"/>
        </w:rPr>
      </w:pPr>
      <w:r w:rsidRPr="000E021A">
        <w:rPr>
          <w:rFonts w:ascii="Arial" w:eastAsia="Arial" w:hAnsi="Arial" w:cs="Arial"/>
          <w:color w:val="000000"/>
          <w:sz w:val="22"/>
          <w:szCs w:val="22"/>
        </w:rPr>
        <w:t>Direct jobs created</w:t>
      </w:r>
    </w:p>
    <w:p w14:paraId="53B0DC93" w14:textId="77777777" w:rsidR="00C131EA" w:rsidRPr="000E021A" w:rsidRDefault="00331F3F" w:rsidP="00DC1CC6">
      <w:pPr>
        <w:numPr>
          <w:ilvl w:val="0"/>
          <w:numId w:val="2"/>
        </w:numPr>
        <w:pBdr>
          <w:top w:val="nil"/>
          <w:left w:val="nil"/>
          <w:bottom w:val="nil"/>
          <w:right w:val="nil"/>
          <w:between w:val="nil"/>
        </w:pBdr>
        <w:ind w:left="360" w:firstLine="0"/>
        <w:jc w:val="both"/>
        <w:rPr>
          <w:color w:val="000000"/>
        </w:rPr>
      </w:pPr>
      <w:r w:rsidRPr="000E021A">
        <w:rPr>
          <w:rFonts w:ascii="Arial" w:eastAsia="Arial" w:hAnsi="Arial" w:cs="Arial"/>
          <w:color w:val="000000"/>
          <w:sz w:val="22"/>
          <w:szCs w:val="22"/>
        </w:rPr>
        <w:t>Indirect jobs created</w:t>
      </w:r>
    </w:p>
    <w:p w14:paraId="430AD256" w14:textId="77777777" w:rsidR="00C131EA" w:rsidRPr="000E021A" w:rsidRDefault="00331F3F" w:rsidP="00DC1CC6">
      <w:pPr>
        <w:numPr>
          <w:ilvl w:val="0"/>
          <w:numId w:val="2"/>
        </w:numPr>
        <w:pBdr>
          <w:top w:val="nil"/>
          <w:left w:val="nil"/>
          <w:bottom w:val="nil"/>
          <w:right w:val="nil"/>
          <w:between w:val="nil"/>
        </w:pBdr>
        <w:ind w:left="360" w:firstLine="0"/>
        <w:jc w:val="both"/>
        <w:rPr>
          <w:color w:val="000000"/>
        </w:rPr>
      </w:pPr>
      <w:r w:rsidRPr="000E021A">
        <w:rPr>
          <w:rFonts w:ascii="Arial" w:eastAsia="Arial" w:hAnsi="Arial" w:cs="Arial"/>
          <w:color w:val="000000"/>
          <w:sz w:val="22"/>
          <w:szCs w:val="22"/>
        </w:rPr>
        <w:t>Direct jobs safeguarded </w:t>
      </w:r>
    </w:p>
    <w:p w14:paraId="11340C68" w14:textId="77777777" w:rsidR="00C131EA" w:rsidRPr="000E021A" w:rsidRDefault="00331F3F" w:rsidP="00DC1CC6">
      <w:pPr>
        <w:numPr>
          <w:ilvl w:val="0"/>
          <w:numId w:val="3"/>
        </w:numPr>
        <w:pBdr>
          <w:top w:val="nil"/>
          <w:left w:val="nil"/>
          <w:bottom w:val="nil"/>
          <w:right w:val="nil"/>
          <w:between w:val="nil"/>
        </w:pBdr>
        <w:ind w:left="360" w:firstLine="0"/>
        <w:jc w:val="both"/>
        <w:rPr>
          <w:color w:val="000000"/>
        </w:rPr>
      </w:pPr>
      <w:r w:rsidRPr="000E021A">
        <w:rPr>
          <w:rFonts w:ascii="Arial" w:eastAsia="Arial" w:hAnsi="Arial" w:cs="Arial"/>
          <w:color w:val="000000"/>
          <w:sz w:val="22"/>
          <w:szCs w:val="22"/>
        </w:rPr>
        <w:t>Indirect jobs safeguarded </w:t>
      </w:r>
    </w:p>
    <w:p w14:paraId="70AE369E" w14:textId="77777777" w:rsidR="008C1C16" w:rsidRPr="003D29E0" w:rsidRDefault="008C1C16" w:rsidP="00DC1CC6">
      <w:pPr>
        <w:numPr>
          <w:ilvl w:val="0"/>
          <w:numId w:val="3"/>
        </w:numPr>
        <w:pBdr>
          <w:top w:val="nil"/>
          <w:left w:val="nil"/>
          <w:bottom w:val="nil"/>
          <w:right w:val="nil"/>
          <w:between w:val="nil"/>
        </w:pBdr>
        <w:spacing w:line="259" w:lineRule="auto"/>
        <w:jc w:val="both"/>
        <w:rPr>
          <w:rFonts w:ascii="Arial" w:eastAsia="Arial" w:hAnsi="Arial" w:cs="Arial"/>
          <w:sz w:val="22"/>
          <w:szCs w:val="22"/>
        </w:rPr>
      </w:pPr>
      <w:r w:rsidRPr="003D29E0">
        <w:rPr>
          <w:rFonts w:ascii="Arial" w:eastAsia="Arial" w:hAnsi="Arial" w:cs="Arial"/>
          <w:sz w:val="22"/>
          <w:szCs w:val="22"/>
        </w:rPr>
        <w:t>Amount of space</w:t>
      </w:r>
      <w:r>
        <w:rPr>
          <w:rFonts w:ascii="Arial" w:eastAsia="Arial" w:hAnsi="Arial" w:cs="Arial"/>
          <w:sz w:val="22"/>
          <w:szCs w:val="22"/>
        </w:rPr>
        <w:t xml:space="preserve"> and/or properties</w:t>
      </w:r>
      <w:r w:rsidRPr="003D29E0">
        <w:rPr>
          <w:rFonts w:ascii="Arial" w:eastAsia="Arial" w:hAnsi="Arial" w:cs="Arial"/>
          <w:sz w:val="22"/>
          <w:szCs w:val="22"/>
        </w:rPr>
        <w:t xml:space="preserve"> with improved energy efficiency. </w:t>
      </w:r>
    </w:p>
    <w:p w14:paraId="081AFB9A" w14:textId="77777777" w:rsidR="00C131EA" w:rsidRPr="000E021A" w:rsidRDefault="00331F3F" w:rsidP="00DC1CC6">
      <w:pPr>
        <w:numPr>
          <w:ilvl w:val="0"/>
          <w:numId w:val="3"/>
        </w:numPr>
        <w:pBdr>
          <w:top w:val="nil"/>
          <w:left w:val="nil"/>
          <w:bottom w:val="nil"/>
          <w:right w:val="nil"/>
          <w:between w:val="nil"/>
        </w:pBdr>
        <w:spacing w:line="259" w:lineRule="auto"/>
        <w:jc w:val="both"/>
        <w:rPr>
          <w:color w:val="000000"/>
        </w:rPr>
      </w:pPr>
      <w:r w:rsidRPr="000E021A">
        <w:rPr>
          <w:rFonts w:ascii="Arial" w:eastAsia="Arial" w:hAnsi="Arial" w:cs="Arial"/>
          <w:color w:val="000000"/>
          <w:sz w:val="22"/>
          <w:szCs w:val="22"/>
        </w:rPr>
        <w:t>Carbon emissions reductions</w:t>
      </w:r>
    </w:p>
    <w:p w14:paraId="0E330569" w14:textId="77777777" w:rsidR="00C131EA" w:rsidRPr="000E021A" w:rsidRDefault="00331F3F" w:rsidP="00DC1CC6">
      <w:pPr>
        <w:numPr>
          <w:ilvl w:val="0"/>
          <w:numId w:val="3"/>
        </w:numPr>
        <w:pBdr>
          <w:top w:val="nil"/>
          <w:left w:val="nil"/>
          <w:bottom w:val="nil"/>
          <w:right w:val="nil"/>
          <w:between w:val="nil"/>
        </w:pBdr>
        <w:spacing w:line="259" w:lineRule="auto"/>
        <w:jc w:val="both"/>
        <w:rPr>
          <w:color w:val="000000"/>
        </w:rPr>
      </w:pPr>
      <w:r w:rsidRPr="000E021A">
        <w:rPr>
          <w:rFonts w:ascii="Arial" w:eastAsia="Arial" w:hAnsi="Arial" w:cs="Arial"/>
          <w:color w:val="000000"/>
          <w:sz w:val="22"/>
          <w:szCs w:val="22"/>
        </w:rPr>
        <w:t>Renewable energy generated</w:t>
      </w:r>
    </w:p>
    <w:p w14:paraId="09E54DB6" w14:textId="5CBBB513" w:rsidR="003A0128" w:rsidRPr="003A0128" w:rsidRDefault="00331F3F" w:rsidP="00DC1CC6">
      <w:pPr>
        <w:numPr>
          <w:ilvl w:val="0"/>
          <w:numId w:val="3"/>
        </w:numPr>
        <w:pBdr>
          <w:top w:val="nil"/>
          <w:left w:val="nil"/>
          <w:bottom w:val="nil"/>
          <w:right w:val="nil"/>
          <w:between w:val="nil"/>
        </w:pBdr>
        <w:spacing w:line="259" w:lineRule="auto"/>
        <w:jc w:val="both"/>
        <w:rPr>
          <w:rFonts w:ascii="Arial" w:eastAsia="Arial" w:hAnsi="Arial" w:cs="Arial"/>
          <w:sz w:val="22"/>
          <w:szCs w:val="22"/>
        </w:rPr>
      </w:pPr>
      <w:r w:rsidRPr="000E021A">
        <w:rPr>
          <w:rFonts w:ascii="Arial" w:eastAsia="Arial" w:hAnsi="Arial" w:cs="Arial"/>
          <w:color w:val="000000"/>
          <w:sz w:val="22"/>
          <w:szCs w:val="22"/>
        </w:rPr>
        <w:t>Reduction in energy costs</w:t>
      </w:r>
    </w:p>
    <w:p w14:paraId="6D1118F1" w14:textId="77777777" w:rsidR="00DF11AE" w:rsidRDefault="00DF11AE" w:rsidP="00DC1CC6">
      <w:pPr>
        <w:pBdr>
          <w:top w:val="nil"/>
          <w:left w:val="nil"/>
          <w:bottom w:val="nil"/>
          <w:right w:val="nil"/>
          <w:between w:val="nil"/>
        </w:pBdr>
        <w:jc w:val="both"/>
        <w:rPr>
          <w:rFonts w:ascii="Arial" w:eastAsia="Arial" w:hAnsi="Arial" w:cs="Arial"/>
          <w:color w:val="000000"/>
          <w:sz w:val="22"/>
          <w:szCs w:val="22"/>
        </w:rPr>
      </w:pPr>
    </w:p>
    <w:p w14:paraId="2C531444" w14:textId="3D8AB185" w:rsidR="00C131EA" w:rsidRDefault="00331F3F" w:rsidP="00DC1CC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 full list of all NTCA Outputs, any additional Key Performance Indicators and associated guidance will be provided with the project proposal form</w:t>
      </w:r>
      <w:r w:rsidR="00DF11AE">
        <w:rPr>
          <w:rFonts w:ascii="Arial" w:eastAsia="Arial" w:hAnsi="Arial" w:cs="Arial"/>
          <w:color w:val="000000"/>
          <w:sz w:val="22"/>
          <w:szCs w:val="22"/>
        </w:rPr>
        <w:t xml:space="preserve"> on request</w:t>
      </w:r>
      <w:r>
        <w:rPr>
          <w:rFonts w:ascii="Arial" w:eastAsia="Arial" w:hAnsi="Arial" w:cs="Arial"/>
          <w:color w:val="000000"/>
          <w:sz w:val="22"/>
          <w:szCs w:val="22"/>
        </w:rPr>
        <w:t>.</w:t>
      </w:r>
      <w:r w:rsidR="00673B51">
        <w:rPr>
          <w:rFonts w:ascii="Arial" w:eastAsia="Arial" w:hAnsi="Arial" w:cs="Arial"/>
          <w:color w:val="000000"/>
          <w:sz w:val="22"/>
          <w:szCs w:val="22"/>
        </w:rPr>
        <w:t xml:space="preserve">  </w:t>
      </w:r>
    </w:p>
    <w:p w14:paraId="0CC91A07" w14:textId="19F848CD" w:rsidR="004237F3" w:rsidRDefault="004237F3" w:rsidP="00DC1CC6">
      <w:pPr>
        <w:pBdr>
          <w:top w:val="nil"/>
          <w:left w:val="nil"/>
          <w:bottom w:val="nil"/>
          <w:right w:val="nil"/>
          <w:between w:val="nil"/>
        </w:pBdr>
        <w:jc w:val="both"/>
        <w:rPr>
          <w:rFonts w:ascii="Arial" w:eastAsia="Arial" w:hAnsi="Arial" w:cs="Arial"/>
          <w:color w:val="000000"/>
          <w:sz w:val="22"/>
          <w:szCs w:val="22"/>
        </w:rPr>
      </w:pPr>
    </w:p>
    <w:p w14:paraId="650D942C" w14:textId="54FA428F" w:rsidR="004237F3" w:rsidRDefault="004237F3" w:rsidP="00DC1CC6">
      <w:pPr>
        <w:pBdr>
          <w:top w:val="nil"/>
          <w:left w:val="nil"/>
          <w:bottom w:val="nil"/>
          <w:right w:val="nil"/>
          <w:between w:val="nil"/>
        </w:pBdr>
        <w:jc w:val="both"/>
        <w:rPr>
          <w:rFonts w:ascii="Arial" w:eastAsia="Arial" w:hAnsi="Arial" w:cs="Arial"/>
          <w:color w:val="000000"/>
          <w:sz w:val="22"/>
          <w:szCs w:val="22"/>
        </w:rPr>
      </w:pPr>
    </w:p>
    <w:p w14:paraId="1FD85B57" w14:textId="4A34E7F4" w:rsidR="004237F3" w:rsidRDefault="004237F3" w:rsidP="00DC1CC6">
      <w:pPr>
        <w:pBdr>
          <w:top w:val="nil"/>
          <w:left w:val="nil"/>
          <w:bottom w:val="nil"/>
          <w:right w:val="nil"/>
          <w:between w:val="nil"/>
        </w:pBdr>
        <w:jc w:val="both"/>
        <w:rPr>
          <w:rFonts w:ascii="Arial" w:eastAsia="Arial" w:hAnsi="Arial" w:cs="Arial"/>
          <w:color w:val="000000"/>
          <w:sz w:val="22"/>
          <w:szCs w:val="22"/>
        </w:rPr>
      </w:pPr>
    </w:p>
    <w:p w14:paraId="6AB36330" w14:textId="7EF129AF" w:rsidR="004237F3" w:rsidRDefault="004237F3" w:rsidP="00DC1CC6">
      <w:pPr>
        <w:pBdr>
          <w:top w:val="nil"/>
          <w:left w:val="nil"/>
          <w:bottom w:val="nil"/>
          <w:right w:val="nil"/>
          <w:between w:val="nil"/>
        </w:pBdr>
        <w:jc w:val="both"/>
        <w:rPr>
          <w:rFonts w:ascii="Arial" w:eastAsia="Arial" w:hAnsi="Arial" w:cs="Arial"/>
          <w:color w:val="000000"/>
          <w:sz w:val="22"/>
          <w:szCs w:val="22"/>
        </w:rPr>
      </w:pPr>
    </w:p>
    <w:p w14:paraId="04D92B71" w14:textId="1A64541D" w:rsidR="004237F3" w:rsidRDefault="004237F3" w:rsidP="00DC1CC6">
      <w:pPr>
        <w:pBdr>
          <w:top w:val="nil"/>
          <w:left w:val="nil"/>
          <w:bottom w:val="nil"/>
          <w:right w:val="nil"/>
          <w:between w:val="nil"/>
        </w:pBdr>
        <w:jc w:val="both"/>
        <w:rPr>
          <w:rFonts w:ascii="Arial" w:eastAsia="Arial" w:hAnsi="Arial" w:cs="Arial"/>
          <w:color w:val="000000"/>
          <w:sz w:val="22"/>
          <w:szCs w:val="22"/>
        </w:rPr>
      </w:pPr>
    </w:p>
    <w:p w14:paraId="15FB89A5" w14:textId="77777777" w:rsidR="004237F3" w:rsidRDefault="004237F3" w:rsidP="00DC1CC6">
      <w:pPr>
        <w:pBdr>
          <w:top w:val="nil"/>
          <w:left w:val="nil"/>
          <w:bottom w:val="nil"/>
          <w:right w:val="nil"/>
          <w:between w:val="nil"/>
        </w:pBdr>
        <w:jc w:val="both"/>
        <w:rPr>
          <w:rFonts w:ascii="Arial" w:eastAsia="Arial" w:hAnsi="Arial" w:cs="Arial"/>
          <w:b/>
          <w:color w:val="000000"/>
          <w:sz w:val="22"/>
          <w:szCs w:val="22"/>
        </w:rPr>
      </w:pPr>
    </w:p>
    <w:p w14:paraId="0A3D32AC" w14:textId="1EB759C8" w:rsidR="00C131EA" w:rsidRDefault="00C131EA" w:rsidP="00DC1CC6">
      <w:pPr>
        <w:jc w:val="both"/>
        <w:rPr>
          <w:rFonts w:ascii="Arial" w:eastAsia="Arial" w:hAnsi="Arial" w:cs="Arial"/>
          <w:sz w:val="22"/>
          <w:szCs w:val="22"/>
        </w:rPr>
      </w:pPr>
    </w:p>
    <w:p w14:paraId="68CDAC46" w14:textId="77777777" w:rsidR="00C131EA" w:rsidRDefault="00331F3F" w:rsidP="00DC1CC6">
      <w:pPr>
        <w:numPr>
          <w:ilvl w:val="0"/>
          <w:numId w:val="15"/>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lastRenderedPageBreak/>
        <w:t xml:space="preserve">Green New Deal Fund - Call Parameters </w:t>
      </w:r>
    </w:p>
    <w:p w14:paraId="3556F7AF" w14:textId="77777777" w:rsidR="00C131EA" w:rsidRDefault="00C131EA" w:rsidP="00DC1CC6">
      <w:pPr>
        <w:jc w:val="both"/>
        <w:rPr>
          <w:rFonts w:ascii="Arial" w:eastAsia="Arial" w:hAnsi="Arial" w:cs="Arial"/>
          <w:b/>
          <w:sz w:val="22"/>
          <w:szCs w:val="22"/>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43"/>
        <w:gridCol w:w="7229"/>
      </w:tblGrid>
      <w:tr w:rsidR="00C131EA" w14:paraId="11ED3C6B" w14:textId="77777777" w:rsidTr="004237F3">
        <w:trPr>
          <w:trHeight w:val="55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8D0E2" w14:textId="77777777" w:rsidR="00C131EA" w:rsidRDefault="00331F3F" w:rsidP="00DC1CC6">
            <w:pPr>
              <w:pBdr>
                <w:top w:val="nil"/>
                <w:left w:val="nil"/>
                <w:bottom w:val="nil"/>
                <w:right w:val="nil"/>
                <w:between w:val="nil"/>
              </w:pBdr>
              <w:jc w:val="both"/>
              <w:rPr>
                <w:rFonts w:ascii="Arial" w:eastAsia="Arial" w:hAnsi="Arial" w:cs="Arial"/>
                <w:b/>
                <w:color w:val="000000"/>
                <w:sz w:val="22"/>
                <w:szCs w:val="22"/>
              </w:rPr>
            </w:pPr>
            <w:bookmarkStart w:id="2" w:name="_30j0zll" w:colFirst="0" w:colLast="0"/>
            <w:bookmarkEnd w:id="2"/>
            <w:r>
              <w:rPr>
                <w:rFonts w:ascii="Arial" w:eastAsia="Arial" w:hAnsi="Arial" w:cs="Arial"/>
                <w:b/>
                <w:color w:val="000000"/>
                <w:sz w:val="22"/>
                <w:szCs w:val="22"/>
              </w:rPr>
              <w:t>Dates</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C867E" w14:textId="5A179DF7" w:rsidR="00C131EA" w:rsidRDefault="00331F3F" w:rsidP="00DC1CC6">
            <w:pPr>
              <w:pBdr>
                <w:top w:val="nil"/>
                <w:left w:val="nil"/>
                <w:bottom w:val="nil"/>
                <w:right w:val="nil"/>
                <w:between w:val="nil"/>
              </w:pBdr>
              <w:jc w:val="both"/>
              <w:rPr>
                <w:rFonts w:ascii="Arial" w:eastAsia="Arial" w:hAnsi="Arial" w:cs="Arial"/>
                <w:color w:val="000000" w:themeColor="text1"/>
                <w:sz w:val="22"/>
                <w:szCs w:val="22"/>
              </w:rPr>
            </w:pPr>
            <w:r w:rsidRPr="4BE04DEC">
              <w:rPr>
                <w:rFonts w:ascii="Arial" w:eastAsia="Arial" w:hAnsi="Arial" w:cs="Arial"/>
                <w:color w:val="000000" w:themeColor="text1"/>
                <w:sz w:val="22"/>
                <w:szCs w:val="22"/>
              </w:rPr>
              <w:t xml:space="preserve">The Green New Deal Fund call will open on </w:t>
            </w:r>
            <w:r w:rsidR="00DF11AE">
              <w:rPr>
                <w:rFonts w:ascii="Arial" w:eastAsia="Arial" w:hAnsi="Arial" w:cs="Arial"/>
                <w:color w:val="000000" w:themeColor="text1"/>
                <w:sz w:val="22"/>
                <w:szCs w:val="22"/>
              </w:rPr>
              <w:t>25</w:t>
            </w:r>
            <w:r w:rsidR="004237F3" w:rsidRPr="00495816">
              <w:rPr>
                <w:rFonts w:ascii="Arial" w:eastAsia="Arial" w:hAnsi="Arial" w:cs="Arial"/>
                <w:color w:val="000000" w:themeColor="text1"/>
                <w:sz w:val="22"/>
                <w:szCs w:val="22"/>
                <w:vertAlign w:val="superscript"/>
              </w:rPr>
              <w:t>th</w:t>
            </w:r>
            <w:r w:rsidR="004237F3">
              <w:rPr>
                <w:rFonts w:ascii="Arial" w:eastAsia="Arial" w:hAnsi="Arial" w:cs="Arial"/>
                <w:color w:val="000000" w:themeColor="text1"/>
                <w:sz w:val="22"/>
                <w:szCs w:val="22"/>
              </w:rPr>
              <w:t xml:space="preserve"> </w:t>
            </w:r>
            <w:r w:rsidR="004237F3" w:rsidRPr="4BE04DEC">
              <w:rPr>
                <w:rFonts w:ascii="Arial" w:eastAsia="Arial" w:hAnsi="Arial" w:cs="Arial"/>
                <w:color w:val="000000" w:themeColor="text1"/>
                <w:sz w:val="22"/>
                <w:szCs w:val="22"/>
              </w:rPr>
              <w:t>September</w:t>
            </w:r>
            <w:r w:rsidRPr="4BE04DEC">
              <w:rPr>
                <w:rFonts w:ascii="Arial" w:eastAsia="Arial" w:hAnsi="Arial" w:cs="Arial"/>
                <w:color w:val="000000" w:themeColor="text1"/>
                <w:sz w:val="22"/>
                <w:szCs w:val="22"/>
              </w:rPr>
              <w:t xml:space="preserve"> 2020 and close on </w:t>
            </w:r>
            <w:r w:rsidR="00C83265">
              <w:rPr>
                <w:rFonts w:ascii="Arial" w:eastAsia="Arial" w:hAnsi="Arial" w:cs="Arial"/>
                <w:color w:val="000000" w:themeColor="text1"/>
                <w:sz w:val="22"/>
                <w:szCs w:val="22"/>
              </w:rPr>
              <w:t>1</w:t>
            </w:r>
            <w:r w:rsidR="005F5FF4">
              <w:rPr>
                <w:rFonts w:ascii="Arial" w:eastAsia="Arial" w:hAnsi="Arial" w:cs="Arial"/>
                <w:color w:val="000000" w:themeColor="text1"/>
                <w:sz w:val="22"/>
                <w:szCs w:val="22"/>
              </w:rPr>
              <w:t>9</w:t>
            </w:r>
            <w:r w:rsidR="009843AE">
              <w:rPr>
                <w:rFonts w:ascii="Arial" w:eastAsia="Arial" w:hAnsi="Arial" w:cs="Arial"/>
                <w:color w:val="000000" w:themeColor="text1"/>
                <w:sz w:val="22"/>
                <w:szCs w:val="22"/>
              </w:rPr>
              <w:t>th</w:t>
            </w:r>
            <w:r w:rsidR="009843AE" w:rsidRPr="4BE04DEC">
              <w:rPr>
                <w:rFonts w:ascii="Arial" w:eastAsia="Arial" w:hAnsi="Arial" w:cs="Arial"/>
                <w:color w:val="000000" w:themeColor="text1"/>
                <w:sz w:val="22"/>
                <w:szCs w:val="22"/>
              </w:rPr>
              <w:t xml:space="preserve"> </w:t>
            </w:r>
            <w:r w:rsidRPr="4BE04DEC">
              <w:rPr>
                <w:rFonts w:ascii="Arial" w:eastAsia="Arial" w:hAnsi="Arial" w:cs="Arial"/>
                <w:color w:val="000000" w:themeColor="text1"/>
                <w:sz w:val="22"/>
                <w:szCs w:val="22"/>
              </w:rPr>
              <w:t xml:space="preserve">November 2020 </w:t>
            </w:r>
            <w:r w:rsidR="00FE0EB4">
              <w:rPr>
                <w:rFonts w:ascii="Arial" w:eastAsia="Arial" w:hAnsi="Arial" w:cs="Arial"/>
                <w:color w:val="000000" w:themeColor="text1"/>
                <w:sz w:val="22"/>
                <w:szCs w:val="22"/>
              </w:rPr>
              <w:t>at 23:59.</w:t>
            </w:r>
          </w:p>
          <w:p w14:paraId="349E1473" w14:textId="77777777" w:rsidR="004237F3" w:rsidRDefault="004237F3" w:rsidP="00DC1CC6">
            <w:pPr>
              <w:pBdr>
                <w:top w:val="nil"/>
                <w:left w:val="nil"/>
                <w:bottom w:val="nil"/>
                <w:right w:val="nil"/>
                <w:between w:val="nil"/>
              </w:pBdr>
              <w:jc w:val="both"/>
              <w:rPr>
                <w:rFonts w:ascii="Arial" w:eastAsia="Arial" w:hAnsi="Arial" w:cs="Arial"/>
                <w:b/>
                <w:color w:val="000000"/>
                <w:sz w:val="22"/>
                <w:szCs w:val="22"/>
              </w:rPr>
            </w:pPr>
          </w:p>
          <w:p w14:paraId="33B06A5D" w14:textId="77777777" w:rsidR="00C131EA" w:rsidRDefault="00331F3F" w:rsidP="00DC1CC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NTCA reserves the right to change the dates and numbers of stages subject to the volume and quality of proposals received.</w:t>
            </w:r>
          </w:p>
        </w:tc>
      </w:tr>
      <w:tr w:rsidR="00C131EA" w14:paraId="573D6A1F" w14:textId="77777777" w:rsidTr="4BE04DEC">
        <w:trPr>
          <w:trHeight w:val="1179"/>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3850D" w14:textId="77777777" w:rsidR="00C131EA" w:rsidRDefault="00331F3F" w:rsidP="00DC1CC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Indicative Fund Allocation: </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415B2" w14:textId="4C022040" w:rsidR="00C131EA" w:rsidRDefault="00331F3F" w:rsidP="00DC1CC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NTCA has agreed a budget of up to £9m for this programme and NTCA intends to select one applicant (which may be a consortium, or partnership) to deliver the entire fund. </w:t>
            </w:r>
          </w:p>
          <w:p w14:paraId="089C0BFF" w14:textId="6584F9D2" w:rsidR="00800B1C" w:rsidRDefault="00800B1C" w:rsidP="00DC1CC6">
            <w:pPr>
              <w:pBdr>
                <w:top w:val="nil"/>
                <w:left w:val="nil"/>
                <w:bottom w:val="nil"/>
                <w:right w:val="nil"/>
                <w:between w:val="nil"/>
              </w:pBdr>
              <w:jc w:val="both"/>
              <w:rPr>
                <w:rFonts w:ascii="Arial" w:eastAsia="Arial" w:hAnsi="Arial" w:cs="Arial"/>
                <w:color w:val="000000"/>
                <w:sz w:val="22"/>
                <w:szCs w:val="22"/>
              </w:rPr>
            </w:pPr>
          </w:p>
          <w:p w14:paraId="3970D25E" w14:textId="38433B43" w:rsidR="00800B1C" w:rsidRDefault="00800B1C" w:rsidP="00DC1CC6">
            <w:pPr>
              <w:pBdr>
                <w:top w:val="nil"/>
                <w:left w:val="nil"/>
                <w:bottom w:val="nil"/>
                <w:right w:val="nil"/>
                <w:between w:val="nil"/>
              </w:pBdr>
              <w:jc w:val="both"/>
              <w:rPr>
                <w:rFonts w:ascii="Arial" w:eastAsia="Arial" w:hAnsi="Arial" w:cs="Arial"/>
                <w:color w:val="000000"/>
                <w:sz w:val="22"/>
                <w:szCs w:val="22"/>
              </w:rPr>
            </w:pPr>
            <w:r w:rsidRPr="00965FBA">
              <w:rPr>
                <w:rFonts w:ascii="Arial" w:eastAsia="Arial" w:hAnsi="Arial" w:cs="Arial"/>
                <w:color w:val="000000"/>
                <w:sz w:val="22"/>
                <w:szCs w:val="22"/>
              </w:rPr>
              <w:t>The expected</w:t>
            </w:r>
            <w:r>
              <w:rPr>
                <w:rFonts w:ascii="Arial" w:eastAsia="Arial" w:hAnsi="Arial" w:cs="Arial"/>
                <w:color w:val="000000"/>
                <w:sz w:val="22"/>
                <w:szCs w:val="22"/>
              </w:rPr>
              <w:t xml:space="preserve"> </w:t>
            </w:r>
            <w:r w:rsidRPr="00965FBA">
              <w:rPr>
                <w:rFonts w:ascii="Arial" w:eastAsia="Arial" w:hAnsi="Arial" w:cs="Arial"/>
                <w:color w:val="000000"/>
                <w:sz w:val="22"/>
                <w:szCs w:val="22"/>
              </w:rPr>
              <w:t xml:space="preserve">total fund </w:t>
            </w:r>
            <w:r w:rsidRPr="00800B1C">
              <w:rPr>
                <w:rFonts w:ascii="Arial" w:eastAsia="Arial" w:hAnsi="Arial" w:cs="Arial"/>
                <w:color w:val="000000"/>
                <w:sz w:val="22"/>
                <w:szCs w:val="22"/>
              </w:rPr>
              <w:t>size will be £9m, to be managed and deployed achieving financial completion by March 2025.</w:t>
            </w:r>
            <w:r w:rsidRPr="00965FBA">
              <w:rPr>
                <w:rFonts w:ascii="Arial" w:eastAsia="Arial" w:hAnsi="Arial" w:cs="Arial"/>
                <w:color w:val="000000"/>
                <w:sz w:val="22"/>
                <w:szCs w:val="22"/>
              </w:rPr>
              <w:t xml:space="preserve">  </w:t>
            </w:r>
          </w:p>
          <w:p w14:paraId="4A411C90" w14:textId="1CE15012" w:rsidR="00C131EA" w:rsidRDefault="00C131EA" w:rsidP="00DC1CC6">
            <w:pPr>
              <w:pBdr>
                <w:top w:val="nil"/>
                <w:left w:val="nil"/>
                <w:bottom w:val="nil"/>
                <w:right w:val="nil"/>
                <w:between w:val="nil"/>
              </w:pBdr>
              <w:jc w:val="both"/>
              <w:rPr>
                <w:rFonts w:ascii="Arial" w:eastAsia="Arial" w:hAnsi="Arial" w:cs="Arial"/>
                <w:color w:val="000000"/>
                <w:sz w:val="22"/>
                <w:szCs w:val="22"/>
              </w:rPr>
            </w:pPr>
          </w:p>
          <w:p w14:paraId="0AC98527" w14:textId="0BC16491" w:rsidR="00C71952" w:rsidRDefault="002C4E06" w:rsidP="00DC1CC6">
            <w:pPr>
              <w:pBdr>
                <w:top w:val="nil"/>
                <w:left w:val="nil"/>
                <w:bottom w:val="nil"/>
                <w:right w:val="nil"/>
                <w:between w:val="nil"/>
              </w:pBdr>
              <w:jc w:val="both"/>
              <w:rPr>
                <w:rFonts w:ascii="Arial" w:eastAsia="Arial" w:hAnsi="Arial" w:cs="Arial"/>
                <w:color w:val="000000"/>
                <w:sz w:val="22"/>
                <w:szCs w:val="22"/>
              </w:rPr>
            </w:pPr>
            <w:r w:rsidRPr="0088110A">
              <w:rPr>
                <w:rFonts w:ascii="Arial" w:eastAsia="Arial" w:hAnsi="Arial" w:cs="Arial"/>
                <w:color w:val="000000"/>
                <w:sz w:val="22"/>
                <w:szCs w:val="22"/>
              </w:rPr>
              <w:t>The total funding available is inclusive of any fund administration costs which should be</w:t>
            </w:r>
            <w:r w:rsidR="005E24B7">
              <w:rPr>
                <w:rFonts w:ascii="Arial" w:eastAsia="Arial" w:hAnsi="Arial" w:cs="Arial"/>
                <w:color w:val="000000"/>
                <w:sz w:val="22"/>
                <w:szCs w:val="22"/>
              </w:rPr>
              <w:t xml:space="preserve"> </w:t>
            </w:r>
            <w:r w:rsidR="00A709FD">
              <w:rPr>
                <w:rFonts w:ascii="Arial" w:eastAsia="Arial" w:hAnsi="Arial" w:cs="Arial"/>
                <w:color w:val="000000"/>
                <w:sz w:val="22"/>
                <w:szCs w:val="22"/>
              </w:rPr>
              <w:t>around 5-10% of the overall fund value and</w:t>
            </w:r>
            <w:r w:rsidRPr="0088110A">
              <w:rPr>
                <w:rFonts w:ascii="Arial" w:eastAsia="Arial" w:hAnsi="Arial" w:cs="Arial"/>
                <w:color w:val="000000"/>
                <w:sz w:val="22"/>
                <w:szCs w:val="22"/>
              </w:rPr>
              <w:t xml:space="preserve"> costed into the overall programme budget</w:t>
            </w:r>
            <w:r w:rsidR="00A709FD">
              <w:rPr>
                <w:rFonts w:ascii="Arial" w:eastAsia="Arial" w:hAnsi="Arial" w:cs="Arial"/>
                <w:color w:val="000000"/>
                <w:sz w:val="22"/>
                <w:szCs w:val="22"/>
              </w:rPr>
              <w:t>. Fund management costs should</w:t>
            </w:r>
            <w:r w:rsidRPr="0088110A">
              <w:rPr>
                <w:rFonts w:ascii="Arial" w:eastAsia="Arial" w:hAnsi="Arial" w:cs="Arial"/>
                <w:color w:val="000000"/>
                <w:sz w:val="22"/>
                <w:szCs w:val="22"/>
              </w:rPr>
              <w:t xml:space="preserve"> </w:t>
            </w:r>
            <w:r w:rsidR="0047651C" w:rsidRPr="0088110A">
              <w:rPr>
                <w:rFonts w:ascii="Arial" w:eastAsia="Arial" w:hAnsi="Arial" w:cs="Arial"/>
                <w:color w:val="000000"/>
                <w:sz w:val="22"/>
                <w:szCs w:val="22"/>
              </w:rPr>
              <w:t>not exceed 10% of total costs.</w:t>
            </w:r>
            <w:r w:rsidR="0047651C">
              <w:rPr>
                <w:rFonts w:ascii="Arial" w:eastAsia="Arial" w:hAnsi="Arial" w:cs="Arial"/>
                <w:color w:val="000000"/>
                <w:sz w:val="22"/>
                <w:szCs w:val="22"/>
              </w:rPr>
              <w:t xml:space="preserve"> </w:t>
            </w:r>
          </w:p>
          <w:p w14:paraId="2EAEB7EE" w14:textId="77777777" w:rsidR="00C71952" w:rsidRDefault="00C71952" w:rsidP="00DC1CC6">
            <w:pPr>
              <w:pBdr>
                <w:top w:val="nil"/>
                <w:left w:val="nil"/>
                <w:bottom w:val="nil"/>
                <w:right w:val="nil"/>
                <w:between w:val="nil"/>
              </w:pBdr>
              <w:jc w:val="both"/>
              <w:rPr>
                <w:rFonts w:ascii="Arial" w:eastAsia="Arial" w:hAnsi="Arial" w:cs="Arial"/>
                <w:color w:val="000000"/>
                <w:sz w:val="22"/>
                <w:szCs w:val="22"/>
              </w:rPr>
            </w:pPr>
          </w:p>
          <w:p w14:paraId="3EF1A46B" w14:textId="75488617" w:rsidR="00C131EA" w:rsidRDefault="00331F3F" w:rsidP="00DC1CC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NTCA reserves the right to decrease or increase the indicative allocation or support more or fewer </w:t>
            </w:r>
            <w:r w:rsidR="00DC1CC6">
              <w:rPr>
                <w:rFonts w:ascii="Arial" w:eastAsia="Arial" w:hAnsi="Arial" w:cs="Arial"/>
                <w:color w:val="000000"/>
                <w:sz w:val="22"/>
                <w:szCs w:val="22"/>
              </w:rPr>
              <w:t xml:space="preserve">proposals </w:t>
            </w:r>
            <w:r>
              <w:rPr>
                <w:rFonts w:ascii="Arial" w:eastAsia="Arial" w:hAnsi="Arial" w:cs="Arial"/>
                <w:color w:val="000000"/>
                <w:sz w:val="22"/>
                <w:szCs w:val="22"/>
              </w:rPr>
              <w:t xml:space="preserve">subject to the volume and quality of proposals received. </w:t>
            </w:r>
          </w:p>
        </w:tc>
      </w:tr>
      <w:tr w:rsidR="00C131EA" w14:paraId="450C1B17" w14:textId="77777777" w:rsidTr="4BE04DEC">
        <w:trPr>
          <w:trHeight w:val="924"/>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D0B83" w14:textId="77777777" w:rsidR="00C131EA" w:rsidRDefault="00331F3F" w:rsidP="00DC1CC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Applications </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FA223" w14:textId="77777777" w:rsidR="00C131EA" w:rsidRDefault="00331F3F" w:rsidP="00DC1CC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Applicants are expected to submit proposals which demonstrate impact and additionality. NTCA funding is not intended to replace existing funding.</w:t>
            </w:r>
          </w:p>
        </w:tc>
      </w:tr>
      <w:tr w:rsidR="00C131EA" w14:paraId="10376639" w14:textId="77777777" w:rsidTr="4BE04DEC">
        <w:trPr>
          <w:trHeight w:val="388"/>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81D4A" w14:textId="77777777" w:rsidR="00C131EA" w:rsidRDefault="00331F3F" w:rsidP="00DC1CC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Geographical Scope </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89B37" w14:textId="77777777" w:rsidR="00C131EA" w:rsidRDefault="00331F3F" w:rsidP="00DC1CC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All interventions should be focused on activity within the North of Tyne area.</w:t>
            </w:r>
          </w:p>
        </w:tc>
      </w:tr>
      <w:tr w:rsidR="00C131EA" w14:paraId="6C49CC14" w14:textId="77777777" w:rsidTr="4BE04DEC">
        <w:trPr>
          <w:trHeight w:val="388"/>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958FF" w14:textId="77777777" w:rsidR="00C131EA" w:rsidRDefault="00331F3F" w:rsidP="00DC1CC6">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Deadlines </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802A1" w14:textId="77777777" w:rsidR="00C131EA" w:rsidRDefault="00331F3F" w:rsidP="00DC1CC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For this specific call, applications will be assessed following closure of the call. Applications received after the published call close date will not be considered. </w:t>
            </w:r>
          </w:p>
        </w:tc>
      </w:tr>
      <w:tr w:rsidR="00C131EA" w14:paraId="2F3D9164" w14:textId="77777777" w:rsidTr="4BE04DEC">
        <w:trPr>
          <w:trHeight w:val="388"/>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70330" w14:textId="77777777" w:rsidR="00C131EA" w:rsidRDefault="00331F3F" w:rsidP="00DC1CC6">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Application selection </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2463F" w14:textId="77777777" w:rsidR="00C131EA" w:rsidRDefault="00331F3F" w:rsidP="00DC1CC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All applications will be scored in line with the NTCA assessment criteria included below</w:t>
            </w:r>
          </w:p>
        </w:tc>
      </w:tr>
      <w:tr w:rsidR="00C131EA" w14:paraId="33F32514" w14:textId="77777777" w:rsidTr="4BE04DEC">
        <w:trPr>
          <w:trHeight w:val="388"/>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F6D23" w14:textId="77777777" w:rsidR="00C131EA" w:rsidRDefault="00331F3F" w:rsidP="00DC1CC6">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Eligible match funding </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AD751" w14:textId="77777777" w:rsidR="00C131EA" w:rsidRDefault="00331F3F" w:rsidP="00DC1CC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Proposals which are able to leverage match funding will be scored more favourably through the assessment process. Applicants are asked to indicate if they are able to leverage private funding through co-financing options alongside NTCA’s £9 million investment.</w:t>
            </w:r>
          </w:p>
        </w:tc>
      </w:tr>
      <w:tr w:rsidR="00C131EA" w14:paraId="28E7679A" w14:textId="77777777" w:rsidTr="4BE04DEC">
        <w:trPr>
          <w:trHeight w:val="7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24443" w14:textId="77777777" w:rsidR="00C131EA" w:rsidRDefault="00331F3F" w:rsidP="00DC1CC6">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Procurement </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18992" w14:textId="77777777" w:rsidR="00C131EA" w:rsidRDefault="00331F3F" w:rsidP="00DC1CC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All procurement must be undertaken in line with EU regulations. </w:t>
            </w:r>
          </w:p>
        </w:tc>
      </w:tr>
      <w:tr w:rsidR="00C131EA" w14:paraId="4478014C" w14:textId="77777777" w:rsidTr="4BE04DEC">
        <w:trPr>
          <w:trHeight w:val="7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E5650" w14:textId="77777777" w:rsidR="00C131EA" w:rsidRDefault="00331F3F" w:rsidP="00DC1CC6">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Eligible Applicants</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20CF6" w14:textId="77777777" w:rsidR="00C131EA" w:rsidRDefault="00331F3F" w:rsidP="00DC1CC6">
            <w:pPr>
              <w:jc w:val="both"/>
              <w:rPr>
                <w:rFonts w:ascii="Arial" w:eastAsia="Arial" w:hAnsi="Arial" w:cs="Arial"/>
                <w:sz w:val="22"/>
                <w:szCs w:val="22"/>
              </w:rPr>
            </w:pPr>
            <w:r>
              <w:rPr>
                <w:rFonts w:ascii="Arial" w:eastAsia="Arial" w:hAnsi="Arial" w:cs="Arial"/>
                <w:sz w:val="22"/>
                <w:szCs w:val="22"/>
              </w:rPr>
              <w:t xml:space="preserve">Applicants must be legally constituted at the point of signing a Funding Agreement and be able to enter into a legally binding Funding Agreement. The Applicant will be the organisation that, if the application is successful, enters into a contract with the NTCA and therefore carries the liability for ensuring that the terms of the Funding Agreement are met by them and to all delivery partners. Applications are encouraged from consortia or other similar types of partnership arrangements; however a lead organisation must be selected to become the Applicant. It is this organisation that carries the responsibility and liability for carrying out a compliant project. </w:t>
            </w:r>
          </w:p>
        </w:tc>
      </w:tr>
    </w:tbl>
    <w:p w14:paraId="32368F37" w14:textId="6DDC3FC0" w:rsidR="00BF38F9" w:rsidRDefault="00BF38F9" w:rsidP="00DC1CC6">
      <w:pPr>
        <w:jc w:val="both"/>
        <w:rPr>
          <w:rFonts w:ascii="Arial" w:eastAsia="Arial" w:hAnsi="Arial" w:cs="Arial"/>
          <w:sz w:val="22"/>
          <w:szCs w:val="22"/>
        </w:rPr>
      </w:pPr>
    </w:p>
    <w:p w14:paraId="3586AD86" w14:textId="0ABBC26D" w:rsidR="004237F3" w:rsidRDefault="004237F3" w:rsidP="00DC1CC6">
      <w:pPr>
        <w:jc w:val="both"/>
        <w:rPr>
          <w:rFonts w:ascii="Arial" w:eastAsia="Arial" w:hAnsi="Arial" w:cs="Arial"/>
          <w:sz w:val="22"/>
          <w:szCs w:val="22"/>
        </w:rPr>
      </w:pPr>
    </w:p>
    <w:p w14:paraId="601E93C8" w14:textId="101844BD" w:rsidR="004237F3" w:rsidRDefault="004237F3" w:rsidP="00DC1CC6">
      <w:pPr>
        <w:jc w:val="both"/>
        <w:rPr>
          <w:rFonts w:ascii="Arial" w:eastAsia="Arial" w:hAnsi="Arial" w:cs="Arial"/>
          <w:sz w:val="22"/>
          <w:szCs w:val="22"/>
        </w:rPr>
      </w:pPr>
    </w:p>
    <w:p w14:paraId="0E11BB6A" w14:textId="594F8030" w:rsidR="004237F3" w:rsidRDefault="004237F3" w:rsidP="00DC1CC6">
      <w:pPr>
        <w:jc w:val="both"/>
        <w:rPr>
          <w:rFonts w:ascii="Arial" w:eastAsia="Arial" w:hAnsi="Arial" w:cs="Arial"/>
          <w:sz w:val="22"/>
          <w:szCs w:val="22"/>
        </w:rPr>
      </w:pPr>
    </w:p>
    <w:p w14:paraId="59F5917F" w14:textId="3CDB89BB" w:rsidR="004237F3" w:rsidRDefault="004237F3" w:rsidP="00DC1CC6">
      <w:pPr>
        <w:jc w:val="both"/>
        <w:rPr>
          <w:rFonts w:ascii="Arial" w:eastAsia="Arial" w:hAnsi="Arial" w:cs="Arial"/>
          <w:sz w:val="22"/>
          <w:szCs w:val="22"/>
        </w:rPr>
      </w:pPr>
    </w:p>
    <w:p w14:paraId="4D3FA78B" w14:textId="1E0B6CD2" w:rsidR="004237F3" w:rsidRDefault="004237F3" w:rsidP="00DC1CC6">
      <w:pPr>
        <w:jc w:val="both"/>
        <w:rPr>
          <w:rFonts w:ascii="Arial" w:eastAsia="Arial" w:hAnsi="Arial" w:cs="Arial"/>
          <w:sz w:val="22"/>
          <w:szCs w:val="22"/>
        </w:rPr>
      </w:pPr>
    </w:p>
    <w:p w14:paraId="375A684A" w14:textId="225FBAF9" w:rsidR="004237F3" w:rsidRDefault="004237F3" w:rsidP="00DC1CC6">
      <w:pPr>
        <w:jc w:val="both"/>
        <w:rPr>
          <w:rFonts w:ascii="Arial" w:eastAsia="Arial" w:hAnsi="Arial" w:cs="Arial"/>
          <w:sz w:val="22"/>
          <w:szCs w:val="22"/>
        </w:rPr>
      </w:pPr>
    </w:p>
    <w:p w14:paraId="4D949F00" w14:textId="59A493D9" w:rsidR="004237F3" w:rsidRDefault="004237F3" w:rsidP="00DC1CC6">
      <w:pPr>
        <w:jc w:val="both"/>
        <w:rPr>
          <w:rFonts w:ascii="Arial" w:eastAsia="Arial" w:hAnsi="Arial" w:cs="Arial"/>
          <w:sz w:val="22"/>
          <w:szCs w:val="22"/>
        </w:rPr>
      </w:pPr>
    </w:p>
    <w:p w14:paraId="5A2E326E" w14:textId="64653508" w:rsidR="00C131EA" w:rsidRDefault="00331F3F" w:rsidP="00DC1CC6">
      <w:pPr>
        <w:numPr>
          <w:ilvl w:val="0"/>
          <w:numId w:val="15"/>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lastRenderedPageBreak/>
        <w:t>Assessment criteria</w:t>
      </w:r>
    </w:p>
    <w:p w14:paraId="19B064D3" w14:textId="77777777" w:rsidR="008148AA" w:rsidRDefault="008148AA" w:rsidP="00DC1CC6">
      <w:pPr>
        <w:pBdr>
          <w:top w:val="nil"/>
          <w:left w:val="nil"/>
          <w:bottom w:val="nil"/>
          <w:right w:val="nil"/>
          <w:between w:val="nil"/>
        </w:pBdr>
        <w:ind w:left="720"/>
        <w:jc w:val="both"/>
        <w:rPr>
          <w:rFonts w:ascii="Arial" w:eastAsia="Arial" w:hAnsi="Arial" w:cs="Arial"/>
          <w:b/>
          <w:color w:val="000000"/>
          <w:sz w:val="22"/>
          <w:szCs w:val="22"/>
        </w:rPr>
      </w:pPr>
    </w:p>
    <w:p w14:paraId="39519382" w14:textId="77777777" w:rsidR="00C131EA" w:rsidRDefault="00331F3F" w:rsidP="00DC1CC6">
      <w:pPr>
        <w:jc w:val="both"/>
        <w:rPr>
          <w:rFonts w:ascii="Arial" w:eastAsia="Arial" w:hAnsi="Arial" w:cs="Arial"/>
          <w:sz w:val="22"/>
          <w:szCs w:val="22"/>
        </w:rPr>
      </w:pPr>
      <w:r>
        <w:rPr>
          <w:rFonts w:ascii="Arial" w:eastAsia="Arial" w:hAnsi="Arial" w:cs="Arial"/>
          <w:sz w:val="22"/>
          <w:szCs w:val="22"/>
        </w:rPr>
        <w:t xml:space="preserve">Project proposals will be scored specifically against the following criteria </w:t>
      </w:r>
    </w:p>
    <w:p w14:paraId="0994AB23" w14:textId="77777777" w:rsidR="00C131EA" w:rsidRDefault="00C131EA" w:rsidP="00DC1CC6">
      <w:pPr>
        <w:jc w:val="both"/>
        <w:rPr>
          <w:rFonts w:ascii="Arial" w:eastAsia="Arial" w:hAnsi="Arial" w:cs="Arial"/>
          <w:sz w:val="22"/>
          <w:szCs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528"/>
        <w:gridCol w:w="1701"/>
      </w:tblGrid>
      <w:tr w:rsidR="00C131EA" w14:paraId="130E8E56" w14:textId="77777777">
        <w:tc>
          <w:tcPr>
            <w:tcW w:w="1980" w:type="dxa"/>
          </w:tcPr>
          <w:p w14:paraId="27760714" w14:textId="77777777" w:rsidR="00C131EA" w:rsidRDefault="00331F3F" w:rsidP="00DC1CC6">
            <w:pPr>
              <w:jc w:val="both"/>
              <w:rPr>
                <w:rFonts w:ascii="Arial" w:eastAsia="Arial" w:hAnsi="Arial" w:cs="Arial"/>
                <w:b/>
                <w:sz w:val="22"/>
                <w:szCs w:val="22"/>
              </w:rPr>
            </w:pPr>
            <w:r>
              <w:rPr>
                <w:rFonts w:ascii="Arial" w:eastAsia="Arial" w:hAnsi="Arial" w:cs="Arial"/>
                <w:b/>
                <w:sz w:val="22"/>
                <w:szCs w:val="22"/>
              </w:rPr>
              <w:t>Criteria</w:t>
            </w:r>
          </w:p>
        </w:tc>
        <w:tc>
          <w:tcPr>
            <w:tcW w:w="5528" w:type="dxa"/>
          </w:tcPr>
          <w:p w14:paraId="75FA47EE" w14:textId="77777777" w:rsidR="00C131EA" w:rsidRDefault="00331F3F" w:rsidP="00DC1CC6">
            <w:pPr>
              <w:ind w:firstLine="720"/>
              <w:jc w:val="both"/>
              <w:rPr>
                <w:rFonts w:ascii="Arial" w:eastAsia="Arial" w:hAnsi="Arial" w:cs="Arial"/>
                <w:b/>
                <w:sz w:val="22"/>
                <w:szCs w:val="22"/>
              </w:rPr>
            </w:pPr>
            <w:r>
              <w:rPr>
                <w:rFonts w:ascii="Arial" w:eastAsia="Arial" w:hAnsi="Arial" w:cs="Arial"/>
                <w:b/>
                <w:sz w:val="22"/>
                <w:szCs w:val="22"/>
              </w:rPr>
              <w:t>Consideration</w:t>
            </w:r>
          </w:p>
        </w:tc>
        <w:tc>
          <w:tcPr>
            <w:tcW w:w="1701" w:type="dxa"/>
          </w:tcPr>
          <w:p w14:paraId="1DA6621C" w14:textId="77777777" w:rsidR="00C131EA" w:rsidRDefault="00331F3F" w:rsidP="00DC1CC6">
            <w:pPr>
              <w:jc w:val="both"/>
              <w:rPr>
                <w:rFonts w:ascii="Arial" w:eastAsia="Arial" w:hAnsi="Arial" w:cs="Arial"/>
                <w:b/>
                <w:sz w:val="22"/>
                <w:szCs w:val="22"/>
              </w:rPr>
            </w:pPr>
            <w:r>
              <w:rPr>
                <w:rFonts w:ascii="Arial" w:eastAsia="Arial" w:hAnsi="Arial" w:cs="Arial"/>
                <w:b/>
                <w:sz w:val="22"/>
                <w:szCs w:val="22"/>
              </w:rPr>
              <w:t>Available marks</w:t>
            </w:r>
          </w:p>
        </w:tc>
      </w:tr>
      <w:tr w:rsidR="00C131EA" w14:paraId="028ED7B7" w14:textId="77777777">
        <w:trPr>
          <w:trHeight w:val="1457"/>
        </w:trPr>
        <w:tc>
          <w:tcPr>
            <w:tcW w:w="1980" w:type="dxa"/>
          </w:tcPr>
          <w:p w14:paraId="30773BA1" w14:textId="77777777" w:rsidR="00C131EA" w:rsidRDefault="00331F3F" w:rsidP="00DC1CC6">
            <w:pPr>
              <w:jc w:val="both"/>
              <w:rPr>
                <w:rFonts w:ascii="Arial" w:eastAsia="Arial" w:hAnsi="Arial" w:cs="Arial"/>
                <w:b/>
                <w:sz w:val="22"/>
                <w:szCs w:val="22"/>
              </w:rPr>
            </w:pPr>
            <w:r>
              <w:rPr>
                <w:rFonts w:ascii="Arial" w:eastAsia="Arial" w:hAnsi="Arial" w:cs="Arial"/>
                <w:b/>
                <w:sz w:val="22"/>
                <w:szCs w:val="22"/>
              </w:rPr>
              <w:t>Strategic Fit</w:t>
            </w:r>
          </w:p>
        </w:tc>
        <w:tc>
          <w:tcPr>
            <w:tcW w:w="5528" w:type="dxa"/>
          </w:tcPr>
          <w:p w14:paraId="0D6ED197" w14:textId="0B5EFFEC" w:rsidR="00C131EA" w:rsidRDefault="00331F3F" w:rsidP="00DC1CC6">
            <w:pPr>
              <w:jc w:val="both"/>
              <w:rPr>
                <w:rFonts w:ascii="Arial" w:eastAsia="Arial" w:hAnsi="Arial" w:cs="Arial"/>
                <w:sz w:val="22"/>
                <w:szCs w:val="22"/>
              </w:rPr>
            </w:pPr>
            <w:r>
              <w:rPr>
                <w:rFonts w:ascii="Arial" w:eastAsia="Arial" w:hAnsi="Arial" w:cs="Arial"/>
                <w:sz w:val="22"/>
                <w:szCs w:val="22"/>
              </w:rPr>
              <w:t>Demonstration that the proposed fits with NTCA Economic Vision, Inclusive Economy Statement</w:t>
            </w:r>
            <w:r w:rsidR="00AA714F">
              <w:rPr>
                <w:rFonts w:ascii="Arial" w:eastAsia="Arial" w:hAnsi="Arial" w:cs="Arial"/>
                <w:sz w:val="22"/>
                <w:szCs w:val="22"/>
              </w:rPr>
              <w:t>, Good Work Pledge</w:t>
            </w:r>
            <w:r>
              <w:rPr>
                <w:rFonts w:ascii="Arial" w:eastAsia="Arial" w:hAnsi="Arial" w:cs="Arial"/>
                <w:sz w:val="22"/>
                <w:szCs w:val="22"/>
              </w:rPr>
              <w:t xml:space="preserve"> and call focus area. </w:t>
            </w:r>
          </w:p>
          <w:p w14:paraId="66459243" w14:textId="77777777" w:rsidR="00DA520A" w:rsidRDefault="00DA520A" w:rsidP="00DC1CC6">
            <w:pPr>
              <w:jc w:val="both"/>
              <w:rPr>
                <w:rFonts w:ascii="Arial" w:eastAsia="Arial" w:hAnsi="Arial" w:cs="Arial"/>
                <w:sz w:val="22"/>
                <w:szCs w:val="22"/>
              </w:rPr>
            </w:pPr>
          </w:p>
          <w:p w14:paraId="6F6B338B" w14:textId="77777777" w:rsidR="00C131EA" w:rsidRDefault="00331F3F" w:rsidP="00DC1CC6">
            <w:pPr>
              <w:jc w:val="both"/>
              <w:rPr>
                <w:rFonts w:ascii="Arial" w:eastAsia="Arial" w:hAnsi="Arial" w:cs="Arial"/>
                <w:sz w:val="22"/>
                <w:szCs w:val="22"/>
              </w:rPr>
            </w:pPr>
            <w:r>
              <w:rPr>
                <w:rFonts w:ascii="Arial" w:eastAsia="Arial" w:hAnsi="Arial" w:cs="Arial"/>
                <w:sz w:val="22"/>
                <w:szCs w:val="22"/>
              </w:rPr>
              <w:t>The proposal is effective and will lead to a step change in low carbon economic growth, including but not limited to infrastructure, innovation and new financial models to scale delivery of decarbonisation projects</w:t>
            </w:r>
          </w:p>
        </w:tc>
        <w:tc>
          <w:tcPr>
            <w:tcW w:w="1701" w:type="dxa"/>
            <w:vMerge w:val="restart"/>
          </w:tcPr>
          <w:p w14:paraId="7EA54358" w14:textId="77777777" w:rsidR="00C131EA" w:rsidRDefault="00C131EA" w:rsidP="00DC1CC6">
            <w:pPr>
              <w:jc w:val="both"/>
              <w:rPr>
                <w:rFonts w:ascii="Arial" w:eastAsia="Arial" w:hAnsi="Arial" w:cs="Arial"/>
                <w:sz w:val="22"/>
                <w:szCs w:val="22"/>
              </w:rPr>
            </w:pPr>
          </w:p>
          <w:p w14:paraId="25157DE2" w14:textId="77777777" w:rsidR="00C131EA" w:rsidRDefault="00C131EA" w:rsidP="00DC1CC6">
            <w:pPr>
              <w:jc w:val="both"/>
              <w:rPr>
                <w:rFonts w:ascii="Arial" w:eastAsia="Arial" w:hAnsi="Arial" w:cs="Arial"/>
                <w:sz w:val="22"/>
                <w:szCs w:val="22"/>
              </w:rPr>
            </w:pPr>
          </w:p>
          <w:p w14:paraId="448B04C5" w14:textId="77777777" w:rsidR="00C131EA" w:rsidRDefault="00C131EA" w:rsidP="00DC1CC6">
            <w:pPr>
              <w:jc w:val="both"/>
              <w:rPr>
                <w:rFonts w:ascii="Arial" w:eastAsia="Arial" w:hAnsi="Arial" w:cs="Arial"/>
                <w:sz w:val="22"/>
                <w:szCs w:val="22"/>
              </w:rPr>
            </w:pPr>
          </w:p>
          <w:p w14:paraId="2442BFDA" w14:textId="77777777" w:rsidR="00C131EA" w:rsidRDefault="00C131EA" w:rsidP="00DC1CC6">
            <w:pPr>
              <w:jc w:val="both"/>
              <w:rPr>
                <w:rFonts w:ascii="Arial" w:eastAsia="Arial" w:hAnsi="Arial" w:cs="Arial"/>
                <w:sz w:val="22"/>
                <w:szCs w:val="22"/>
              </w:rPr>
            </w:pPr>
          </w:p>
          <w:p w14:paraId="2FC6D035" w14:textId="77777777" w:rsidR="00C131EA" w:rsidRDefault="00C131EA" w:rsidP="00DC1CC6">
            <w:pPr>
              <w:jc w:val="both"/>
              <w:rPr>
                <w:rFonts w:ascii="Arial" w:eastAsia="Arial" w:hAnsi="Arial" w:cs="Arial"/>
                <w:sz w:val="22"/>
                <w:szCs w:val="22"/>
              </w:rPr>
            </w:pPr>
          </w:p>
          <w:p w14:paraId="792E5C10" w14:textId="77777777" w:rsidR="00C131EA" w:rsidRDefault="00331F3F" w:rsidP="00DC1CC6">
            <w:pPr>
              <w:jc w:val="both"/>
              <w:rPr>
                <w:rFonts w:ascii="Arial" w:eastAsia="Arial" w:hAnsi="Arial" w:cs="Arial"/>
                <w:sz w:val="22"/>
                <w:szCs w:val="22"/>
              </w:rPr>
            </w:pPr>
            <w:r>
              <w:rPr>
                <w:rFonts w:ascii="Arial" w:eastAsia="Arial" w:hAnsi="Arial" w:cs="Arial"/>
                <w:sz w:val="22"/>
                <w:szCs w:val="22"/>
              </w:rPr>
              <w:t>30</w:t>
            </w:r>
          </w:p>
        </w:tc>
      </w:tr>
      <w:tr w:rsidR="00C131EA" w14:paraId="09904789" w14:textId="77777777">
        <w:tc>
          <w:tcPr>
            <w:tcW w:w="1980" w:type="dxa"/>
          </w:tcPr>
          <w:p w14:paraId="3CF62B5F" w14:textId="77777777" w:rsidR="00C131EA" w:rsidRDefault="00331F3F" w:rsidP="00DC1CC6">
            <w:pPr>
              <w:jc w:val="both"/>
              <w:rPr>
                <w:rFonts w:ascii="Arial" w:eastAsia="Arial" w:hAnsi="Arial" w:cs="Arial"/>
                <w:b/>
                <w:sz w:val="22"/>
                <w:szCs w:val="22"/>
              </w:rPr>
            </w:pPr>
            <w:r>
              <w:rPr>
                <w:rFonts w:ascii="Arial" w:eastAsia="Arial" w:hAnsi="Arial" w:cs="Arial"/>
                <w:b/>
                <w:sz w:val="22"/>
                <w:szCs w:val="22"/>
              </w:rPr>
              <w:t>Delivery of desired outcomes</w:t>
            </w:r>
          </w:p>
        </w:tc>
        <w:tc>
          <w:tcPr>
            <w:tcW w:w="5528" w:type="dxa"/>
          </w:tcPr>
          <w:p w14:paraId="4AEAB594" w14:textId="2D6A8EA7" w:rsidR="00C131EA" w:rsidRPr="00A20EC6" w:rsidRDefault="00331F3F" w:rsidP="00DC1CC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Demonstration of clear knowledge</w:t>
            </w:r>
            <w:r w:rsidR="000F7850">
              <w:rPr>
                <w:rFonts w:ascii="Arial" w:eastAsia="Arial" w:hAnsi="Arial" w:cs="Arial"/>
                <w:color w:val="000000"/>
                <w:sz w:val="22"/>
                <w:szCs w:val="22"/>
              </w:rPr>
              <w:t xml:space="preserve"> and/or experience</w:t>
            </w:r>
            <w:r>
              <w:rPr>
                <w:rFonts w:ascii="Arial" w:eastAsia="Arial" w:hAnsi="Arial" w:cs="Arial"/>
                <w:color w:val="000000"/>
                <w:sz w:val="22"/>
                <w:szCs w:val="22"/>
              </w:rPr>
              <w:t xml:space="preserve"> of the UK low </w:t>
            </w:r>
            <w:r w:rsidRPr="00A20EC6">
              <w:rPr>
                <w:rFonts w:ascii="Arial" w:eastAsia="Arial" w:hAnsi="Arial" w:cs="Arial"/>
                <w:color w:val="000000"/>
                <w:sz w:val="22"/>
                <w:szCs w:val="22"/>
              </w:rPr>
              <w:t xml:space="preserve">carbon sector </w:t>
            </w:r>
          </w:p>
          <w:p w14:paraId="2944C5FC" w14:textId="77777777" w:rsidR="00C131EA" w:rsidRPr="00A20EC6" w:rsidRDefault="00C131EA" w:rsidP="00DC1CC6">
            <w:pPr>
              <w:pBdr>
                <w:top w:val="nil"/>
                <w:left w:val="nil"/>
                <w:bottom w:val="nil"/>
                <w:right w:val="nil"/>
                <w:between w:val="nil"/>
              </w:pBdr>
              <w:jc w:val="both"/>
              <w:rPr>
                <w:rFonts w:ascii="Arial" w:eastAsia="Arial" w:hAnsi="Arial" w:cs="Arial"/>
                <w:color w:val="000000"/>
                <w:sz w:val="22"/>
                <w:szCs w:val="22"/>
              </w:rPr>
            </w:pPr>
          </w:p>
          <w:p w14:paraId="4E6C1882" w14:textId="38BBE243" w:rsidR="00C131EA" w:rsidRDefault="00331F3F" w:rsidP="00DC1CC6">
            <w:pPr>
              <w:pBdr>
                <w:top w:val="nil"/>
                <w:left w:val="nil"/>
                <w:bottom w:val="nil"/>
                <w:right w:val="nil"/>
                <w:between w:val="nil"/>
              </w:pBdr>
              <w:jc w:val="both"/>
              <w:rPr>
                <w:rFonts w:ascii="Arial" w:eastAsia="Arial" w:hAnsi="Arial" w:cs="Arial"/>
                <w:color w:val="000000"/>
                <w:sz w:val="22"/>
                <w:szCs w:val="22"/>
              </w:rPr>
            </w:pPr>
            <w:r w:rsidRPr="00A20EC6">
              <w:rPr>
                <w:rFonts w:ascii="Arial" w:eastAsia="Arial" w:hAnsi="Arial" w:cs="Arial"/>
                <w:color w:val="000000"/>
                <w:sz w:val="22"/>
                <w:szCs w:val="22"/>
              </w:rPr>
              <w:t>Demonstration of</w:t>
            </w:r>
            <w:r w:rsidR="00A20EC6" w:rsidRPr="00A20EC6">
              <w:rPr>
                <w:rFonts w:ascii="Arial" w:eastAsia="Arial" w:hAnsi="Arial" w:cs="Arial"/>
                <w:color w:val="000000"/>
                <w:sz w:val="22"/>
                <w:szCs w:val="22"/>
              </w:rPr>
              <w:t xml:space="preserve"> successful experience of managing a</w:t>
            </w:r>
            <w:r w:rsidRPr="00A20EC6">
              <w:rPr>
                <w:rFonts w:ascii="Arial" w:eastAsia="Arial" w:hAnsi="Arial" w:cs="Arial"/>
                <w:color w:val="000000"/>
                <w:sz w:val="22"/>
                <w:szCs w:val="22"/>
              </w:rPr>
              <w:t xml:space="preserve"> fund</w:t>
            </w:r>
            <w:r w:rsidR="00A20EC6" w:rsidRPr="00A20EC6">
              <w:rPr>
                <w:rFonts w:ascii="Arial" w:eastAsia="Arial" w:hAnsi="Arial" w:cs="Arial"/>
                <w:color w:val="000000"/>
                <w:sz w:val="22"/>
                <w:szCs w:val="22"/>
              </w:rPr>
              <w:t xml:space="preserve"> and ability</w:t>
            </w:r>
            <w:r w:rsidR="00A20EC6">
              <w:rPr>
                <w:rFonts w:ascii="Arial" w:eastAsia="Arial" w:hAnsi="Arial" w:cs="Arial"/>
                <w:color w:val="000000"/>
                <w:sz w:val="22"/>
                <w:szCs w:val="22"/>
              </w:rPr>
              <w:t xml:space="preserve"> </w:t>
            </w:r>
            <w:r>
              <w:rPr>
                <w:rFonts w:ascii="Arial" w:eastAsia="Arial" w:hAnsi="Arial" w:cs="Arial"/>
                <w:color w:val="000000"/>
                <w:sz w:val="22"/>
                <w:szCs w:val="22"/>
              </w:rPr>
              <w:t xml:space="preserve">to apply this skill-set to manage </w:t>
            </w:r>
            <w:r w:rsidR="00E60F2B">
              <w:rPr>
                <w:rFonts w:ascii="Arial" w:eastAsia="Arial" w:hAnsi="Arial" w:cs="Arial"/>
                <w:color w:val="000000"/>
                <w:sz w:val="22"/>
                <w:szCs w:val="22"/>
              </w:rPr>
              <w:t>the Green New Deal Fund.</w:t>
            </w:r>
          </w:p>
        </w:tc>
        <w:tc>
          <w:tcPr>
            <w:tcW w:w="1701" w:type="dxa"/>
            <w:vMerge/>
          </w:tcPr>
          <w:p w14:paraId="23F50367" w14:textId="77777777" w:rsidR="00C131EA" w:rsidRDefault="00C131EA" w:rsidP="00DC1CC6">
            <w:pPr>
              <w:widowControl w:val="0"/>
              <w:pBdr>
                <w:top w:val="nil"/>
                <w:left w:val="nil"/>
                <w:bottom w:val="nil"/>
                <w:right w:val="nil"/>
                <w:between w:val="nil"/>
              </w:pBdr>
              <w:spacing w:line="276" w:lineRule="auto"/>
              <w:jc w:val="both"/>
              <w:rPr>
                <w:rFonts w:ascii="Arial" w:eastAsia="Arial" w:hAnsi="Arial" w:cs="Arial"/>
                <w:color w:val="000000"/>
                <w:sz w:val="22"/>
                <w:szCs w:val="22"/>
              </w:rPr>
            </w:pPr>
          </w:p>
        </w:tc>
      </w:tr>
      <w:tr w:rsidR="00C131EA" w14:paraId="0805B506" w14:textId="77777777">
        <w:tc>
          <w:tcPr>
            <w:tcW w:w="1980" w:type="dxa"/>
          </w:tcPr>
          <w:p w14:paraId="7F150053" w14:textId="77777777" w:rsidR="00C131EA" w:rsidRDefault="00331F3F" w:rsidP="00DC1CC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Green New Deal Fund structure and pipeline</w:t>
            </w:r>
          </w:p>
        </w:tc>
        <w:tc>
          <w:tcPr>
            <w:tcW w:w="5528" w:type="dxa"/>
          </w:tcPr>
          <w:p w14:paraId="63BA5AC6" w14:textId="77777777" w:rsidR="00C131EA" w:rsidRDefault="00331F3F" w:rsidP="00DC1CC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 strong rationale for suggested use of grant and repayable finance (as appropriate), and mechanisms to avoid any biases, and to create a diverse portfolio of clients and proposals.</w:t>
            </w:r>
          </w:p>
          <w:p w14:paraId="7F394A0C" w14:textId="77777777" w:rsidR="00C131EA" w:rsidRDefault="00C131EA" w:rsidP="00DC1CC6">
            <w:pPr>
              <w:jc w:val="both"/>
              <w:rPr>
                <w:rFonts w:ascii="Arial" w:eastAsia="Arial" w:hAnsi="Arial" w:cs="Arial"/>
                <w:sz w:val="22"/>
                <w:szCs w:val="22"/>
              </w:rPr>
            </w:pPr>
          </w:p>
        </w:tc>
        <w:tc>
          <w:tcPr>
            <w:tcW w:w="1701" w:type="dxa"/>
          </w:tcPr>
          <w:p w14:paraId="53DAB2AF" w14:textId="77777777" w:rsidR="00C131EA" w:rsidRDefault="00331F3F" w:rsidP="00DC1CC6">
            <w:pPr>
              <w:jc w:val="both"/>
              <w:rPr>
                <w:rFonts w:ascii="Arial" w:eastAsia="Arial" w:hAnsi="Arial" w:cs="Arial"/>
                <w:sz w:val="22"/>
                <w:szCs w:val="22"/>
              </w:rPr>
            </w:pPr>
            <w:r>
              <w:rPr>
                <w:rFonts w:ascii="Arial" w:eastAsia="Arial" w:hAnsi="Arial" w:cs="Arial"/>
                <w:sz w:val="22"/>
                <w:szCs w:val="22"/>
              </w:rPr>
              <w:t>20</w:t>
            </w:r>
          </w:p>
        </w:tc>
      </w:tr>
      <w:tr w:rsidR="00C131EA" w14:paraId="2546964D" w14:textId="77777777">
        <w:tc>
          <w:tcPr>
            <w:tcW w:w="1980" w:type="dxa"/>
          </w:tcPr>
          <w:p w14:paraId="5DFE6BAA" w14:textId="77777777" w:rsidR="00C131EA" w:rsidRDefault="00331F3F" w:rsidP="00DC1CC6">
            <w:pPr>
              <w:jc w:val="both"/>
              <w:rPr>
                <w:rFonts w:ascii="Arial" w:eastAsia="Arial" w:hAnsi="Arial" w:cs="Arial"/>
                <w:b/>
                <w:sz w:val="22"/>
                <w:szCs w:val="22"/>
              </w:rPr>
            </w:pPr>
            <w:r>
              <w:rPr>
                <w:rFonts w:ascii="Arial" w:eastAsia="Arial" w:hAnsi="Arial" w:cs="Arial"/>
                <w:b/>
                <w:sz w:val="22"/>
                <w:szCs w:val="22"/>
              </w:rPr>
              <w:t>Value for money</w:t>
            </w:r>
          </w:p>
        </w:tc>
        <w:tc>
          <w:tcPr>
            <w:tcW w:w="5528" w:type="dxa"/>
          </w:tcPr>
          <w:p w14:paraId="0475335A" w14:textId="77777777" w:rsidR="00C131EA" w:rsidRDefault="00331F3F" w:rsidP="00DC1CC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Explanation of how public and leveraged funds (as appropriate) will be utilised to maximise impact. Clear explanation of costs, income streams and expected outputs, including long term financial sustainability. </w:t>
            </w:r>
          </w:p>
          <w:p w14:paraId="1F3FA7F7" w14:textId="77777777" w:rsidR="00C131EA" w:rsidRDefault="00C131EA" w:rsidP="00DC1CC6">
            <w:pPr>
              <w:pBdr>
                <w:top w:val="nil"/>
                <w:left w:val="nil"/>
                <w:bottom w:val="nil"/>
                <w:right w:val="nil"/>
                <w:between w:val="nil"/>
              </w:pBdr>
              <w:jc w:val="both"/>
              <w:rPr>
                <w:rFonts w:ascii="Arial" w:eastAsia="Arial" w:hAnsi="Arial" w:cs="Arial"/>
                <w:color w:val="000000"/>
                <w:sz w:val="22"/>
                <w:szCs w:val="22"/>
              </w:rPr>
            </w:pPr>
          </w:p>
          <w:p w14:paraId="681B5EE8" w14:textId="1AE3EBD3" w:rsidR="00C131EA" w:rsidRDefault="00331F3F" w:rsidP="00DC1CC6">
            <w:pPr>
              <w:jc w:val="both"/>
              <w:rPr>
                <w:rFonts w:ascii="Arial" w:eastAsia="Arial" w:hAnsi="Arial" w:cs="Arial"/>
                <w:sz w:val="22"/>
                <w:szCs w:val="22"/>
              </w:rPr>
            </w:pPr>
            <w:r>
              <w:rPr>
                <w:rFonts w:ascii="Arial" w:eastAsia="Arial" w:hAnsi="Arial" w:cs="Arial"/>
                <w:sz w:val="22"/>
                <w:szCs w:val="22"/>
              </w:rPr>
              <w:t xml:space="preserve">If recyclable finance is used as an option, clear explanation of how </w:t>
            </w:r>
            <w:r w:rsidR="00900231">
              <w:rPr>
                <w:rFonts w:ascii="Arial" w:eastAsia="Arial" w:hAnsi="Arial" w:cs="Arial"/>
                <w:sz w:val="22"/>
                <w:szCs w:val="22"/>
              </w:rPr>
              <w:t xml:space="preserve">the applicant </w:t>
            </w:r>
            <w:r>
              <w:rPr>
                <w:rFonts w:ascii="Arial" w:eastAsia="Arial" w:hAnsi="Arial" w:cs="Arial"/>
                <w:sz w:val="22"/>
                <w:szCs w:val="22"/>
              </w:rPr>
              <w:t xml:space="preserve">intends to continue to support carbon reduction projects in the North of England. </w:t>
            </w:r>
          </w:p>
        </w:tc>
        <w:tc>
          <w:tcPr>
            <w:tcW w:w="1701" w:type="dxa"/>
          </w:tcPr>
          <w:p w14:paraId="7D14E29D" w14:textId="77777777" w:rsidR="00C131EA" w:rsidRDefault="00331F3F" w:rsidP="00DC1CC6">
            <w:pPr>
              <w:jc w:val="both"/>
              <w:rPr>
                <w:rFonts w:ascii="Arial" w:eastAsia="Arial" w:hAnsi="Arial" w:cs="Arial"/>
                <w:sz w:val="22"/>
                <w:szCs w:val="22"/>
              </w:rPr>
            </w:pPr>
            <w:r>
              <w:rPr>
                <w:rFonts w:ascii="Arial" w:eastAsia="Arial" w:hAnsi="Arial" w:cs="Arial"/>
                <w:sz w:val="22"/>
                <w:szCs w:val="22"/>
              </w:rPr>
              <w:t>20</w:t>
            </w:r>
          </w:p>
        </w:tc>
      </w:tr>
      <w:tr w:rsidR="00C131EA" w14:paraId="4ECB423A" w14:textId="77777777">
        <w:tc>
          <w:tcPr>
            <w:tcW w:w="1980" w:type="dxa"/>
          </w:tcPr>
          <w:p w14:paraId="2000C5CA" w14:textId="77777777" w:rsidR="00C131EA" w:rsidRDefault="00331F3F" w:rsidP="00DC1CC6">
            <w:pPr>
              <w:jc w:val="both"/>
              <w:rPr>
                <w:rFonts w:ascii="Arial" w:eastAsia="Arial" w:hAnsi="Arial" w:cs="Arial"/>
                <w:b/>
                <w:sz w:val="22"/>
                <w:szCs w:val="22"/>
              </w:rPr>
            </w:pPr>
            <w:r>
              <w:rPr>
                <w:rFonts w:ascii="Arial" w:eastAsia="Arial" w:hAnsi="Arial" w:cs="Arial"/>
                <w:b/>
                <w:sz w:val="22"/>
                <w:szCs w:val="22"/>
              </w:rPr>
              <w:t>Deliverability risk</w:t>
            </w:r>
          </w:p>
        </w:tc>
        <w:tc>
          <w:tcPr>
            <w:tcW w:w="5528" w:type="dxa"/>
          </w:tcPr>
          <w:p w14:paraId="58B0AA9A" w14:textId="77777777" w:rsidR="00C131EA" w:rsidRDefault="00331F3F" w:rsidP="00DC1CC6">
            <w:pPr>
              <w:tabs>
                <w:tab w:val="left" w:pos="1740"/>
              </w:tabs>
              <w:jc w:val="both"/>
              <w:rPr>
                <w:rFonts w:ascii="Arial" w:eastAsia="Arial" w:hAnsi="Arial" w:cs="Arial"/>
                <w:sz w:val="22"/>
                <w:szCs w:val="22"/>
              </w:rPr>
            </w:pPr>
            <w:r>
              <w:rPr>
                <w:rFonts w:ascii="Arial" w:eastAsia="Arial" w:hAnsi="Arial" w:cs="Arial"/>
                <w:sz w:val="22"/>
                <w:szCs w:val="22"/>
              </w:rPr>
              <w:t>Robust assessment of deliverability, capacity and risks. Clear explanation of delivery routes, timeframes and key milestones. Strong arrangements for local transparency and accountability, monitoring and evaluation.</w:t>
            </w:r>
          </w:p>
          <w:p w14:paraId="0C8DB615" w14:textId="77777777" w:rsidR="00C131EA" w:rsidRDefault="00C131EA" w:rsidP="00DC1CC6">
            <w:pPr>
              <w:tabs>
                <w:tab w:val="left" w:pos="1740"/>
              </w:tabs>
              <w:jc w:val="both"/>
              <w:rPr>
                <w:rFonts w:ascii="Arial" w:eastAsia="Arial" w:hAnsi="Arial" w:cs="Arial"/>
                <w:sz w:val="22"/>
                <w:szCs w:val="22"/>
              </w:rPr>
            </w:pPr>
          </w:p>
          <w:p w14:paraId="338EF8D4" w14:textId="77777777" w:rsidR="00C131EA" w:rsidRDefault="00331F3F" w:rsidP="00DC1CC6">
            <w:pPr>
              <w:tabs>
                <w:tab w:val="left" w:pos="1740"/>
              </w:tabs>
              <w:jc w:val="both"/>
              <w:rPr>
                <w:rFonts w:ascii="Arial" w:eastAsia="Arial" w:hAnsi="Arial" w:cs="Arial"/>
                <w:sz w:val="22"/>
                <w:szCs w:val="22"/>
              </w:rPr>
            </w:pPr>
            <w:r>
              <w:rPr>
                <w:rFonts w:ascii="Arial" w:eastAsia="Arial" w:hAnsi="Arial" w:cs="Arial"/>
                <w:sz w:val="22"/>
                <w:szCs w:val="22"/>
              </w:rPr>
              <w:t>Ability to deploy the funding within the timeframe set.</w:t>
            </w:r>
          </w:p>
          <w:p w14:paraId="0EECB582" w14:textId="77777777" w:rsidR="00C131EA" w:rsidRDefault="00C131EA" w:rsidP="00DC1CC6">
            <w:pPr>
              <w:tabs>
                <w:tab w:val="left" w:pos="1740"/>
              </w:tabs>
              <w:jc w:val="both"/>
              <w:rPr>
                <w:rFonts w:ascii="Arial" w:eastAsia="Arial" w:hAnsi="Arial" w:cs="Arial"/>
                <w:sz w:val="22"/>
                <w:szCs w:val="22"/>
              </w:rPr>
            </w:pPr>
          </w:p>
          <w:p w14:paraId="29FC038F" w14:textId="77777777" w:rsidR="00C131EA" w:rsidRDefault="00331F3F" w:rsidP="00DC1CC6">
            <w:pPr>
              <w:tabs>
                <w:tab w:val="left" w:pos="1740"/>
              </w:tabs>
              <w:jc w:val="both"/>
              <w:rPr>
                <w:rFonts w:ascii="Arial" w:eastAsia="Arial" w:hAnsi="Arial" w:cs="Arial"/>
                <w:sz w:val="22"/>
                <w:szCs w:val="22"/>
              </w:rPr>
            </w:pPr>
            <w:r>
              <w:rPr>
                <w:rFonts w:ascii="Arial" w:eastAsia="Arial" w:hAnsi="Arial" w:cs="Arial"/>
                <w:sz w:val="22"/>
                <w:szCs w:val="22"/>
              </w:rPr>
              <w:t xml:space="preserve">Evidence of partnership strength and commitment (as appropriate) </w:t>
            </w:r>
          </w:p>
        </w:tc>
        <w:tc>
          <w:tcPr>
            <w:tcW w:w="1701" w:type="dxa"/>
          </w:tcPr>
          <w:p w14:paraId="44215BCB" w14:textId="77777777" w:rsidR="00C131EA" w:rsidRDefault="00331F3F" w:rsidP="00DC1CC6">
            <w:pPr>
              <w:jc w:val="both"/>
              <w:rPr>
                <w:rFonts w:ascii="Arial" w:eastAsia="Arial" w:hAnsi="Arial" w:cs="Arial"/>
                <w:sz w:val="22"/>
                <w:szCs w:val="22"/>
              </w:rPr>
            </w:pPr>
            <w:r>
              <w:rPr>
                <w:rFonts w:ascii="Arial" w:eastAsia="Arial" w:hAnsi="Arial" w:cs="Arial"/>
                <w:sz w:val="22"/>
                <w:szCs w:val="22"/>
              </w:rPr>
              <w:t>30</w:t>
            </w:r>
          </w:p>
        </w:tc>
      </w:tr>
    </w:tbl>
    <w:p w14:paraId="66B88FD9" w14:textId="77777777" w:rsidR="00C131EA" w:rsidRDefault="00C131EA" w:rsidP="00DC1CC6">
      <w:pPr>
        <w:jc w:val="both"/>
        <w:rPr>
          <w:rFonts w:ascii="Arial" w:eastAsia="Arial" w:hAnsi="Arial" w:cs="Arial"/>
          <w:sz w:val="22"/>
          <w:szCs w:val="22"/>
        </w:rPr>
      </w:pPr>
    </w:p>
    <w:p w14:paraId="51735D6F" w14:textId="32E8BD64" w:rsidR="00C131EA" w:rsidRDefault="00331F3F" w:rsidP="00DC1CC6">
      <w:pPr>
        <w:numPr>
          <w:ilvl w:val="0"/>
          <w:numId w:val="15"/>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State Aid </w:t>
      </w:r>
    </w:p>
    <w:p w14:paraId="25B67667" w14:textId="77777777" w:rsidR="003A0128" w:rsidRDefault="003A0128" w:rsidP="00DC1CC6">
      <w:pPr>
        <w:pBdr>
          <w:top w:val="nil"/>
          <w:left w:val="nil"/>
          <w:bottom w:val="nil"/>
          <w:right w:val="nil"/>
          <w:between w:val="nil"/>
        </w:pBdr>
        <w:ind w:left="720"/>
        <w:jc w:val="both"/>
        <w:rPr>
          <w:rFonts w:ascii="Arial" w:eastAsia="Arial" w:hAnsi="Arial" w:cs="Arial"/>
          <w:b/>
          <w:color w:val="000000"/>
          <w:sz w:val="22"/>
          <w:szCs w:val="22"/>
        </w:rPr>
      </w:pPr>
    </w:p>
    <w:p w14:paraId="51D450DA" w14:textId="77777777" w:rsidR="00C131EA" w:rsidRDefault="00331F3F" w:rsidP="00DC1CC6">
      <w:pPr>
        <w:jc w:val="both"/>
        <w:rPr>
          <w:rFonts w:ascii="Arial" w:eastAsia="Arial" w:hAnsi="Arial" w:cs="Arial"/>
          <w:color w:val="000000"/>
          <w:sz w:val="22"/>
          <w:szCs w:val="22"/>
        </w:rPr>
      </w:pPr>
      <w:r>
        <w:rPr>
          <w:rFonts w:ascii="Arial" w:eastAsia="Arial" w:hAnsi="Arial" w:cs="Arial"/>
          <w:sz w:val="22"/>
          <w:szCs w:val="22"/>
        </w:rPr>
        <w:t xml:space="preserve">There is an obligation on the selected intermediary to comply with the State Aid rules in relation to all forms of grant or repayable finance it makes - it will be for the intermediary (in conjunction with the end recipient) to satisfy itself that the loan is State Aid compliant and that any necessary administrative requirements are complied with. </w:t>
      </w:r>
      <w:r>
        <w:rPr>
          <w:rFonts w:ascii="Arial" w:eastAsia="Arial" w:hAnsi="Arial" w:cs="Arial"/>
          <w:color w:val="000000"/>
          <w:sz w:val="22"/>
          <w:szCs w:val="22"/>
        </w:rPr>
        <w:t xml:space="preserve">Applicants must consider and inform NTCA how state aid rules will be applied to any successful financial award. </w:t>
      </w:r>
    </w:p>
    <w:p w14:paraId="592E99C1" w14:textId="77777777" w:rsidR="00C131EA" w:rsidRDefault="00C131EA" w:rsidP="00DC1CC6">
      <w:pPr>
        <w:jc w:val="both"/>
        <w:rPr>
          <w:rFonts w:ascii="Arial" w:eastAsia="Arial" w:hAnsi="Arial" w:cs="Arial"/>
          <w:sz w:val="22"/>
          <w:szCs w:val="22"/>
        </w:rPr>
      </w:pPr>
    </w:p>
    <w:p w14:paraId="6BCD63CB" w14:textId="77777777" w:rsidR="00C131EA" w:rsidRDefault="00331F3F" w:rsidP="00DC1CC6">
      <w:pPr>
        <w:jc w:val="both"/>
        <w:rPr>
          <w:rFonts w:ascii="Arial" w:eastAsia="Arial" w:hAnsi="Arial" w:cs="Arial"/>
          <w:color w:val="000000"/>
          <w:sz w:val="22"/>
          <w:szCs w:val="22"/>
        </w:rPr>
      </w:pPr>
      <w:r>
        <w:rPr>
          <w:rFonts w:ascii="Arial" w:eastAsia="Arial" w:hAnsi="Arial" w:cs="Arial"/>
          <w:color w:val="000000"/>
          <w:sz w:val="22"/>
          <w:szCs w:val="22"/>
        </w:rPr>
        <w:lastRenderedPageBreak/>
        <w:t>In compliance with Article 9 and Article11 of GBER all awards over €500,000 will be posted on our website and reported to the Commission where required. All awards will be monitored for continued compliance with State Aid.</w:t>
      </w:r>
    </w:p>
    <w:p w14:paraId="4C879A4B" w14:textId="77777777" w:rsidR="00C131EA" w:rsidRDefault="00C131EA" w:rsidP="00DC1CC6">
      <w:pPr>
        <w:jc w:val="both"/>
        <w:rPr>
          <w:rFonts w:ascii="Arial" w:eastAsia="Arial" w:hAnsi="Arial" w:cs="Arial"/>
          <w:sz w:val="22"/>
          <w:szCs w:val="22"/>
        </w:rPr>
      </w:pPr>
    </w:p>
    <w:p w14:paraId="09370172" w14:textId="77777777" w:rsidR="00C131EA" w:rsidRDefault="00331F3F" w:rsidP="00DC1CC6">
      <w:pPr>
        <w:numPr>
          <w:ilvl w:val="0"/>
          <w:numId w:val="15"/>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Application process</w:t>
      </w:r>
    </w:p>
    <w:p w14:paraId="1E3F2FDC" w14:textId="77777777" w:rsidR="00C131EA" w:rsidRDefault="00C131EA" w:rsidP="00DC1CC6">
      <w:pPr>
        <w:pBdr>
          <w:top w:val="nil"/>
          <w:left w:val="nil"/>
          <w:bottom w:val="nil"/>
          <w:right w:val="nil"/>
          <w:between w:val="nil"/>
        </w:pBdr>
        <w:ind w:left="720"/>
        <w:jc w:val="both"/>
        <w:rPr>
          <w:rFonts w:ascii="Arial" w:eastAsia="Arial" w:hAnsi="Arial" w:cs="Arial"/>
          <w:b/>
          <w:color w:val="000000"/>
          <w:sz w:val="22"/>
          <w:szCs w:val="22"/>
        </w:rPr>
      </w:pPr>
    </w:p>
    <w:p w14:paraId="791BBC4C" w14:textId="4818586A" w:rsidR="00C131EA" w:rsidRDefault="00331F3F" w:rsidP="00DC1CC6">
      <w:pPr>
        <w:jc w:val="both"/>
        <w:rPr>
          <w:rFonts w:ascii="Arial" w:eastAsia="Arial" w:hAnsi="Arial" w:cs="Arial"/>
          <w:color w:val="000000"/>
          <w:sz w:val="22"/>
          <w:szCs w:val="22"/>
        </w:rPr>
      </w:pPr>
      <w:r>
        <w:rPr>
          <w:rFonts w:ascii="Arial" w:eastAsia="Arial" w:hAnsi="Arial" w:cs="Arial"/>
          <w:color w:val="000000"/>
          <w:sz w:val="22"/>
          <w:szCs w:val="22"/>
        </w:rPr>
        <w:t>Intermediaries are invited to submit one proposal to manage the total £9 million Green New Deal Fund, either independently or in conjunction with one or more suitable partner organisation(s).  We welcome consortium or partnership approaches that support the delivery of the full scope of the fund.  The decision to award the £9</w:t>
      </w:r>
      <w:r w:rsidR="00B0192B">
        <w:rPr>
          <w:rFonts w:ascii="Arial" w:eastAsia="Arial" w:hAnsi="Arial" w:cs="Arial"/>
          <w:color w:val="000000"/>
          <w:sz w:val="22"/>
          <w:szCs w:val="22"/>
        </w:rPr>
        <w:t>m</w:t>
      </w:r>
      <w:r>
        <w:rPr>
          <w:rFonts w:ascii="Arial" w:eastAsia="Arial" w:hAnsi="Arial" w:cs="Arial"/>
          <w:color w:val="000000"/>
          <w:sz w:val="22"/>
          <w:szCs w:val="22"/>
        </w:rPr>
        <w:t xml:space="preserve"> Green New Deal Fund to an intermediary will be made by NTCA. </w:t>
      </w:r>
    </w:p>
    <w:p w14:paraId="3813A459" w14:textId="77777777" w:rsidR="00C131EA" w:rsidRDefault="00C131EA" w:rsidP="00DC1CC6">
      <w:pPr>
        <w:jc w:val="both"/>
        <w:rPr>
          <w:rFonts w:ascii="Arial" w:eastAsia="Arial" w:hAnsi="Arial" w:cs="Arial"/>
          <w:color w:val="000000"/>
          <w:sz w:val="22"/>
          <w:szCs w:val="22"/>
        </w:rPr>
      </w:pPr>
    </w:p>
    <w:p w14:paraId="6494C42B" w14:textId="77777777" w:rsidR="00C131EA" w:rsidRDefault="00331F3F" w:rsidP="00DC1CC6">
      <w:pPr>
        <w:jc w:val="both"/>
        <w:rPr>
          <w:rFonts w:ascii="Arial" w:eastAsia="Arial" w:hAnsi="Arial" w:cs="Arial"/>
          <w:color w:val="000000"/>
          <w:sz w:val="22"/>
          <w:szCs w:val="22"/>
        </w:rPr>
      </w:pPr>
      <w:r>
        <w:rPr>
          <w:rFonts w:ascii="Arial" w:eastAsia="Arial" w:hAnsi="Arial" w:cs="Arial"/>
          <w:color w:val="000000"/>
          <w:sz w:val="22"/>
          <w:szCs w:val="22"/>
        </w:rPr>
        <w:t xml:space="preserve">Please submit a full application. Alongside it we would expect further </w:t>
      </w:r>
      <w:r>
        <w:rPr>
          <w:rFonts w:ascii="Arial" w:eastAsia="Arial" w:hAnsi="Arial" w:cs="Arial"/>
          <w:b/>
          <w:color w:val="000000"/>
          <w:sz w:val="22"/>
          <w:szCs w:val="22"/>
        </w:rPr>
        <w:t>complementary detail on</w:t>
      </w:r>
      <w:r>
        <w:rPr>
          <w:rFonts w:ascii="Arial" w:eastAsia="Arial" w:hAnsi="Arial" w:cs="Arial"/>
          <w:color w:val="000000"/>
          <w:sz w:val="22"/>
          <w:szCs w:val="22"/>
        </w:rPr>
        <w:t xml:space="preserve">: </w:t>
      </w:r>
    </w:p>
    <w:p w14:paraId="3A369DA8" w14:textId="77777777" w:rsidR="00C131EA" w:rsidRDefault="00331F3F" w:rsidP="00DC1CC6">
      <w:pPr>
        <w:numPr>
          <w:ilvl w:val="0"/>
          <w:numId w:val="8"/>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description of your organisation, its structure and biography of key team members. </w:t>
      </w:r>
    </w:p>
    <w:p w14:paraId="5C4B0F6B" w14:textId="77777777" w:rsidR="00C131EA" w:rsidRDefault="00331F3F" w:rsidP="00DC1CC6">
      <w:pPr>
        <w:numPr>
          <w:ilvl w:val="0"/>
          <w:numId w:val="8"/>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the organisation’s knowledge of the climate change and energy landscape across the North of England (this may also be demonstrated through a partnership with one or more external organisations and an illustration of their knowledge). </w:t>
      </w:r>
    </w:p>
    <w:p w14:paraId="469B7076" w14:textId="0A1EC82C" w:rsidR="00C131EA" w:rsidRDefault="00DC04F9" w:rsidP="00DC1CC6">
      <w:pPr>
        <w:numPr>
          <w:ilvl w:val="0"/>
          <w:numId w:val="8"/>
        </w:numPr>
        <w:pBdr>
          <w:top w:val="nil"/>
          <w:left w:val="nil"/>
          <w:bottom w:val="nil"/>
          <w:right w:val="nil"/>
          <w:between w:val="nil"/>
        </w:pBdr>
        <w:jc w:val="both"/>
        <w:rPr>
          <w:color w:val="000000"/>
          <w:sz w:val="22"/>
          <w:szCs w:val="22"/>
        </w:rPr>
      </w:pPr>
      <w:r>
        <w:rPr>
          <w:rFonts w:ascii="Arial" w:eastAsia="Arial" w:hAnsi="Arial" w:cs="Arial"/>
          <w:color w:val="000000"/>
          <w:sz w:val="22"/>
          <w:szCs w:val="22"/>
        </w:rPr>
        <w:t>t</w:t>
      </w:r>
      <w:r w:rsidR="00331F3F">
        <w:rPr>
          <w:rFonts w:ascii="Arial" w:eastAsia="Arial" w:hAnsi="Arial" w:cs="Arial"/>
          <w:color w:val="000000"/>
          <w:sz w:val="22"/>
          <w:szCs w:val="22"/>
        </w:rPr>
        <w:t xml:space="preserve">he organisation’s knowledge of national clean growth </w:t>
      </w:r>
      <w:r w:rsidR="0047651C">
        <w:rPr>
          <w:rFonts w:ascii="Arial" w:eastAsia="Arial" w:hAnsi="Arial" w:cs="Arial"/>
          <w:color w:val="000000"/>
          <w:sz w:val="22"/>
          <w:szCs w:val="22"/>
        </w:rPr>
        <w:t>policy and</w:t>
      </w:r>
      <w:r w:rsidR="00331F3F">
        <w:rPr>
          <w:rFonts w:ascii="Arial" w:eastAsia="Arial" w:hAnsi="Arial" w:cs="Arial"/>
          <w:color w:val="000000"/>
          <w:sz w:val="22"/>
          <w:szCs w:val="22"/>
        </w:rPr>
        <w:t xml:space="preserve"> understanding of how investment and funds in this space can drive economic development.</w:t>
      </w:r>
    </w:p>
    <w:p w14:paraId="54362A9E" w14:textId="59F7B37A" w:rsidR="00C131EA" w:rsidRDefault="00331F3F" w:rsidP="00DC1CC6">
      <w:pPr>
        <w:numPr>
          <w:ilvl w:val="0"/>
          <w:numId w:val="8"/>
        </w:numPr>
        <w:pBdr>
          <w:top w:val="nil"/>
          <w:left w:val="nil"/>
          <w:bottom w:val="nil"/>
          <w:right w:val="nil"/>
          <w:between w:val="nil"/>
        </w:pBdr>
        <w:jc w:val="both"/>
        <w:rPr>
          <w:color w:val="000000"/>
          <w:sz w:val="22"/>
          <w:szCs w:val="22"/>
        </w:rPr>
      </w:pPr>
      <w:r w:rsidRPr="4BE04DEC">
        <w:rPr>
          <w:rFonts w:ascii="Arial" w:eastAsia="Arial" w:hAnsi="Arial" w:cs="Arial"/>
          <w:color w:val="000000" w:themeColor="text1"/>
          <w:sz w:val="22"/>
          <w:szCs w:val="22"/>
        </w:rPr>
        <w:t>relevant performance information and relevant examples of past performance and impact</w:t>
      </w:r>
      <w:r w:rsidR="0020500D">
        <w:rPr>
          <w:rFonts w:ascii="Arial" w:eastAsia="Arial" w:hAnsi="Arial" w:cs="Arial"/>
          <w:color w:val="000000" w:themeColor="text1"/>
          <w:sz w:val="22"/>
          <w:szCs w:val="22"/>
        </w:rPr>
        <w:t xml:space="preserve"> including specific experience of fund management</w:t>
      </w:r>
      <w:r w:rsidRPr="4BE04DEC">
        <w:rPr>
          <w:rFonts w:ascii="Arial" w:eastAsia="Arial" w:hAnsi="Arial" w:cs="Arial"/>
          <w:color w:val="000000" w:themeColor="text1"/>
          <w:sz w:val="22"/>
          <w:szCs w:val="22"/>
        </w:rPr>
        <w:t xml:space="preserve">. </w:t>
      </w:r>
    </w:p>
    <w:p w14:paraId="3D0DE1BD" w14:textId="566F23FA" w:rsidR="00C131EA" w:rsidRDefault="00331F3F" w:rsidP="00DC1CC6">
      <w:pPr>
        <w:numPr>
          <w:ilvl w:val="0"/>
          <w:numId w:val="8"/>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the indicative composition of the </w:t>
      </w:r>
      <w:r w:rsidR="000F7850">
        <w:rPr>
          <w:rFonts w:ascii="Arial" w:eastAsia="Arial" w:hAnsi="Arial" w:cs="Arial"/>
          <w:color w:val="000000"/>
          <w:sz w:val="22"/>
          <w:szCs w:val="22"/>
        </w:rPr>
        <w:t>Green New Deal Fund Panel</w:t>
      </w:r>
      <w:r>
        <w:rPr>
          <w:rFonts w:ascii="Arial" w:eastAsia="Arial" w:hAnsi="Arial" w:cs="Arial"/>
          <w:color w:val="000000"/>
          <w:sz w:val="22"/>
          <w:szCs w:val="22"/>
        </w:rPr>
        <w:t xml:space="preserve"> </w:t>
      </w:r>
    </w:p>
    <w:p w14:paraId="5899F08B" w14:textId="77777777" w:rsidR="00C131EA" w:rsidRDefault="00331F3F" w:rsidP="00DC1CC6">
      <w:pPr>
        <w:numPr>
          <w:ilvl w:val="0"/>
          <w:numId w:val="8"/>
        </w:numPr>
        <w:pBdr>
          <w:top w:val="nil"/>
          <w:left w:val="nil"/>
          <w:bottom w:val="nil"/>
          <w:right w:val="nil"/>
          <w:between w:val="nil"/>
        </w:pBdr>
        <w:jc w:val="both"/>
        <w:rPr>
          <w:color w:val="000000"/>
          <w:sz w:val="22"/>
          <w:szCs w:val="22"/>
        </w:rPr>
      </w:pPr>
      <w:r>
        <w:rPr>
          <w:rFonts w:ascii="Arial" w:eastAsia="Arial" w:hAnsi="Arial" w:cs="Arial"/>
          <w:color w:val="000000"/>
          <w:sz w:val="22"/>
          <w:szCs w:val="22"/>
        </w:rPr>
        <w:t>The methods employed to engage organisations to apply for Green New Deal Funding and the specific channels and efforts that will be used for this purpose (including proposed communication and promotion measures). The proposal should contain enough information about access to and contacts with clients that the applicants has, whether this access is direct or indirect (via their own or other networks), and the kind of relationships they maintain, giving figures where possible.</w:t>
      </w:r>
    </w:p>
    <w:p w14:paraId="24ADD904" w14:textId="77777777" w:rsidR="00C131EA" w:rsidRDefault="00331F3F" w:rsidP="00DC1CC6">
      <w:pPr>
        <w:numPr>
          <w:ilvl w:val="0"/>
          <w:numId w:val="8"/>
        </w:numPr>
        <w:pBdr>
          <w:top w:val="nil"/>
          <w:left w:val="nil"/>
          <w:bottom w:val="nil"/>
          <w:right w:val="nil"/>
          <w:between w:val="nil"/>
        </w:pBdr>
        <w:jc w:val="both"/>
        <w:rPr>
          <w:color w:val="000000"/>
          <w:sz w:val="22"/>
          <w:szCs w:val="22"/>
        </w:rPr>
      </w:pPr>
      <w:r>
        <w:rPr>
          <w:rFonts w:ascii="Arial" w:eastAsia="Arial" w:hAnsi="Arial" w:cs="Arial"/>
          <w:color w:val="000000"/>
          <w:sz w:val="22"/>
          <w:szCs w:val="22"/>
        </w:rPr>
        <w:t>The methods employed to promote strategic links between the regional pipeline of projects including implementation of solutions developed through existing partnerships such as the Energy Catalyst</w:t>
      </w:r>
    </w:p>
    <w:p w14:paraId="3C6B4419" w14:textId="5428ABAC" w:rsidR="00C131EA" w:rsidRDefault="00331F3F" w:rsidP="00DC1CC6">
      <w:pPr>
        <w:numPr>
          <w:ilvl w:val="0"/>
          <w:numId w:val="8"/>
        </w:numPr>
        <w:pBdr>
          <w:top w:val="nil"/>
          <w:left w:val="nil"/>
          <w:bottom w:val="nil"/>
          <w:right w:val="nil"/>
          <w:between w:val="nil"/>
        </w:pBdr>
        <w:jc w:val="both"/>
        <w:rPr>
          <w:color w:val="000000"/>
          <w:sz w:val="22"/>
          <w:szCs w:val="22"/>
        </w:rPr>
      </w:pPr>
      <w:r>
        <w:rPr>
          <w:rFonts w:ascii="Arial" w:eastAsia="Arial" w:hAnsi="Arial" w:cs="Arial"/>
          <w:color w:val="000000"/>
          <w:sz w:val="22"/>
          <w:szCs w:val="22"/>
        </w:rPr>
        <w:t>The methods employed to ensure the Green New Deal fund will as far as possible contribute to a just and inclusive transition to a low carbon economy</w:t>
      </w:r>
    </w:p>
    <w:p w14:paraId="7A203E28" w14:textId="77777777" w:rsidR="00C131EA" w:rsidRDefault="00331F3F" w:rsidP="00DC1CC6">
      <w:pPr>
        <w:numPr>
          <w:ilvl w:val="0"/>
          <w:numId w:val="8"/>
        </w:numPr>
        <w:pBdr>
          <w:top w:val="nil"/>
          <w:left w:val="nil"/>
          <w:bottom w:val="nil"/>
          <w:right w:val="nil"/>
          <w:between w:val="nil"/>
        </w:pBdr>
        <w:jc w:val="both"/>
        <w:rPr>
          <w:color w:val="000000"/>
          <w:sz w:val="22"/>
          <w:szCs w:val="22"/>
        </w:rPr>
      </w:pPr>
      <w:r>
        <w:rPr>
          <w:rFonts w:ascii="Arial" w:eastAsia="Arial" w:hAnsi="Arial" w:cs="Arial"/>
          <w:color w:val="000000"/>
          <w:sz w:val="22"/>
          <w:szCs w:val="22"/>
        </w:rPr>
        <w:t>The process put in place to manage the Green New Deal Fund. The selected intermediary will be responsible for sound management of the Green New Deal Fund and will need to set out, as part of the application how funds will be managed.</w:t>
      </w:r>
    </w:p>
    <w:p w14:paraId="41FD84E2" w14:textId="77777777" w:rsidR="00C131EA" w:rsidRDefault="00C131EA" w:rsidP="00DC1CC6">
      <w:pPr>
        <w:jc w:val="both"/>
        <w:rPr>
          <w:rFonts w:ascii="Arial" w:eastAsia="Arial" w:hAnsi="Arial" w:cs="Arial"/>
          <w:sz w:val="22"/>
          <w:szCs w:val="22"/>
        </w:rPr>
      </w:pPr>
    </w:p>
    <w:p w14:paraId="35DFB1C9" w14:textId="63E9156C" w:rsidR="00C131EA" w:rsidRDefault="00331F3F" w:rsidP="00DC1CC6">
      <w:pPr>
        <w:numPr>
          <w:ilvl w:val="0"/>
          <w:numId w:val="15"/>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Assessment &amp; Selection Process</w:t>
      </w:r>
    </w:p>
    <w:p w14:paraId="7FE7BF6D" w14:textId="77777777" w:rsidR="003A0128" w:rsidRDefault="003A0128" w:rsidP="00DC1CC6">
      <w:pPr>
        <w:pBdr>
          <w:top w:val="nil"/>
          <w:left w:val="nil"/>
          <w:bottom w:val="nil"/>
          <w:right w:val="nil"/>
          <w:between w:val="nil"/>
        </w:pBdr>
        <w:ind w:left="720"/>
        <w:jc w:val="both"/>
        <w:rPr>
          <w:rFonts w:ascii="Arial" w:eastAsia="Arial" w:hAnsi="Arial" w:cs="Arial"/>
          <w:b/>
          <w:color w:val="000000"/>
          <w:sz w:val="22"/>
          <w:szCs w:val="22"/>
        </w:rPr>
      </w:pPr>
    </w:p>
    <w:p w14:paraId="61B44422" w14:textId="4D544F5C" w:rsidR="00C131EA" w:rsidRDefault="00331F3F" w:rsidP="00DC1CC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Project proposals will be scored against the selection criteria in this document. A score of zero in any category will result in the proposal being rejected from the process.  Scoring will be undertaken by a panel made up of members of the NTCA team plus other relevant advisory members. </w:t>
      </w:r>
      <w:r w:rsidR="00A74ED4">
        <w:rPr>
          <w:rFonts w:ascii="Arial" w:eastAsia="Arial" w:hAnsi="Arial" w:cs="Arial"/>
          <w:color w:val="000000"/>
          <w:sz w:val="22"/>
          <w:szCs w:val="22"/>
        </w:rPr>
        <w:t>Clarifications may be sought as part of the assessment process by the panel as appropriate</w:t>
      </w:r>
      <w:r>
        <w:rPr>
          <w:rFonts w:ascii="Arial" w:eastAsia="Arial" w:hAnsi="Arial" w:cs="Arial"/>
          <w:color w:val="000000"/>
          <w:sz w:val="22"/>
          <w:szCs w:val="22"/>
        </w:rPr>
        <w:t>.</w:t>
      </w:r>
    </w:p>
    <w:p w14:paraId="5BA6BD91" w14:textId="77777777" w:rsidR="00C131EA" w:rsidRDefault="00C131EA" w:rsidP="00DC1CC6">
      <w:pPr>
        <w:jc w:val="both"/>
        <w:rPr>
          <w:rFonts w:ascii="Arial" w:eastAsia="Arial" w:hAnsi="Arial" w:cs="Arial"/>
          <w:color w:val="000000"/>
          <w:sz w:val="22"/>
          <w:szCs w:val="22"/>
        </w:rPr>
      </w:pPr>
    </w:p>
    <w:p w14:paraId="26C34F20" w14:textId="367557D6" w:rsidR="00C131EA" w:rsidRDefault="00331F3F" w:rsidP="00DC1CC6">
      <w:pPr>
        <w:jc w:val="both"/>
        <w:rPr>
          <w:rFonts w:ascii="Arial" w:eastAsia="Arial" w:hAnsi="Arial" w:cs="Arial"/>
          <w:color w:val="000000"/>
          <w:sz w:val="22"/>
          <w:szCs w:val="22"/>
        </w:rPr>
      </w:pPr>
      <w:r>
        <w:rPr>
          <w:rFonts w:ascii="Arial" w:eastAsia="Arial" w:hAnsi="Arial" w:cs="Arial"/>
          <w:color w:val="000000"/>
          <w:sz w:val="22"/>
          <w:szCs w:val="22"/>
        </w:rPr>
        <w:t>Following this, proposal with the highest score will be progressed in line with the NTCA’s Assurance Framework prior to being considered by NTCA’s Technical Officers Group and Investment Panel.</w:t>
      </w:r>
    </w:p>
    <w:p w14:paraId="2DBF443C" w14:textId="77DA2FF2" w:rsidR="00C131EA" w:rsidRDefault="00C131EA" w:rsidP="00DC1CC6">
      <w:pPr>
        <w:jc w:val="both"/>
        <w:rPr>
          <w:rFonts w:ascii="Arial" w:eastAsia="Arial" w:hAnsi="Arial" w:cs="Arial"/>
          <w:b/>
          <w:sz w:val="22"/>
          <w:szCs w:val="22"/>
        </w:rPr>
      </w:pPr>
    </w:p>
    <w:p w14:paraId="1DA981D3" w14:textId="78A7A7B7" w:rsidR="00C131EA" w:rsidRDefault="00331F3F" w:rsidP="00DC1CC6">
      <w:pPr>
        <w:numPr>
          <w:ilvl w:val="0"/>
          <w:numId w:val="15"/>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Indicative timetable</w:t>
      </w:r>
    </w:p>
    <w:p w14:paraId="52D9FFB4" w14:textId="77777777" w:rsidR="003A0128" w:rsidRDefault="003A0128" w:rsidP="00DC1CC6">
      <w:pPr>
        <w:pBdr>
          <w:top w:val="nil"/>
          <w:left w:val="nil"/>
          <w:bottom w:val="nil"/>
          <w:right w:val="nil"/>
          <w:between w:val="nil"/>
        </w:pBdr>
        <w:ind w:left="720"/>
        <w:jc w:val="both"/>
        <w:rPr>
          <w:rFonts w:ascii="Arial" w:eastAsia="Arial" w:hAnsi="Arial" w:cs="Arial"/>
          <w:b/>
          <w:color w:val="000000"/>
          <w:sz w:val="22"/>
          <w:szCs w:val="22"/>
        </w:rPr>
      </w:pPr>
    </w:p>
    <w:p w14:paraId="0AE62ED5" w14:textId="2ADC46CC" w:rsidR="00C131EA" w:rsidRDefault="00331F3F" w:rsidP="00DC1CC6">
      <w:pPr>
        <w:jc w:val="both"/>
        <w:rPr>
          <w:rFonts w:ascii="Arial" w:eastAsia="Arial" w:hAnsi="Arial" w:cs="Arial"/>
          <w:color w:val="000000"/>
          <w:sz w:val="22"/>
          <w:szCs w:val="22"/>
        </w:rPr>
      </w:pPr>
      <w:r>
        <w:rPr>
          <w:rFonts w:ascii="Arial" w:eastAsia="Arial" w:hAnsi="Arial" w:cs="Arial"/>
          <w:color w:val="000000"/>
          <w:sz w:val="22"/>
          <w:szCs w:val="22"/>
        </w:rPr>
        <w:t xml:space="preserve">Proposals considered as part of this call should relate to projects which can complete practical delivery of project activity by the end of </w:t>
      </w:r>
      <w:r w:rsidRPr="002A3C6E">
        <w:rPr>
          <w:rFonts w:ascii="Arial" w:eastAsia="Arial" w:hAnsi="Arial" w:cs="Arial"/>
          <w:color w:val="000000"/>
          <w:sz w:val="22"/>
          <w:szCs w:val="22"/>
        </w:rPr>
        <w:t>March 202</w:t>
      </w:r>
      <w:r w:rsidR="002C6291">
        <w:rPr>
          <w:rFonts w:ascii="Arial" w:eastAsia="Arial" w:hAnsi="Arial" w:cs="Arial"/>
          <w:color w:val="000000"/>
          <w:sz w:val="22"/>
          <w:szCs w:val="22"/>
        </w:rPr>
        <w:t>5</w:t>
      </w:r>
      <w:r w:rsidRPr="002A3C6E">
        <w:rPr>
          <w:rFonts w:ascii="Arial" w:eastAsia="Arial" w:hAnsi="Arial" w:cs="Arial"/>
          <w:color w:val="000000"/>
          <w:sz w:val="22"/>
          <w:szCs w:val="22"/>
        </w:rPr>
        <w:t>;</w:t>
      </w:r>
      <w:r>
        <w:rPr>
          <w:rFonts w:ascii="Arial" w:eastAsia="Arial" w:hAnsi="Arial" w:cs="Arial"/>
          <w:color w:val="000000"/>
          <w:sz w:val="22"/>
          <w:szCs w:val="22"/>
        </w:rPr>
        <w:t xml:space="preserve"> however, NTCA reserves the right to extend this date as required. </w:t>
      </w:r>
    </w:p>
    <w:p w14:paraId="5037B18B" w14:textId="77777777" w:rsidR="00D66569" w:rsidRDefault="00D66569" w:rsidP="00DC1CC6">
      <w:pPr>
        <w:jc w:val="both"/>
        <w:rPr>
          <w:rFonts w:ascii="Arial" w:eastAsia="Arial" w:hAnsi="Arial" w:cs="Arial"/>
          <w:color w:val="000000"/>
          <w:sz w:val="22"/>
          <w:szCs w:val="22"/>
        </w:rPr>
      </w:pPr>
    </w:p>
    <w:p w14:paraId="3B9F572E" w14:textId="77777777" w:rsidR="00C131EA" w:rsidRDefault="00C131EA" w:rsidP="00DC1CC6">
      <w:pPr>
        <w:jc w:val="both"/>
        <w:rPr>
          <w:rFonts w:ascii="Arial" w:eastAsia="Arial" w:hAnsi="Arial" w:cs="Arial"/>
          <w:color w:val="000000"/>
          <w:sz w:val="22"/>
          <w:szCs w:val="22"/>
        </w:rPr>
      </w:pPr>
    </w:p>
    <w:p w14:paraId="6AE04338" w14:textId="2C8355E5" w:rsidR="00C131EA" w:rsidRDefault="00331F3F" w:rsidP="00DC1CC6">
      <w:pPr>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The indicative timetable is set out below: </w:t>
      </w:r>
    </w:p>
    <w:p w14:paraId="4582F015" w14:textId="77777777" w:rsidR="0047651C" w:rsidRDefault="0047651C" w:rsidP="00DC1CC6">
      <w:pPr>
        <w:jc w:val="both"/>
        <w:rPr>
          <w:rFonts w:ascii="Arial" w:eastAsia="Arial" w:hAnsi="Arial" w:cs="Arial"/>
          <w:color w:val="000000"/>
          <w:sz w:val="22"/>
          <w:szCs w:val="22"/>
        </w:rPr>
      </w:pPr>
    </w:p>
    <w:tbl>
      <w:tblPr>
        <w:tblW w:w="8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172"/>
        <w:gridCol w:w="4172"/>
      </w:tblGrid>
      <w:tr w:rsidR="00C131EA" w14:paraId="46E6C6EE" w14:textId="77777777">
        <w:trPr>
          <w:trHeight w:val="120"/>
        </w:trPr>
        <w:tc>
          <w:tcPr>
            <w:tcW w:w="4172" w:type="dxa"/>
          </w:tcPr>
          <w:p w14:paraId="387FAE6F" w14:textId="466DBDC7" w:rsidR="00C131EA" w:rsidRPr="00084864" w:rsidRDefault="00057320" w:rsidP="00DC1CC6">
            <w:pPr>
              <w:jc w:val="both"/>
              <w:rPr>
                <w:rFonts w:ascii="Arial" w:eastAsia="Arial" w:hAnsi="Arial" w:cs="Arial"/>
                <w:color w:val="000000"/>
                <w:sz w:val="22"/>
                <w:szCs w:val="22"/>
              </w:rPr>
            </w:pPr>
            <w:r w:rsidRPr="00084864">
              <w:rPr>
                <w:rFonts w:ascii="Arial" w:eastAsia="Arial" w:hAnsi="Arial" w:cs="Arial"/>
                <w:color w:val="000000" w:themeColor="text1"/>
                <w:sz w:val="22"/>
                <w:szCs w:val="22"/>
              </w:rPr>
              <w:t>25</w:t>
            </w:r>
            <w:r w:rsidRPr="00084864">
              <w:rPr>
                <w:rFonts w:ascii="Arial" w:eastAsia="Arial" w:hAnsi="Arial" w:cs="Arial"/>
                <w:color w:val="000000" w:themeColor="text1"/>
                <w:sz w:val="22"/>
                <w:szCs w:val="22"/>
                <w:vertAlign w:val="superscript"/>
              </w:rPr>
              <w:t>th</w:t>
            </w:r>
            <w:r w:rsidRPr="00084864">
              <w:rPr>
                <w:rFonts w:ascii="Arial" w:eastAsia="Arial" w:hAnsi="Arial" w:cs="Arial"/>
                <w:color w:val="000000" w:themeColor="text1"/>
                <w:sz w:val="22"/>
                <w:szCs w:val="22"/>
              </w:rPr>
              <w:t xml:space="preserve"> </w:t>
            </w:r>
            <w:r w:rsidR="00331F3F" w:rsidRPr="00084864">
              <w:rPr>
                <w:rFonts w:ascii="Arial" w:eastAsia="Arial" w:hAnsi="Arial" w:cs="Arial"/>
                <w:color w:val="000000" w:themeColor="text1"/>
                <w:sz w:val="22"/>
                <w:szCs w:val="22"/>
              </w:rPr>
              <w:t>September 2020</w:t>
            </w:r>
          </w:p>
        </w:tc>
        <w:tc>
          <w:tcPr>
            <w:tcW w:w="4172" w:type="dxa"/>
          </w:tcPr>
          <w:p w14:paraId="1553B22B" w14:textId="77777777" w:rsidR="00C131EA" w:rsidRDefault="00331F3F" w:rsidP="00DC1CC6">
            <w:pPr>
              <w:jc w:val="both"/>
              <w:rPr>
                <w:rFonts w:ascii="Arial" w:eastAsia="Arial" w:hAnsi="Arial" w:cs="Arial"/>
                <w:color w:val="000000"/>
                <w:sz w:val="22"/>
                <w:szCs w:val="22"/>
              </w:rPr>
            </w:pPr>
            <w:r>
              <w:rPr>
                <w:rFonts w:ascii="Arial" w:eastAsia="Arial" w:hAnsi="Arial" w:cs="Arial"/>
                <w:color w:val="000000"/>
                <w:sz w:val="22"/>
                <w:szCs w:val="22"/>
              </w:rPr>
              <w:t>Call opens</w:t>
            </w:r>
          </w:p>
        </w:tc>
      </w:tr>
      <w:tr w:rsidR="00C131EA" w14:paraId="0097A8FE" w14:textId="77777777">
        <w:trPr>
          <w:trHeight w:val="120"/>
        </w:trPr>
        <w:tc>
          <w:tcPr>
            <w:tcW w:w="4172" w:type="dxa"/>
          </w:tcPr>
          <w:p w14:paraId="1E6A71DA" w14:textId="5713FE8C" w:rsidR="00C131EA" w:rsidRPr="00084864" w:rsidRDefault="00C83265" w:rsidP="00DC1CC6">
            <w:pPr>
              <w:jc w:val="both"/>
              <w:rPr>
                <w:rFonts w:ascii="Arial" w:eastAsia="Arial" w:hAnsi="Arial" w:cs="Arial"/>
                <w:color w:val="000000"/>
                <w:sz w:val="22"/>
                <w:szCs w:val="22"/>
              </w:rPr>
            </w:pPr>
            <w:r>
              <w:rPr>
                <w:rFonts w:ascii="Arial" w:eastAsia="Arial" w:hAnsi="Arial" w:cs="Arial"/>
                <w:color w:val="000000" w:themeColor="text1"/>
                <w:sz w:val="22"/>
                <w:szCs w:val="22"/>
              </w:rPr>
              <w:t>1</w:t>
            </w:r>
            <w:r w:rsidR="00CD3E9E" w:rsidRPr="00084864">
              <w:rPr>
                <w:rFonts w:ascii="Arial" w:eastAsia="Arial" w:hAnsi="Arial" w:cs="Arial"/>
                <w:color w:val="000000" w:themeColor="text1"/>
                <w:sz w:val="22"/>
                <w:szCs w:val="22"/>
              </w:rPr>
              <w:t>9</w:t>
            </w:r>
            <w:r w:rsidR="007D349C" w:rsidRPr="00084864">
              <w:rPr>
                <w:rFonts w:ascii="Arial" w:eastAsia="Arial" w:hAnsi="Arial" w:cs="Arial"/>
                <w:color w:val="000000" w:themeColor="text1"/>
                <w:sz w:val="22"/>
                <w:szCs w:val="22"/>
                <w:vertAlign w:val="superscript"/>
              </w:rPr>
              <w:t>th</w:t>
            </w:r>
            <w:r w:rsidR="007D349C" w:rsidRPr="00084864">
              <w:rPr>
                <w:rFonts w:ascii="Arial" w:eastAsia="Arial" w:hAnsi="Arial" w:cs="Arial"/>
                <w:color w:val="000000" w:themeColor="text1"/>
                <w:sz w:val="22"/>
                <w:szCs w:val="22"/>
              </w:rPr>
              <w:t xml:space="preserve">  </w:t>
            </w:r>
            <w:r w:rsidR="00331F3F" w:rsidRPr="00084864">
              <w:rPr>
                <w:rFonts w:ascii="Arial" w:eastAsia="Arial" w:hAnsi="Arial" w:cs="Arial"/>
                <w:color w:val="000000" w:themeColor="text1"/>
                <w:sz w:val="22"/>
                <w:szCs w:val="22"/>
              </w:rPr>
              <w:t xml:space="preserve">November 2020 </w:t>
            </w:r>
          </w:p>
        </w:tc>
        <w:tc>
          <w:tcPr>
            <w:tcW w:w="4172" w:type="dxa"/>
          </w:tcPr>
          <w:p w14:paraId="749E866B" w14:textId="6FBC0A65" w:rsidR="00C131EA" w:rsidRDefault="00331F3F" w:rsidP="00DC1CC6">
            <w:pPr>
              <w:jc w:val="both"/>
              <w:rPr>
                <w:rFonts w:ascii="Arial" w:eastAsia="Arial" w:hAnsi="Arial" w:cs="Arial"/>
                <w:color w:val="000000"/>
                <w:sz w:val="22"/>
                <w:szCs w:val="22"/>
              </w:rPr>
            </w:pPr>
            <w:r>
              <w:rPr>
                <w:rFonts w:ascii="Arial" w:eastAsia="Arial" w:hAnsi="Arial" w:cs="Arial"/>
                <w:color w:val="000000"/>
                <w:sz w:val="22"/>
                <w:szCs w:val="22"/>
              </w:rPr>
              <w:t xml:space="preserve">Deadline for </w:t>
            </w:r>
            <w:r w:rsidR="00A74ED4">
              <w:rPr>
                <w:rFonts w:ascii="Arial" w:eastAsia="Arial" w:hAnsi="Arial" w:cs="Arial"/>
                <w:color w:val="000000"/>
                <w:sz w:val="22"/>
                <w:szCs w:val="22"/>
              </w:rPr>
              <w:t>proposals</w:t>
            </w:r>
          </w:p>
        </w:tc>
      </w:tr>
      <w:tr w:rsidR="00C131EA" w14:paraId="2B0F3635" w14:textId="77777777">
        <w:trPr>
          <w:trHeight w:val="266"/>
        </w:trPr>
        <w:tc>
          <w:tcPr>
            <w:tcW w:w="4172" w:type="dxa"/>
          </w:tcPr>
          <w:p w14:paraId="553ABDF6" w14:textId="77777777" w:rsidR="00C131EA" w:rsidRDefault="00331F3F" w:rsidP="00DC1CC6">
            <w:pPr>
              <w:jc w:val="both"/>
              <w:rPr>
                <w:rFonts w:ascii="Arial" w:eastAsia="Arial" w:hAnsi="Arial" w:cs="Arial"/>
                <w:color w:val="000000"/>
                <w:sz w:val="22"/>
                <w:szCs w:val="22"/>
              </w:rPr>
            </w:pPr>
            <w:r>
              <w:rPr>
                <w:rFonts w:ascii="Arial" w:eastAsia="Arial" w:hAnsi="Arial" w:cs="Arial"/>
                <w:color w:val="000000"/>
                <w:sz w:val="22"/>
                <w:szCs w:val="22"/>
              </w:rPr>
              <w:t>December 2020</w:t>
            </w:r>
          </w:p>
        </w:tc>
        <w:tc>
          <w:tcPr>
            <w:tcW w:w="4172" w:type="dxa"/>
          </w:tcPr>
          <w:p w14:paraId="49966E38" w14:textId="77777777" w:rsidR="00C131EA" w:rsidRDefault="00331F3F" w:rsidP="00DC1CC6">
            <w:pPr>
              <w:jc w:val="both"/>
              <w:rPr>
                <w:rFonts w:ascii="Arial" w:eastAsia="Arial" w:hAnsi="Arial" w:cs="Arial"/>
                <w:color w:val="000000"/>
                <w:sz w:val="22"/>
                <w:szCs w:val="22"/>
              </w:rPr>
            </w:pPr>
            <w:r>
              <w:rPr>
                <w:rFonts w:ascii="Arial" w:eastAsia="Arial" w:hAnsi="Arial" w:cs="Arial"/>
                <w:color w:val="000000"/>
                <w:sz w:val="22"/>
                <w:szCs w:val="22"/>
              </w:rPr>
              <w:t xml:space="preserve">Assessment of proposals </w:t>
            </w:r>
          </w:p>
        </w:tc>
      </w:tr>
      <w:tr w:rsidR="00C131EA" w14:paraId="1E076DFF" w14:textId="77777777">
        <w:trPr>
          <w:trHeight w:val="120"/>
        </w:trPr>
        <w:tc>
          <w:tcPr>
            <w:tcW w:w="4172" w:type="dxa"/>
          </w:tcPr>
          <w:p w14:paraId="019F5D42" w14:textId="77777777" w:rsidR="00C131EA" w:rsidRDefault="00331F3F" w:rsidP="00DC1CC6">
            <w:pPr>
              <w:jc w:val="both"/>
              <w:rPr>
                <w:rFonts w:ascii="Arial" w:eastAsia="Arial" w:hAnsi="Arial" w:cs="Arial"/>
                <w:color w:val="000000"/>
                <w:sz w:val="22"/>
                <w:szCs w:val="22"/>
              </w:rPr>
            </w:pPr>
            <w:r>
              <w:rPr>
                <w:rFonts w:ascii="Arial" w:eastAsia="Arial" w:hAnsi="Arial" w:cs="Arial"/>
                <w:color w:val="000000"/>
                <w:sz w:val="22"/>
                <w:szCs w:val="22"/>
              </w:rPr>
              <w:t xml:space="preserve">January 2021 </w:t>
            </w:r>
          </w:p>
        </w:tc>
        <w:tc>
          <w:tcPr>
            <w:tcW w:w="4172" w:type="dxa"/>
          </w:tcPr>
          <w:p w14:paraId="59C963D3" w14:textId="7DDFEBF1" w:rsidR="00C131EA" w:rsidRDefault="0047651C" w:rsidP="00DC1CC6">
            <w:pPr>
              <w:jc w:val="both"/>
              <w:rPr>
                <w:rFonts w:ascii="Arial" w:eastAsia="Arial" w:hAnsi="Arial" w:cs="Arial"/>
                <w:color w:val="000000"/>
                <w:sz w:val="22"/>
                <w:szCs w:val="22"/>
              </w:rPr>
            </w:pPr>
            <w:r>
              <w:rPr>
                <w:rFonts w:ascii="Arial" w:eastAsia="Arial" w:hAnsi="Arial" w:cs="Arial"/>
                <w:color w:val="000000"/>
                <w:sz w:val="22"/>
                <w:szCs w:val="22"/>
              </w:rPr>
              <w:t>NTCAs Technical Officer Group and Investment Panel</w:t>
            </w:r>
          </w:p>
        </w:tc>
      </w:tr>
      <w:tr w:rsidR="00C131EA" w14:paraId="2E65DE47" w14:textId="77777777">
        <w:trPr>
          <w:trHeight w:val="120"/>
        </w:trPr>
        <w:tc>
          <w:tcPr>
            <w:tcW w:w="4172" w:type="dxa"/>
          </w:tcPr>
          <w:p w14:paraId="1E139480" w14:textId="77777777" w:rsidR="00C131EA" w:rsidRDefault="00331F3F" w:rsidP="00DC1CC6">
            <w:pPr>
              <w:jc w:val="both"/>
              <w:rPr>
                <w:rFonts w:ascii="Arial" w:eastAsia="Arial" w:hAnsi="Arial" w:cs="Arial"/>
                <w:color w:val="000000"/>
                <w:sz w:val="22"/>
                <w:szCs w:val="22"/>
              </w:rPr>
            </w:pPr>
            <w:r>
              <w:rPr>
                <w:rFonts w:ascii="Arial" w:eastAsia="Arial" w:hAnsi="Arial" w:cs="Arial"/>
                <w:color w:val="000000"/>
                <w:sz w:val="22"/>
                <w:szCs w:val="22"/>
              </w:rPr>
              <w:t xml:space="preserve">January 2021 </w:t>
            </w:r>
          </w:p>
        </w:tc>
        <w:tc>
          <w:tcPr>
            <w:tcW w:w="4172" w:type="dxa"/>
          </w:tcPr>
          <w:p w14:paraId="7034A333" w14:textId="34594D63" w:rsidR="00C131EA" w:rsidRDefault="00331F3F" w:rsidP="00DC1CC6">
            <w:pPr>
              <w:jc w:val="both"/>
              <w:rPr>
                <w:rFonts w:ascii="Arial" w:eastAsia="Arial" w:hAnsi="Arial" w:cs="Arial"/>
                <w:color w:val="000000"/>
                <w:sz w:val="22"/>
                <w:szCs w:val="22"/>
              </w:rPr>
            </w:pPr>
            <w:r>
              <w:rPr>
                <w:rFonts w:ascii="Arial" w:eastAsia="Arial" w:hAnsi="Arial" w:cs="Arial"/>
                <w:color w:val="000000"/>
                <w:sz w:val="22"/>
                <w:szCs w:val="22"/>
              </w:rPr>
              <w:t xml:space="preserve">Announcement </w:t>
            </w:r>
            <w:r w:rsidR="00A74ED4">
              <w:rPr>
                <w:rFonts w:ascii="Arial" w:eastAsia="Arial" w:hAnsi="Arial" w:cs="Arial"/>
                <w:color w:val="000000"/>
                <w:sz w:val="22"/>
                <w:szCs w:val="22"/>
              </w:rPr>
              <w:t>on selected proposal</w:t>
            </w:r>
            <w:r>
              <w:rPr>
                <w:rFonts w:ascii="Arial" w:eastAsia="Arial" w:hAnsi="Arial" w:cs="Arial"/>
                <w:color w:val="000000"/>
                <w:sz w:val="22"/>
                <w:szCs w:val="22"/>
              </w:rPr>
              <w:t xml:space="preserve"> </w:t>
            </w:r>
          </w:p>
        </w:tc>
      </w:tr>
    </w:tbl>
    <w:p w14:paraId="3E6DDA1D" w14:textId="77777777" w:rsidR="00C131EA" w:rsidRDefault="00C131EA" w:rsidP="00DC1CC6">
      <w:pPr>
        <w:jc w:val="both"/>
        <w:rPr>
          <w:rFonts w:ascii="Arial" w:eastAsia="Arial" w:hAnsi="Arial" w:cs="Arial"/>
          <w:b/>
          <w:sz w:val="22"/>
          <w:szCs w:val="22"/>
        </w:rPr>
      </w:pPr>
    </w:p>
    <w:p w14:paraId="17556F51" w14:textId="43739DF1" w:rsidR="00C131EA" w:rsidRDefault="00331F3F" w:rsidP="00DC1CC6">
      <w:pPr>
        <w:numPr>
          <w:ilvl w:val="0"/>
          <w:numId w:val="15"/>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Submission of proposal</w:t>
      </w:r>
    </w:p>
    <w:p w14:paraId="439C35AA" w14:textId="77777777" w:rsidR="00C131EA" w:rsidRDefault="00331F3F" w:rsidP="00DC1CC6">
      <w:pPr>
        <w:jc w:val="both"/>
        <w:rPr>
          <w:rFonts w:ascii="Arial" w:eastAsia="Arial" w:hAnsi="Arial" w:cs="Arial"/>
          <w:color w:val="000000"/>
          <w:sz w:val="22"/>
          <w:szCs w:val="22"/>
        </w:rPr>
      </w:pPr>
      <w:r>
        <w:rPr>
          <w:rFonts w:ascii="Arial" w:eastAsia="Arial" w:hAnsi="Arial" w:cs="Arial"/>
          <w:color w:val="000000"/>
          <w:sz w:val="22"/>
          <w:szCs w:val="22"/>
        </w:rPr>
        <w:t xml:space="preserve">We welcome informal contact, enquiries, and discussion from interested parties to help you assess the eligibility of your proposal or to answer any questions you may have. </w:t>
      </w:r>
    </w:p>
    <w:p w14:paraId="5AC3A049" w14:textId="77777777" w:rsidR="00C131EA" w:rsidRDefault="00C131EA" w:rsidP="00DC1CC6">
      <w:pPr>
        <w:jc w:val="both"/>
        <w:rPr>
          <w:rFonts w:ascii="Arial" w:eastAsia="Arial" w:hAnsi="Arial" w:cs="Arial"/>
          <w:color w:val="000000"/>
          <w:sz w:val="22"/>
          <w:szCs w:val="22"/>
        </w:rPr>
      </w:pPr>
    </w:p>
    <w:p w14:paraId="1DE8EF15" w14:textId="15BA112C" w:rsidR="00C131EA" w:rsidRDefault="00331F3F" w:rsidP="00DC1CC6">
      <w:pPr>
        <w:jc w:val="both"/>
        <w:rPr>
          <w:rFonts w:ascii="Arial" w:eastAsia="Arial" w:hAnsi="Arial" w:cs="Arial"/>
          <w:color w:val="000000"/>
          <w:sz w:val="22"/>
          <w:szCs w:val="22"/>
        </w:rPr>
      </w:pPr>
      <w:r>
        <w:rPr>
          <w:rFonts w:ascii="Arial" w:eastAsia="Arial" w:hAnsi="Arial" w:cs="Arial"/>
          <w:color w:val="000000"/>
          <w:sz w:val="22"/>
          <w:szCs w:val="22"/>
        </w:rPr>
        <w:t xml:space="preserve">If you are interested in submitting a project </w:t>
      </w:r>
      <w:r w:rsidR="00016359">
        <w:rPr>
          <w:rFonts w:ascii="Arial" w:eastAsia="Arial" w:hAnsi="Arial" w:cs="Arial"/>
          <w:color w:val="000000"/>
          <w:sz w:val="22"/>
          <w:szCs w:val="22"/>
        </w:rPr>
        <w:t>proposal,</w:t>
      </w:r>
      <w:r>
        <w:rPr>
          <w:rFonts w:ascii="Arial" w:eastAsia="Arial" w:hAnsi="Arial" w:cs="Arial"/>
          <w:color w:val="000000"/>
          <w:sz w:val="22"/>
          <w:szCs w:val="22"/>
        </w:rPr>
        <w:t xml:space="preserve"> please contact </w:t>
      </w:r>
      <w:hyperlink r:id="rId12" w:history="1">
        <w:r w:rsidR="00495816" w:rsidRPr="0067371B">
          <w:rPr>
            <w:rStyle w:val="Hyperlink"/>
            <w:rFonts w:ascii="Arial" w:eastAsia="Arial" w:hAnsi="Arial" w:cs="Arial"/>
            <w:sz w:val="22"/>
            <w:szCs w:val="22"/>
          </w:rPr>
          <w:t>greennewdeal@northoftyne-ca.gov.uk</w:t>
        </w:r>
      </w:hyperlink>
      <w:r w:rsidR="00495816">
        <w:rPr>
          <w:rFonts w:ascii="Arial" w:eastAsia="Arial" w:hAnsi="Arial" w:cs="Arial"/>
          <w:color w:val="000000"/>
          <w:sz w:val="22"/>
          <w:szCs w:val="22"/>
        </w:rPr>
        <w:t xml:space="preserve"> </w:t>
      </w:r>
      <w:r>
        <w:rPr>
          <w:rFonts w:ascii="Arial" w:eastAsia="Arial" w:hAnsi="Arial" w:cs="Arial"/>
          <w:color w:val="000000"/>
          <w:sz w:val="22"/>
          <w:szCs w:val="22"/>
        </w:rPr>
        <w:t xml:space="preserve">for the relevant form. Completed application forms should be sent to </w:t>
      </w:r>
      <w:hyperlink r:id="rId13" w:history="1">
        <w:r w:rsidR="00495816" w:rsidRPr="0067371B">
          <w:rPr>
            <w:rStyle w:val="Hyperlink"/>
            <w:rFonts w:ascii="Arial" w:eastAsia="Arial" w:hAnsi="Arial" w:cs="Arial"/>
            <w:sz w:val="22"/>
            <w:szCs w:val="22"/>
          </w:rPr>
          <w:t>greennewdeal@northoftyne-ca.gov.uk</w:t>
        </w:r>
      </w:hyperlink>
      <w:r w:rsidR="00495816">
        <w:rPr>
          <w:rFonts w:ascii="Arial" w:eastAsia="Arial" w:hAnsi="Arial" w:cs="Arial"/>
          <w:color w:val="000000"/>
          <w:sz w:val="22"/>
          <w:szCs w:val="22"/>
        </w:rPr>
        <w:t>.</w:t>
      </w:r>
      <w:r w:rsidR="000D5F9F">
        <w:rPr>
          <w:rFonts w:ascii="Arial" w:eastAsia="Arial" w:hAnsi="Arial" w:cs="Arial"/>
          <w:color w:val="000000"/>
          <w:sz w:val="22"/>
          <w:szCs w:val="22"/>
        </w:rPr>
        <w:t xml:space="preserve"> </w:t>
      </w:r>
      <w:r>
        <w:rPr>
          <w:rFonts w:ascii="Arial" w:eastAsia="Arial" w:hAnsi="Arial" w:cs="Arial"/>
          <w:color w:val="000000"/>
          <w:sz w:val="22"/>
          <w:szCs w:val="22"/>
        </w:rPr>
        <w:t xml:space="preserve">Before doing so please ensure that you have followed the guidance, completed all questions and entered an electronic signature. </w:t>
      </w:r>
    </w:p>
    <w:p w14:paraId="0C28B4F3" w14:textId="77777777" w:rsidR="00C131EA" w:rsidRDefault="00C131EA" w:rsidP="00DC1CC6">
      <w:pPr>
        <w:jc w:val="both"/>
        <w:rPr>
          <w:rFonts w:ascii="Arial" w:eastAsia="Arial" w:hAnsi="Arial" w:cs="Arial"/>
          <w:color w:val="000000"/>
          <w:sz w:val="22"/>
          <w:szCs w:val="22"/>
        </w:rPr>
      </w:pPr>
    </w:p>
    <w:p w14:paraId="10B28A39" w14:textId="35191754" w:rsidR="00C131EA" w:rsidRDefault="00331F3F" w:rsidP="00DC1CC6">
      <w:pPr>
        <w:jc w:val="both"/>
        <w:rPr>
          <w:rFonts w:ascii="Arial" w:eastAsia="Arial" w:hAnsi="Arial" w:cs="Arial"/>
          <w:sz w:val="22"/>
          <w:szCs w:val="22"/>
        </w:rPr>
      </w:pPr>
      <w:r>
        <w:rPr>
          <w:rFonts w:ascii="Arial" w:eastAsia="Arial" w:hAnsi="Arial" w:cs="Arial"/>
          <w:color w:val="000000"/>
          <w:sz w:val="22"/>
          <w:szCs w:val="22"/>
        </w:rPr>
        <w:t xml:space="preserve">This call for project proposals will open on the </w:t>
      </w:r>
      <w:r w:rsidR="00495816">
        <w:rPr>
          <w:rFonts w:ascii="Arial" w:eastAsia="Arial" w:hAnsi="Arial" w:cs="Arial"/>
          <w:color w:val="000000"/>
          <w:sz w:val="22"/>
          <w:szCs w:val="22"/>
        </w:rPr>
        <w:t xml:space="preserve">25th </w:t>
      </w:r>
      <w:r>
        <w:rPr>
          <w:rFonts w:ascii="Arial" w:eastAsia="Arial" w:hAnsi="Arial" w:cs="Arial"/>
          <w:color w:val="000000"/>
          <w:sz w:val="22"/>
          <w:szCs w:val="22"/>
        </w:rPr>
        <w:t xml:space="preserve">of September 2020 and will close on the </w:t>
      </w:r>
      <w:r w:rsidR="00C83265">
        <w:rPr>
          <w:rFonts w:ascii="Arial" w:eastAsia="Arial" w:hAnsi="Arial" w:cs="Arial"/>
          <w:color w:val="000000"/>
          <w:sz w:val="22"/>
          <w:szCs w:val="22"/>
        </w:rPr>
        <w:t>1</w:t>
      </w:r>
      <w:bookmarkStart w:id="3" w:name="_GoBack"/>
      <w:bookmarkEnd w:id="3"/>
      <w:r w:rsidR="00495816">
        <w:rPr>
          <w:rFonts w:ascii="Arial" w:eastAsia="Arial" w:hAnsi="Arial" w:cs="Arial"/>
          <w:color w:val="000000"/>
          <w:sz w:val="22"/>
          <w:szCs w:val="22"/>
        </w:rPr>
        <w:t>9</w:t>
      </w:r>
      <w:r w:rsidR="00495816" w:rsidRPr="00495816">
        <w:rPr>
          <w:rFonts w:ascii="Arial" w:eastAsia="Arial" w:hAnsi="Arial" w:cs="Arial"/>
          <w:color w:val="000000"/>
          <w:sz w:val="22"/>
          <w:szCs w:val="22"/>
          <w:vertAlign w:val="superscript"/>
        </w:rPr>
        <w:t>th</w:t>
      </w:r>
      <w:r w:rsidR="00495816">
        <w:rPr>
          <w:rFonts w:ascii="Arial" w:eastAsia="Arial" w:hAnsi="Arial" w:cs="Arial"/>
          <w:color w:val="000000"/>
          <w:sz w:val="22"/>
          <w:szCs w:val="22"/>
        </w:rPr>
        <w:t xml:space="preserve"> </w:t>
      </w:r>
      <w:r>
        <w:rPr>
          <w:rFonts w:ascii="Arial" w:eastAsia="Arial" w:hAnsi="Arial" w:cs="Arial"/>
          <w:color w:val="000000"/>
          <w:sz w:val="22"/>
          <w:szCs w:val="22"/>
        </w:rPr>
        <w:t>of November 2020</w:t>
      </w:r>
      <w:r w:rsidR="000D5F9F">
        <w:rPr>
          <w:rFonts w:ascii="Arial" w:eastAsia="Arial" w:hAnsi="Arial" w:cs="Arial"/>
          <w:color w:val="000000"/>
          <w:sz w:val="22"/>
          <w:szCs w:val="22"/>
        </w:rPr>
        <w:t xml:space="preserve"> at 23:59</w:t>
      </w:r>
      <w:r>
        <w:rPr>
          <w:rFonts w:ascii="Arial" w:eastAsia="Arial" w:hAnsi="Arial" w:cs="Arial"/>
          <w:color w:val="000000"/>
          <w:sz w:val="22"/>
          <w:szCs w:val="22"/>
        </w:rPr>
        <w:t xml:space="preserve">. </w:t>
      </w:r>
    </w:p>
    <w:p w14:paraId="2C6D6C2C" w14:textId="77777777" w:rsidR="00C131EA" w:rsidRDefault="00C131EA" w:rsidP="00DC1CC6">
      <w:pPr>
        <w:jc w:val="both"/>
        <w:rPr>
          <w:rFonts w:ascii="Arial" w:eastAsia="Arial" w:hAnsi="Arial" w:cs="Arial"/>
          <w:sz w:val="22"/>
          <w:szCs w:val="22"/>
        </w:rPr>
      </w:pPr>
    </w:p>
    <w:p w14:paraId="7CDBA80D" w14:textId="77777777" w:rsidR="00C131EA" w:rsidRDefault="00331F3F" w:rsidP="00DC1CC6">
      <w:pPr>
        <w:jc w:val="both"/>
        <w:rPr>
          <w:rFonts w:ascii="Arial" w:eastAsia="Arial" w:hAnsi="Arial" w:cs="Arial"/>
          <w:color w:val="000000"/>
          <w:sz w:val="22"/>
          <w:szCs w:val="22"/>
        </w:rPr>
      </w:pPr>
      <w:r>
        <w:rPr>
          <w:rFonts w:ascii="Arial" w:eastAsia="Arial" w:hAnsi="Arial" w:cs="Arial"/>
          <w:color w:val="000000"/>
          <w:sz w:val="22"/>
          <w:szCs w:val="22"/>
        </w:rPr>
        <w:t xml:space="preserve">Please consider the following strategic documents that may help you with your application. </w:t>
      </w:r>
    </w:p>
    <w:p w14:paraId="11CAF349" w14:textId="6F8A7199" w:rsidR="00C131EA" w:rsidRDefault="00331F3F" w:rsidP="00DC1CC6">
      <w:pPr>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North of Tyne Economic Vision; </w:t>
      </w:r>
    </w:p>
    <w:p w14:paraId="31E3F509" w14:textId="63FBC8F9" w:rsidR="00C131EA" w:rsidRDefault="00331F3F" w:rsidP="00DC1CC6">
      <w:pPr>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North of Tyne Inclusive Economy Statement; </w:t>
      </w:r>
    </w:p>
    <w:p w14:paraId="113C38FB" w14:textId="2868D856" w:rsidR="00C131EA" w:rsidRDefault="00331F3F" w:rsidP="00DC1CC6">
      <w:pPr>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North East Strategic Economic Plan</w:t>
      </w:r>
      <w:r w:rsidR="00081866">
        <w:rPr>
          <w:rFonts w:ascii="Arial" w:eastAsia="Arial" w:hAnsi="Arial" w:cs="Arial"/>
          <w:color w:val="000000"/>
          <w:sz w:val="22"/>
          <w:szCs w:val="22"/>
        </w:rPr>
        <w:t>;</w:t>
      </w:r>
    </w:p>
    <w:p w14:paraId="3A9F370B" w14:textId="38D46F72" w:rsidR="00C131EA" w:rsidRPr="007336AE" w:rsidRDefault="00331F3F" w:rsidP="00DC1CC6">
      <w:pPr>
        <w:numPr>
          <w:ilvl w:val="0"/>
          <w:numId w:val="9"/>
        </w:numPr>
        <w:pBdr>
          <w:top w:val="nil"/>
          <w:left w:val="nil"/>
          <w:bottom w:val="nil"/>
          <w:right w:val="nil"/>
          <w:between w:val="nil"/>
        </w:pBdr>
        <w:jc w:val="both"/>
        <w:rPr>
          <w:color w:val="000000"/>
          <w:sz w:val="22"/>
          <w:szCs w:val="22"/>
        </w:rPr>
      </w:pPr>
      <w:r>
        <w:rPr>
          <w:rFonts w:ascii="Arial" w:eastAsia="Arial" w:hAnsi="Arial" w:cs="Arial"/>
          <w:color w:val="000000"/>
          <w:sz w:val="22"/>
          <w:szCs w:val="22"/>
        </w:rPr>
        <w:t>North East Energy for Growth Strategy;</w:t>
      </w:r>
    </w:p>
    <w:sectPr w:rsidR="00C131EA" w:rsidRPr="007336AE" w:rsidSect="007336AE">
      <w:footerReference w:type="default" r:id="rId14"/>
      <w:pgSz w:w="11906" w:h="16838"/>
      <w:pgMar w:top="1440" w:right="1440" w:bottom="1134" w:left="1440" w:header="709" w:footer="709" w:gutter="0"/>
      <w:pgNumType w:start="1"/>
      <w:cols w:space="720" w:equalWidth="0">
        <w:col w:w="9360"/>
      </w:cols>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CF38B3" w16cex:dateUtc="2020-09-21T12:27:35.931Z"/>
  <w16cex:commentExtensible w16cex:durableId="66B02A15" w16cex:dateUtc="2020-09-21T13:08:25.7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A00A8" w14:textId="77777777" w:rsidR="00EE2DB1" w:rsidRDefault="00EE2DB1">
      <w:r>
        <w:separator/>
      </w:r>
    </w:p>
  </w:endnote>
  <w:endnote w:type="continuationSeparator" w:id="0">
    <w:p w14:paraId="0D868BBD" w14:textId="77777777" w:rsidR="00EE2DB1" w:rsidRDefault="00EE2DB1">
      <w:r>
        <w:continuationSeparator/>
      </w:r>
    </w:p>
  </w:endnote>
  <w:endnote w:type="continuationNotice" w:id="1">
    <w:p w14:paraId="383EFFF7" w14:textId="77777777" w:rsidR="00EE2DB1" w:rsidRDefault="00EE2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8D61" w14:textId="77777777" w:rsidR="00833093" w:rsidRDefault="00833093">
    <w:pPr>
      <w:pBdr>
        <w:top w:val="nil"/>
        <w:left w:val="nil"/>
        <w:bottom w:val="nil"/>
        <w:right w:val="nil"/>
        <w:between w:val="nil"/>
      </w:pBdr>
      <w:tabs>
        <w:tab w:val="center" w:pos="4513"/>
        <w:tab w:val="right" w:pos="9026"/>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17</w:t>
    </w:r>
    <w:r>
      <w:rPr>
        <w:rFonts w:ascii="Arial" w:eastAsia="Arial" w:hAnsi="Arial" w:cs="Arial"/>
        <w:color w:val="000000"/>
      </w:rPr>
      <w:fldChar w:fldCharType="end"/>
    </w:r>
  </w:p>
  <w:p w14:paraId="12E1A43F" w14:textId="77777777" w:rsidR="00833093" w:rsidRDefault="0083309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E5E8E" w14:textId="77777777" w:rsidR="00EE2DB1" w:rsidRDefault="00EE2DB1">
      <w:r>
        <w:separator/>
      </w:r>
    </w:p>
  </w:footnote>
  <w:footnote w:type="continuationSeparator" w:id="0">
    <w:p w14:paraId="50438577" w14:textId="77777777" w:rsidR="00EE2DB1" w:rsidRDefault="00EE2DB1">
      <w:r>
        <w:continuationSeparator/>
      </w:r>
    </w:p>
  </w:footnote>
  <w:footnote w:type="continuationNotice" w:id="1">
    <w:p w14:paraId="1E6BCCCE" w14:textId="77777777" w:rsidR="00EE2DB1" w:rsidRDefault="00EE2D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ED2"/>
    <w:multiLevelType w:val="multilevel"/>
    <w:tmpl w:val="E6141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E87CF5"/>
    <w:multiLevelType w:val="multilevel"/>
    <w:tmpl w:val="1B12C3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46C4FC2"/>
    <w:multiLevelType w:val="multilevel"/>
    <w:tmpl w:val="3EAEECBA"/>
    <w:lvl w:ilvl="0">
      <w:start w:val="1"/>
      <w:numFmt w:val="upperRoman"/>
      <w:lvlText w:val="%1."/>
      <w:lvlJc w:val="righ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AB451E"/>
    <w:multiLevelType w:val="multilevel"/>
    <w:tmpl w:val="B532C7EA"/>
    <w:lvl w:ilvl="0">
      <w:start w:val="1"/>
      <w:numFmt w:val="bullet"/>
      <w:lvlText w:val="o"/>
      <w:lvlJc w:val="left"/>
      <w:pPr>
        <w:ind w:left="345" w:hanging="360"/>
      </w:pPr>
      <w:rPr>
        <w:rFonts w:ascii="Courier New" w:eastAsia="Courier New" w:hAnsi="Courier New" w:cs="Courier New"/>
        <w:sz w:val="20"/>
        <w:szCs w:val="20"/>
      </w:rPr>
    </w:lvl>
    <w:lvl w:ilvl="1">
      <w:start w:val="1"/>
      <w:numFmt w:val="bullet"/>
      <w:lvlText w:val="o"/>
      <w:lvlJc w:val="left"/>
      <w:pPr>
        <w:ind w:left="1065" w:hanging="360"/>
      </w:pPr>
      <w:rPr>
        <w:rFonts w:ascii="Courier New" w:eastAsia="Courier New" w:hAnsi="Courier New" w:cs="Courier New"/>
        <w:sz w:val="20"/>
        <w:szCs w:val="20"/>
      </w:rPr>
    </w:lvl>
    <w:lvl w:ilvl="2">
      <w:start w:val="1"/>
      <w:numFmt w:val="bullet"/>
      <w:lvlText w:val="o"/>
      <w:lvlJc w:val="left"/>
      <w:pPr>
        <w:ind w:left="1785" w:hanging="360"/>
      </w:pPr>
      <w:rPr>
        <w:rFonts w:ascii="Courier New" w:eastAsia="Courier New" w:hAnsi="Courier New" w:cs="Courier New"/>
        <w:sz w:val="20"/>
        <w:szCs w:val="20"/>
      </w:rPr>
    </w:lvl>
    <w:lvl w:ilvl="3">
      <w:start w:val="1"/>
      <w:numFmt w:val="bullet"/>
      <w:lvlText w:val="o"/>
      <w:lvlJc w:val="left"/>
      <w:pPr>
        <w:ind w:left="2505" w:hanging="360"/>
      </w:pPr>
      <w:rPr>
        <w:rFonts w:ascii="Courier New" w:eastAsia="Courier New" w:hAnsi="Courier New" w:cs="Courier New"/>
        <w:sz w:val="20"/>
        <w:szCs w:val="20"/>
      </w:rPr>
    </w:lvl>
    <w:lvl w:ilvl="4">
      <w:start w:val="1"/>
      <w:numFmt w:val="bullet"/>
      <w:lvlText w:val="o"/>
      <w:lvlJc w:val="left"/>
      <w:pPr>
        <w:ind w:left="3225" w:hanging="360"/>
      </w:pPr>
      <w:rPr>
        <w:rFonts w:ascii="Courier New" w:eastAsia="Courier New" w:hAnsi="Courier New" w:cs="Courier New"/>
        <w:sz w:val="20"/>
        <w:szCs w:val="20"/>
      </w:rPr>
    </w:lvl>
    <w:lvl w:ilvl="5">
      <w:start w:val="1"/>
      <w:numFmt w:val="bullet"/>
      <w:lvlText w:val="o"/>
      <w:lvlJc w:val="left"/>
      <w:pPr>
        <w:ind w:left="3945" w:hanging="360"/>
      </w:pPr>
      <w:rPr>
        <w:rFonts w:ascii="Courier New" w:eastAsia="Courier New" w:hAnsi="Courier New" w:cs="Courier New"/>
        <w:sz w:val="20"/>
        <w:szCs w:val="20"/>
      </w:rPr>
    </w:lvl>
    <w:lvl w:ilvl="6">
      <w:start w:val="1"/>
      <w:numFmt w:val="bullet"/>
      <w:lvlText w:val="o"/>
      <w:lvlJc w:val="left"/>
      <w:pPr>
        <w:ind w:left="4665" w:hanging="360"/>
      </w:pPr>
      <w:rPr>
        <w:rFonts w:ascii="Courier New" w:eastAsia="Courier New" w:hAnsi="Courier New" w:cs="Courier New"/>
        <w:sz w:val="20"/>
        <w:szCs w:val="20"/>
      </w:rPr>
    </w:lvl>
    <w:lvl w:ilvl="7">
      <w:start w:val="1"/>
      <w:numFmt w:val="bullet"/>
      <w:lvlText w:val="o"/>
      <w:lvlJc w:val="left"/>
      <w:pPr>
        <w:ind w:left="5385" w:hanging="360"/>
      </w:pPr>
      <w:rPr>
        <w:rFonts w:ascii="Courier New" w:eastAsia="Courier New" w:hAnsi="Courier New" w:cs="Courier New"/>
        <w:sz w:val="20"/>
        <w:szCs w:val="20"/>
      </w:rPr>
    </w:lvl>
    <w:lvl w:ilvl="8">
      <w:start w:val="1"/>
      <w:numFmt w:val="bullet"/>
      <w:lvlText w:val="o"/>
      <w:lvlJc w:val="left"/>
      <w:pPr>
        <w:ind w:left="6105" w:hanging="360"/>
      </w:pPr>
      <w:rPr>
        <w:rFonts w:ascii="Courier New" w:eastAsia="Courier New" w:hAnsi="Courier New" w:cs="Courier New"/>
        <w:sz w:val="20"/>
        <w:szCs w:val="20"/>
      </w:rPr>
    </w:lvl>
  </w:abstractNum>
  <w:abstractNum w:abstractNumId="4" w15:restartNumberingAfterBreak="0">
    <w:nsid w:val="0CBF3EEB"/>
    <w:multiLevelType w:val="hybridMultilevel"/>
    <w:tmpl w:val="3EAEECBA"/>
    <w:lvl w:ilvl="0" w:tplc="DE3A01F2">
      <w:start w:val="1"/>
      <w:numFmt w:val="upperRoman"/>
      <w:lvlText w:val="%1."/>
      <w:lvlJc w:val="right"/>
      <w:pPr>
        <w:ind w:left="720" w:hanging="360"/>
      </w:pPr>
      <w:rPr>
        <w:rFonts w:ascii="Arial" w:hAnsi="Arial" w:cs="Arial" w:hint="default"/>
      </w:rPr>
    </w:lvl>
    <w:lvl w:ilvl="1" w:tplc="041C1780">
      <w:start w:val="1"/>
      <w:numFmt w:val="lowerLetter"/>
      <w:lvlText w:val="%2."/>
      <w:lvlJc w:val="left"/>
      <w:pPr>
        <w:ind w:left="1440" w:hanging="360"/>
      </w:pPr>
    </w:lvl>
    <w:lvl w:ilvl="2" w:tplc="D9565C4C">
      <w:start w:val="1"/>
      <w:numFmt w:val="lowerRoman"/>
      <w:lvlText w:val="%3."/>
      <w:lvlJc w:val="right"/>
      <w:pPr>
        <w:ind w:left="2160" w:hanging="180"/>
      </w:pPr>
    </w:lvl>
    <w:lvl w:ilvl="3" w:tplc="60807176">
      <w:start w:val="1"/>
      <w:numFmt w:val="decimal"/>
      <w:lvlText w:val="%4."/>
      <w:lvlJc w:val="left"/>
      <w:pPr>
        <w:ind w:left="2880" w:hanging="360"/>
      </w:pPr>
    </w:lvl>
    <w:lvl w:ilvl="4" w:tplc="56A0AC3E">
      <w:start w:val="1"/>
      <w:numFmt w:val="lowerLetter"/>
      <w:lvlText w:val="%5."/>
      <w:lvlJc w:val="left"/>
      <w:pPr>
        <w:ind w:left="3600" w:hanging="360"/>
      </w:pPr>
    </w:lvl>
    <w:lvl w:ilvl="5" w:tplc="35B6D09C">
      <w:start w:val="1"/>
      <w:numFmt w:val="lowerRoman"/>
      <w:lvlText w:val="%6."/>
      <w:lvlJc w:val="right"/>
      <w:pPr>
        <w:ind w:left="4320" w:hanging="180"/>
      </w:pPr>
    </w:lvl>
    <w:lvl w:ilvl="6" w:tplc="8CB6A6CC">
      <w:start w:val="1"/>
      <w:numFmt w:val="decimal"/>
      <w:lvlText w:val="%7."/>
      <w:lvlJc w:val="left"/>
      <w:pPr>
        <w:ind w:left="5040" w:hanging="360"/>
      </w:pPr>
    </w:lvl>
    <w:lvl w:ilvl="7" w:tplc="54384742">
      <w:start w:val="1"/>
      <w:numFmt w:val="lowerLetter"/>
      <w:lvlText w:val="%8."/>
      <w:lvlJc w:val="left"/>
      <w:pPr>
        <w:ind w:left="5760" w:hanging="360"/>
      </w:pPr>
    </w:lvl>
    <w:lvl w:ilvl="8" w:tplc="2F7C01C8">
      <w:start w:val="1"/>
      <w:numFmt w:val="lowerRoman"/>
      <w:lvlText w:val="%9."/>
      <w:lvlJc w:val="right"/>
      <w:pPr>
        <w:ind w:left="6480" w:hanging="180"/>
      </w:pPr>
    </w:lvl>
  </w:abstractNum>
  <w:abstractNum w:abstractNumId="5" w15:restartNumberingAfterBreak="0">
    <w:nsid w:val="0DAC3C8F"/>
    <w:multiLevelType w:val="hybridMultilevel"/>
    <w:tmpl w:val="B3405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E20C9"/>
    <w:multiLevelType w:val="hybridMultilevel"/>
    <w:tmpl w:val="F954BBA4"/>
    <w:lvl w:ilvl="0" w:tplc="AA30634A">
      <w:start w:val="1"/>
      <w:numFmt w:val="bullet"/>
      <w:lvlText w:val="●"/>
      <w:lvlJc w:val="left"/>
      <w:pPr>
        <w:ind w:left="720" w:hanging="360"/>
      </w:pPr>
      <w:rPr>
        <w:rFonts w:ascii="Noto Sans Symbols" w:eastAsia="Noto Sans Symbols" w:hAnsi="Noto Sans Symbols" w:cs="Noto Sans Symbols"/>
      </w:rPr>
    </w:lvl>
    <w:lvl w:ilvl="1" w:tplc="938A9928">
      <w:start w:val="1"/>
      <w:numFmt w:val="bullet"/>
      <w:lvlText w:val="o"/>
      <w:lvlJc w:val="left"/>
      <w:pPr>
        <w:ind w:left="1440" w:hanging="360"/>
      </w:pPr>
      <w:rPr>
        <w:rFonts w:ascii="Courier New" w:eastAsia="Courier New" w:hAnsi="Courier New" w:cs="Courier New"/>
      </w:rPr>
    </w:lvl>
    <w:lvl w:ilvl="2" w:tplc="36EC5E1A">
      <w:start w:val="1"/>
      <w:numFmt w:val="bullet"/>
      <w:lvlText w:val="▪"/>
      <w:lvlJc w:val="left"/>
      <w:pPr>
        <w:ind w:left="2160" w:hanging="360"/>
      </w:pPr>
      <w:rPr>
        <w:rFonts w:ascii="Noto Sans Symbols" w:eastAsia="Noto Sans Symbols" w:hAnsi="Noto Sans Symbols" w:cs="Noto Sans Symbols"/>
      </w:rPr>
    </w:lvl>
    <w:lvl w:ilvl="3" w:tplc="7E6C785A">
      <w:start w:val="1"/>
      <w:numFmt w:val="bullet"/>
      <w:lvlText w:val="●"/>
      <w:lvlJc w:val="left"/>
      <w:pPr>
        <w:ind w:left="2880" w:hanging="360"/>
      </w:pPr>
      <w:rPr>
        <w:rFonts w:ascii="Noto Sans Symbols" w:eastAsia="Noto Sans Symbols" w:hAnsi="Noto Sans Symbols" w:cs="Noto Sans Symbols"/>
      </w:rPr>
    </w:lvl>
    <w:lvl w:ilvl="4" w:tplc="8826B910">
      <w:start w:val="1"/>
      <w:numFmt w:val="bullet"/>
      <w:lvlText w:val="o"/>
      <w:lvlJc w:val="left"/>
      <w:pPr>
        <w:ind w:left="3600" w:hanging="360"/>
      </w:pPr>
      <w:rPr>
        <w:rFonts w:ascii="Courier New" w:eastAsia="Courier New" w:hAnsi="Courier New" w:cs="Courier New"/>
      </w:rPr>
    </w:lvl>
    <w:lvl w:ilvl="5" w:tplc="4E0A3DB0">
      <w:start w:val="1"/>
      <w:numFmt w:val="bullet"/>
      <w:lvlText w:val="▪"/>
      <w:lvlJc w:val="left"/>
      <w:pPr>
        <w:ind w:left="4320" w:hanging="360"/>
      </w:pPr>
      <w:rPr>
        <w:rFonts w:ascii="Noto Sans Symbols" w:eastAsia="Noto Sans Symbols" w:hAnsi="Noto Sans Symbols" w:cs="Noto Sans Symbols"/>
      </w:rPr>
    </w:lvl>
    <w:lvl w:ilvl="6" w:tplc="D7D23FA0">
      <w:start w:val="1"/>
      <w:numFmt w:val="bullet"/>
      <w:lvlText w:val="●"/>
      <w:lvlJc w:val="left"/>
      <w:pPr>
        <w:ind w:left="5040" w:hanging="360"/>
      </w:pPr>
      <w:rPr>
        <w:rFonts w:ascii="Noto Sans Symbols" w:eastAsia="Noto Sans Symbols" w:hAnsi="Noto Sans Symbols" w:cs="Noto Sans Symbols"/>
      </w:rPr>
    </w:lvl>
    <w:lvl w:ilvl="7" w:tplc="70E43A96">
      <w:start w:val="1"/>
      <w:numFmt w:val="bullet"/>
      <w:lvlText w:val="o"/>
      <w:lvlJc w:val="left"/>
      <w:pPr>
        <w:ind w:left="5760" w:hanging="360"/>
      </w:pPr>
      <w:rPr>
        <w:rFonts w:ascii="Courier New" w:eastAsia="Courier New" w:hAnsi="Courier New" w:cs="Courier New"/>
      </w:rPr>
    </w:lvl>
    <w:lvl w:ilvl="8" w:tplc="E67CB32A">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021812"/>
    <w:multiLevelType w:val="multilevel"/>
    <w:tmpl w:val="3EAEECBA"/>
    <w:lvl w:ilvl="0">
      <w:start w:val="1"/>
      <w:numFmt w:val="upperRoman"/>
      <w:lvlText w:val="%1."/>
      <w:lvlJc w:val="righ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D2419E"/>
    <w:multiLevelType w:val="hybridMultilevel"/>
    <w:tmpl w:val="262244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E722BE0"/>
    <w:multiLevelType w:val="multilevel"/>
    <w:tmpl w:val="EE909D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F553507"/>
    <w:multiLevelType w:val="multilevel"/>
    <w:tmpl w:val="F72013C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1" w15:restartNumberingAfterBreak="0">
    <w:nsid w:val="22350F7C"/>
    <w:multiLevelType w:val="multilevel"/>
    <w:tmpl w:val="90105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F519D5"/>
    <w:multiLevelType w:val="multilevel"/>
    <w:tmpl w:val="E3560C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CC3006C"/>
    <w:multiLevelType w:val="multilevel"/>
    <w:tmpl w:val="3EAEECBA"/>
    <w:lvl w:ilvl="0">
      <w:start w:val="1"/>
      <w:numFmt w:val="upperRoman"/>
      <w:lvlText w:val="%1."/>
      <w:lvlJc w:val="righ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B84B9C"/>
    <w:multiLevelType w:val="multilevel"/>
    <w:tmpl w:val="E34A0F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6290B84"/>
    <w:multiLevelType w:val="hybridMultilevel"/>
    <w:tmpl w:val="08E6E094"/>
    <w:lvl w:ilvl="0" w:tplc="1ECCE0A2">
      <w:start w:val="1"/>
      <w:numFmt w:val="bullet"/>
      <w:lvlText w:val="●"/>
      <w:lvlJc w:val="left"/>
      <w:pPr>
        <w:ind w:left="720" w:hanging="360"/>
      </w:pPr>
      <w:rPr>
        <w:rFonts w:ascii="Noto Sans Symbols" w:eastAsia="Noto Sans Symbols" w:hAnsi="Noto Sans Symbols" w:cs="Noto Sans Symbols"/>
      </w:rPr>
    </w:lvl>
    <w:lvl w:ilvl="1" w:tplc="63169786">
      <w:start w:val="1"/>
      <w:numFmt w:val="bullet"/>
      <w:lvlText w:val="o"/>
      <w:lvlJc w:val="left"/>
      <w:pPr>
        <w:ind w:left="1440" w:hanging="360"/>
      </w:pPr>
      <w:rPr>
        <w:rFonts w:ascii="Courier New" w:eastAsia="Courier New" w:hAnsi="Courier New" w:cs="Courier New"/>
      </w:rPr>
    </w:lvl>
    <w:lvl w:ilvl="2" w:tplc="644E5D4E">
      <w:start w:val="1"/>
      <w:numFmt w:val="bullet"/>
      <w:lvlText w:val="▪"/>
      <w:lvlJc w:val="left"/>
      <w:pPr>
        <w:ind w:left="2160" w:hanging="360"/>
      </w:pPr>
      <w:rPr>
        <w:rFonts w:ascii="Noto Sans Symbols" w:eastAsia="Noto Sans Symbols" w:hAnsi="Noto Sans Symbols" w:cs="Noto Sans Symbols"/>
      </w:rPr>
    </w:lvl>
    <w:lvl w:ilvl="3" w:tplc="1428C3D0">
      <w:start w:val="1"/>
      <w:numFmt w:val="bullet"/>
      <w:lvlText w:val="●"/>
      <w:lvlJc w:val="left"/>
      <w:pPr>
        <w:ind w:left="2880" w:hanging="360"/>
      </w:pPr>
      <w:rPr>
        <w:rFonts w:ascii="Noto Sans Symbols" w:eastAsia="Noto Sans Symbols" w:hAnsi="Noto Sans Symbols" w:cs="Noto Sans Symbols"/>
      </w:rPr>
    </w:lvl>
    <w:lvl w:ilvl="4" w:tplc="735AA332">
      <w:start w:val="1"/>
      <w:numFmt w:val="bullet"/>
      <w:lvlText w:val="o"/>
      <w:lvlJc w:val="left"/>
      <w:pPr>
        <w:ind w:left="3600" w:hanging="360"/>
      </w:pPr>
      <w:rPr>
        <w:rFonts w:ascii="Courier New" w:eastAsia="Courier New" w:hAnsi="Courier New" w:cs="Courier New"/>
      </w:rPr>
    </w:lvl>
    <w:lvl w:ilvl="5" w:tplc="41EEBFD8">
      <w:start w:val="1"/>
      <w:numFmt w:val="bullet"/>
      <w:lvlText w:val="▪"/>
      <w:lvlJc w:val="left"/>
      <w:pPr>
        <w:ind w:left="4320" w:hanging="360"/>
      </w:pPr>
      <w:rPr>
        <w:rFonts w:ascii="Noto Sans Symbols" w:eastAsia="Noto Sans Symbols" w:hAnsi="Noto Sans Symbols" w:cs="Noto Sans Symbols"/>
      </w:rPr>
    </w:lvl>
    <w:lvl w:ilvl="6" w:tplc="6D00FF30">
      <w:start w:val="1"/>
      <w:numFmt w:val="bullet"/>
      <w:lvlText w:val="●"/>
      <w:lvlJc w:val="left"/>
      <w:pPr>
        <w:ind w:left="5040" w:hanging="360"/>
      </w:pPr>
      <w:rPr>
        <w:rFonts w:ascii="Noto Sans Symbols" w:eastAsia="Noto Sans Symbols" w:hAnsi="Noto Sans Symbols" w:cs="Noto Sans Symbols"/>
      </w:rPr>
    </w:lvl>
    <w:lvl w:ilvl="7" w:tplc="8E862542">
      <w:start w:val="1"/>
      <w:numFmt w:val="bullet"/>
      <w:lvlText w:val="o"/>
      <w:lvlJc w:val="left"/>
      <w:pPr>
        <w:ind w:left="5760" w:hanging="360"/>
      </w:pPr>
      <w:rPr>
        <w:rFonts w:ascii="Courier New" w:eastAsia="Courier New" w:hAnsi="Courier New" w:cs="Courier New"/>
      </w:rPr>
    </w:lvl>
    <w:lvl w:ilvl="8" w:tplc="B0180642">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896D9B"/>
    <w:multiLevelType w:val="hybridMultilevel"/>
    <w:tmpl w:val="0DB8AA2E"/>
    <w:lvl w:ilvl="0" w:tplc="5942CD22">
      <w:start w:val="16"/>
      <w:numFmt w:val="bullet"/>
      <w:lvlText w:val="•"/>
      <w:lvlJc w:val="left"/>
      <w:pPr>
        <w:ind w:left="1070" w:hanging="71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D6C35"/>
    <w:multiLevelType w:val="hybridMultilevel"/>
    <w:tmpl w:val="0EA0718A"/>
    <w:lvl w:ilvl="0" w:tplc="A14C718E">
      <w:start w:val="1"/>
      <w:numFmt w:val="bullet"/>
      <w:lvlText w:val="-"/>
      <w:lvlJc w:val="left"/>
      <w:pPr>
        <w:ind w:left="720" w:hanging="360"/>
      </w:pPr>
      <w:rPr>
        <w:rFonts w:ascii="Arial" w:eastAsia="Arial" w:hAnsi="Arial" w:cs="Arial"/>
      </w:rPr>
    </w:lvl>
    <w:lvl w:ilvl="1" w:tplc="BBDA4D98">
      <w:start w:val="1"/>
      <w:numFmt w:val="bullet"/>
      <w:lvlText w:val="o"/>
      <w:lvlJc w:val="left"/>
      <w:pPr>
        <w:ind w:left="1440" w:hanging="360"/>
      </w:pPr>
      <w:rPr>
        <w:rFonts w:ascii="Courier New" w:eastAsia="Courier New" w:hAnsi="Courier New" w:cs="Courier New"/>
      </w:rPr>
    </w:lvl>
    <w:lvl w:ilvl="2" w:tplc="2E607C28">
      <w:start w:val="1"/>
      <w:numFmt w:val="bullet"/>
      <w:lvlText w:val="▪"/>
      <w:lvlJc w:val="left"/>
      <w:pPr>
        <w:ind w:left="2160" w:hanging="360"/>
      </w:pPr>
      <w:rPr>
        <w:rFonts w:ascii="Noto Sans Symbols" w:eastAsia="Noto Sans Symbols" w:hAnsi="Noto Sans Symbols" w:cs="Noto Sans Symbols"/>
      </w:rPr>
    </w:lvl>
    <w:lvl w:ilvl="3" w:tplc="89E6C1F4">
      <w:start w:val="1"/>
      <w:numFmt w:val="bullet"/>
      <w:lvlText w:val="●"/>
      <w:lvlJc w:val="left"/>
      <w:pPr>
        <w:ind w:left="2880" w:hanging="360"/>
      </w:pPr>
      <w:rPr>
        <w:rFonts w:ascii="Noto Sans Symbols" w:eastAsia="Noto Sans Symbols" w:hAnsi="Noto Sans Symbols" w:cs="Noto Sans Symbols"/>
      </w:rPr>
    </w:lvl>
    <w:lvl w:ilvl="4" w:tplc="5C2C9DE8">
      <w:start w:val="1"/>
      <w:numFmt w:val="bullet"/>
      <w:lvlText w:val="o"/>
      <w:lvlJc w:val="left"/>
      <w:pPr>
        <w:ind w:left="3600" w:hanging="360"/>
      </w:pPr>
      <w:rPr>
        <w:rFonts w:ascii="Courier New" w:eastAsia="Courier New" w:hAnsi="Courier New" w:cs="Courier New"/>
      </w:rPr>
    </w:lvl>
    <w:lvl w:ilvl="5" w:tplc="51FA577E">
      <w:start w:val="1"/>
      <w:numFmt w:val="bullet"/>
      <w:lvlText w:val="▪"/>
      <w:lvlJc w:val="left"/>
      <w:pPr>
        <w:ind w:left="4320" w:hanging="360"/>
      </w:pPr>
      <w:rPr>
        <w:rFonts w:ascii="Noto Sans Symbols" w:eastAsia="Noto Sans Symbols" w:hAnsi="Noto Sans Symbols" w:cs="Noto Sans Symbols"/>
      </w:rPr>
    </w:lvl>
    <w:lvl w:ilvl="6" w:tplc="19AAE9CA">
      <w:start w:val="1"/>
      <w:numFmt w:val="bullet"/>
      <w:lvlText w:val="●"/>
      <w:lvlJc w:val="left"/>
      <w:pPr>
        <w:ind w:left="5040" w:hanging="360"/>
      </w:pPr>
      <w:rPr>
        <w:rFonts w:ascii="Noto Sans Symbols" w:eastAsia="Noto Sans Symbols" w:hAnsi="Noto Sans Symbols" w:cs="Noto Sans Symbols"/>
      </w:rPr>
    </w:lvl>
    <w:lvl w:ilvl="7" w:tplc="7F5A31C4">
      <w:start w:val="1"/>
      <w:numFmt w:val="bullet"/>
      <w:lvlText w:val="o"/>
      <w:lvlJc w:val="left"/>
      <w:pPr>
        <w:ind w:left="5760" w:hanging="360"/>
      </w:pPr>
      <w:rPr>
        <w:rFonts w:ascii="Courier New" w:eastAsia="Courier New" w:hAnsi="Courier New" w:cs="Courier New"/>
      </w:rPr>
    </w:lvl>
    <w:lvl w:ilvl="8" w:tplc="A7FC2194">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6777C4A"/>
    <w:multiLevelType w:val="hybridMultilevel"/>
    <w:tmpl w:val="BB286D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331CC7"/>
    <w:multiLevelType w:val="hybridMultilevel"/>
    <w:tmpl w:val="5B2A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511CAC"/>
    <w:multiLevelType w:val="hybridMultilevel"/>
    <w:tmpl w:val="54746C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C450101"/>
    <w:multiLevelType w:val="hybridMultilevel"/>
    <w:tmpl w:val="57748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485EC6"/>
    <w:multiLevelType w:val="hybridMultilevel"/>
    <w:tmpl w:val="5A54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8E3662"/>
    <w:multiLevelType w:val="hybridMultilevel"/>
    <w:tmpl w:val="F8A685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5D087F"/>
    <w:multiLevelType w:val="hybridMultilevel"/>
    <w:tmpl w:val="5E80C428"/>
    <w:lvl w:ilvl="0" w:tplc="EF7C05F6">
      <w:start w:val="1"/>
      <w:numFmt w:val="bullet"/>
      <w:lvlText w:val="●"/>
      <w:lvlJc w:val="left"/>
      <w:pPr>
        <w:ind w:left="720" w:hanging="360"/>
      </w:pPr>
      <w:rPr>
        <w:rFonts w:ascii="Noto Sans Symbols" w:eastAsia="Noto Sans Symbols" w:hAnsi="Noto Sans Symbols" w:cs="Noto Sans Symbols"/>
      </w:rPr>
    </w:lvl>
    <w:lvl w:ilvl="1" w:tplc="233C31E4">
      <w:start w:val="1"/>
      <w:numFmt w:val="bullet"/>
      <w:lvlText w:val="o"/>
      <w:lvlJc w:val="left"/>
      <w:pPr>
        <w:ind w:left="1440" w:hanging="360"/>
      </w:pPr>
      <w:rPr>
        <w:rFonts w:ascii="Courier New" w:eastAsia="Courier New" w:hAnsi="Courier New" w:cs="Courier New"/>
      </w:rPr>
    </w:lvl>
    <w:lvl w:ilvl="2" w:tplc="5D747F18">
      <w:start w:val="1"/>
      <w:numFmt w:val="bullet"/>
      <w:lvlText w:val="▪"/>
      <w:lvlJc w:val="left"/>
      <w:pPr>
        <w:ind w:left="2160" w:hanging="360"/>
      </w:pPr>
      <w:rPr>
        <w:rFonts w:ascii="Noto Sans Symbols" w:eastAsia="Noto Sans Symbols" w:hAnsi="Noto Sans Symbols" w:cs="Noto Sans Symbols"/>
      </w:rPr>
    </w:lvl>
    <w:lvl w:ilvl="3" w:tplc="585E931A">
      <w:start w:val="1"/>
      <w:numFmt w:val="bullet"/>
      <w:lvlText w:val="●"/>
      <w:lvlJc w:val="left"/>
      <w:pPr>
        <w:ind w:left="2880" w:hanging="360"/>
      </w:pPr>
      <w:rPr>
        <w:rFonts w:ascii="Noto Sans Symbols" w:eastAsia="Noto Sans Symbols" w:hAnsi="Noto Sans Symbols" w:cs="Noto Sans Symbols"/>
      </w:rPr>
    </w:lvl>
    <w:lvl w:ilvl="4" w:tplc="BFE08B52">
      <w:start w:val="1"/>
      <w:numFmt w:val="bullet"/>
      <w:lvlText w:val="o"/>
      <w:lvlJc w:val="left"/>
      <w:pPr>
        <w:ind w:left="3600" w:hanging="360"/>
      </w:pPr>
      <w:rPr>
        <w:rFonts w:ascii="Courier New" w:eastAsia="Courier New" w:hAnsi="Courier New" w:cs="Courier New"/>
      </w:rPr>
    </w:lvl>
    <w:lvl w:ilvl="5" w:tplc="71A8B0D0">
      <w:start w:val="1"/>
      <w:numFmt w:val="bullet"/>
      <w:lvlText w:val="▪"/>
      <w:lvlJc w:val="left"/>
      <w:pPr>
        <w:ind w:left="4320" w:hanging="360"/>
      </w:pPr>
      <w:rPr>
        <w:rFonts w:ascii="Noto Sans Symbols" w:eastAsia="Noto Sans Symbols" w:hAnsi="Noto Sans Symbols" w:cs="Noto Sans Symbols"/>
      </w:rPr>
    </w:lvl>
    <w:lvl w:ilvl="6" w:tplc="AAC6F7E0">
      <w:start w:val="1"/>
      <w:numFmt w:val="bullet"/>
      <w:lvlText w:val="●"/>
      <w:lvlJc w:val="left"/>
      <w:pPr>
        <w:ind w:left="5040" w:hanging="360"/>
      </w:pPr>
      <w:rPr>
        <w:rFonts w:ascii="Noto Sans Symbols" w:eastAsia="Noto Sans Symbols" w:hAnsi="Noto Sans Symbols" w:cs="Noto Sans Symbols"/>
      </w:rPr>
    </w:lvl>
    <w:lvl w:ilvl="7" w:tplc="00FE50BC">
      <w:start w:val="1"/>
      <w:numFmt w:val="bullet"/>
      <w:lvlText w:val="o"/>
      <w:lvlJc w:val="left"/>
      <w:pPr>
        <w:ind w:left="5760" w:hanging="360"/>
      </w:pPr>
      <w:rPr>
        <w:rFonts w:ascii="Courier New" w:eastAsia="Courier New" w:hAnsi="Courier New" w:cs="Courier New"/>
      </w:rPr>
    </w:lvl>
    <w:lvl w:ilvl="8" w:tplc="BE14C0E4">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46F351D"/>
    <w:multiLevelType w:val="hybridMultilevel"/>
    <w:tmpl w:val="AE5A5FBC"/>
    <w:lvl w:ilvl="0" w:tplc="147A092E">
      <w:start w:val="1"/>
      <w:numFmt w:val="bullet"/>
      <w:lvlText w:val="●"/>
      <w:lvlJc w:val="left"/>
      <w:pPr>
        <w:ind w:left="360" w:hanging="360"/>
      </w:pPr>
      <w:rPr>
        <w:rFonts w:ascii="Noto Sans Symbols" w:eastAsia="Noto Sans Symbols" w:hAnsi="Noto Sans Symbols" w:cs="Noto Sans Symbols"/>
      </w:rPr>
    </w:lvl>
    <w:lvl w:ilvl="1" w:tplc="631ECE6E">
      <w:start w:val="1"/>
      <w:numFmt w:val="bullet"/>
      <w:lvlText w:val="o"/>
      <w:lvlJc w:val="left"/>
      <w:pPr>
        <w:ind w:left="1080" w:hanging="360"/>
      </w:pPr>
      <w:rPr>
        <w:rFonts w:ascii="Courier New" w:eastAsia="Courier New" w:hAnsi="Courier New" w:cs="Courier New"/>
      </w:rPr>
    </w:lvl>
    <w:lvl w:ilvl="2" w:tplc="0422DE1A">
      <w:start w:val="1"/>
      <w:numFmt w:val="bullet"/>
      <w:lvlText w:val="▪"/>
      <w:lvlJc w:val="left"/>
      <w:pPr>
        <w:ind w:left="1800" w:hanging="360"/>
      </w:pPr>
      <w:rPr>
        <w:rFonts w:ascii="Noto Sans Symbols" w:eastAsia="Noto Sans Symbols" w:hAnsi="Noto Sans Symbols" w:cs="Noto Sans Symbols"/>
      </w:rPr>
    </w:lvl>
    <w:lvl w:ilvl="3" w:tplc="14BA6892">
      <w:start w:val="1"/>
      <w:numFmt w:val="bullet"/>
      <w:lvlText w:val="●"/>
      <w:lvlJc w:val="left"/>
      <w:pPr>
        <w:ind w:left="2520" w:hanging="360"/>
      </w:pPr>
      <w:rPr>
        <w:rFonts w:ascii="Noto Sans Symbols" w:eastAsia="Noto Sans Symbols" w:hAnsi="Noto Sans Symbols" w:cs="Noto Sans Symbols"/>
      </w:rPr>
    </w:lvl>
    <w:lvl w:ilvl="4" w:tplc="3148E3A6">
      <w:start w:val="1"/>
      <w:numFmt w:val="bullet"/>
      <w:lvlText w:val="o"/>
      <w:lvlJc w:val="left"/>
      <w:pPr>
        <w:ind w:left="3240" w:hanging="360"/>
      </w:pPr>
      <w:rPr>
        <w:rFonts w:ascii="Courier New" w:eastAsia="Courier New" w:hAnsi="Courier New" w:cs="Courier New"/>
      </w:rPr>
    </w:lvl>
    <w:lvl w:ilvl="5" w:tplc="09A2045E">
      <w:start w:val="1"/>
      <w:numFmt w:val="bullet"/>
      <w:lvlText w:val="▪"/>
      <w:lvlJc w:val="left"/>
      <w:pPr>
        <w:ind w:left="3960" w:hanging="360"/>
      </w:pPr>
      <w:rPr>
        <w:rFonts w:ascii="Noto Sans Symbols" w:eastAsia="Noto Sans Symbols" w:hAnsi="Noto Sans Symbols" w:cs="Noto Sans Symbols"/>
      </w:rPr>
    </w:lvl>
    <w:lvl w:ilvl="6" w:tplc="E22C67B4">
      <w:start w:val="1"/>
      <w:numFmt w:val="bullet"/>
      <w:lvlText w:val="●"/>
      <w:lvlJc w:val="left"/>
      <w:pPr>
        <w:ind w:left="4680" w:hanging="360"/>
      </w:pPr>
      <w:rPr>
        <w:rFonts w:ascii="Noto Sans Symbols" w:eastAsia="Noto Sans Symbols" w:hAnsi="Noto Sans Symbols" w:cs="Noto Sans Symbols"/>
      </w:rPr>
    </w:lvl>
    <w:lvl w:ilvl="7" w:tplc="C82A661A">
      <w:start w:val="1"/>
      <w:numFmt w:val="bullet"/>
      <w:lvlText w:val="o"/>
      <w:lvlJc w:val="left"/>
      <w:pPr>
        <w:ind w:left="5400" w:hanging="360"/>
      </w:pPr>
      <w:rPr>
        <w:rFonts w:ascii="Courier New" w:eastAsia="Courier New" w:hAnsi="Courier New" w:cs="Courier New"/>
      </w:rPr>
    </w:lvl>
    <w:lvl w:ilvl="8" w:tplc="55DEB23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7167221"/>
    <w:multiLevelType w:val="hybridMultilevel"/>
    <w:tmpl w:val="A06A9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0534B3"/>
    <w:multiLevelType w:val="hybridMultilevel"/>
    <w:tmpl w:val="F72A94B2"/>
    <w:lvl w:ilvl="0" w:tplc="65FCDF98">
      <w:start w:val="1"/>
      <w:numFmt w:val="bullet"/>
      <w:lvlText w:val="●"/>
      <w:lvlJc w:val="left"/>
      <w:pPr>
        <w:ind w:left="720" w:hanging="360"/>
      </w:pPr>
      <w:rPr>
        <w:rFonts w:ascii="Noto Sans Symbols" w:eastAsia="Noto Sans Symbols" w:hAnsi="Noto Sans Symbols" w:cs="Noto Sans Symbols"/>
      </w:rPr>
    </w:lvl>
    <w:lvl w:ilvl="1" w:tplc="695412A2">
      <w:start w:val="1"/>
      <w:numFmt w:val="bullet"/>
      <w:lvlText w:val="o"/>
      <w:lvlJc w:val="left"/>
      <w:pPr>
        <w:ind w:left="1440" w:hanging="360"/>
      </w:pPr>
      <w:rPr>
        <w:rFonts w:ascii="Courier New" w:eastAsia="Courier New" w:hAnsi="Courier New" w:cs="Courier New"/>
      </w:rPr>
    </w:lvl>
    <w:lvl w:ilvl="2" w:tplc="3836C820">
      <w:start w:val="1"/>
      <w:numFmt w:val="bullet"/>
      <w:lvlText w:val="▪"/>
      <w:lvlJc w:val="left"/>
      <w:pPr>
        <w:ind w:left="2160" w:hanging="360"/>
      </w:pPr>
      <w:rPr>
        <w:rFonts w:ascii="Noto Sans Symbols" w:eastAsia="Noto Sans Symbols" w:hAnsi="Noto Sans Symbols" w:cs="Noto Sans Symbols"/>
      </w:rPr>
    </w:lvl>
    <w:lvl w:ilvl="3" w:tplc="FB4C282E">
      <w:start w:val="1"/>
      <w:numFmt w:val="bullet"/>
      <w:lvlText w:val="●"/>
      <w:lvlJc w:val="left"/>
      <w:pPr>
        <w:ind w:left="2880" w:hanging="360"/>
      </w:pPr>
      <w:rPr>
        <w:rFonts w:ascii="Noto Sans Symbols" w:eastAsia="Noto Sans Symbols" w:hAnsi="Noto Sans Symbols" w:cs="Noto Sans Symbols"/>
      </w:rPr>
    </w:lvl>
    <w:lvl w:ilvl="4" w:tplc="DA488E82">
      <w:start w:val="1"/>
      <w:numFmt w:val="bullet"/>
      <w:lvlText w:val="o"/>
      <w:lvlJc w:val="left"/>
      <w:pPr>
        <w:ind w:left="3600" w:hanging="360"/>
      </w:pPr>
      <w:rPr>
        <w:rFonts w:ascii="Courier New" w:eastAsia="Courier New" w:hAnsi="Courier New" w:cs="Courier New"/>
      </w:rPr>
    </w:lvl>
    <w:lvl w:ilvl="5" w:tplc="91CE0F72">
      <w:start w:val="1"/>
      <w:numFmt w:val="bullet"/>
      <w:lvlText w:val="▪"/>
      <w:lvlJc w:val="left"/>
      <w:pPr>
        <w:ind w:left="4320" w:hanging="360"/>
      </w:pPr>
      <w:rPr>
        <w:rFonts w:ascii="Noto Sans Symbols" w:eastAsia="Noto Sans Symbols" w:hAnsi="Noto Sans Symbols" w:cs="Noto Sans Symbols"/>
      </w:rPr>
    </w:lvl>
    <w:lvl w:ilvl="6" w:tplc="E17CEFD6">
      <w:start w:val="1"/>
      <w:numFmt w:val="bullet"/>
      <w:lvlText w:val="●"/>
      <w:lvlJc w:val="left"/>
      <w:pPr>
        <w:ind w:left="5040" w:hanging="360"/>
      </w:pPr>
      <w:rPr>
        <w:rFonts w:ascii="Noto Sans Symbols" w:eastAsia="Noto Sans Symbols" w:hAnsi="Noto Sans Symbols" w:cs="Noto Sans Symbols"/>
      </w:rPr>
    </w:lvl>
    <w:lvl w:ilvl="7" w:tplc="65A87F26">
      <w:start w:val="1"/>
      <w:numFmt w:val="bullet"/>
      <w:lvlText w:val="o"/>
      <w:lvlJc w:val="left"/>
      <w:pPr>
        <w:ind w:left="5760" w:hanging="360"/>
      </w:pPr>
      <w:rPr>
        <w:rFonts w:ascii="Courier New" w:eastAsia="Courier New" w:hAnsi="Courier New" w:cs="Courier New"/>
      </w:rPr>
    </w:lvl>
    <w:lvl w:ilvl="8" w:tplc="5D585B24">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F881005"/>
    <w:multiLevelType w:val="hybridMultilevel"/>
    <w:tmpl w:val="7F74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26FA6"/>
    <w:multiLevelType w:val="hybridMultilevel"/>
    <w:tmpl w:val="2A86C8CE"/>
    <w:lvl w:ilvl="0" w:tplc="9F0ABD80">
      <w:start w:val="1"/>
      <w:numFmt w:val="bullet"/>
      <w:lvlText w:val="●"/>
      <w:lvlJc w:val="left"/>
      <w:pPr>
        <w:ind w:left="720" w:hanging="360"/>
      </w:pPr>
      <w:rPr>
        <w:rFonts w:ascii="Noto Sans Symbols" w:eastAsia="Noto Sans Symbols" w:hAnsi="Noto Sans Symbols" w:cs="Noto Sans Symbols"/>
      </w:rPr>
    </w:lvl>
    <w:lvl w:ilvl="1" w:tplc="75DE6992">
      <w:start w:val="1"/>
      <w:numFmt w:val="bullet"/>
      <w:lvlText w:val="o"/>
      <w:lvlJc w:val="left"/>
      <w:pPr>
        <w:ind w:left="1440" w:hanging="360"/>
      </w:pPr>
      <w:rPr>
        <w:rFonts w:ascii="Courier New" w:eastAsia="Courier New" w:hAnsi="Courier New" w:cs="Courier New"/>
      </w:rPr>
    </w:lvl>
    <w:lvl w:ilvl="2" w:tplc="632E3B80">
      <w:start w:val="1"/>
      <w:numFmt w:val="bullet"/>
      <w:lvlText w:val="▪"/>
      <w:lvlJc w:val="left"/>
      <w:pPr>
        <w:ind w:left="2160" w:hanging="360"/>
      </w:pPr>
      <w:rPr>
        <w:rFonts w:ascii="Noto Sans Symbols" w:eastAsia="Noto Sans Symbols" w:hAnsi="Noto Sans Symbols" w:cs="Noto Sans Symbols"/>
      </w:rPr>
    </w:lvl>
    <w:lvl w:ilvl="3" w:tplc="2A04421C">
      <w:start w:val="1"/>
      <w:numFmt w:val="bullet"/>
      <w:lvlText w:val="●"/>
      <w:lvlJc w:val="left"/>
      <w:pPr>
        <w:ind w:left="2880" w:hanging="360"/>
      </w:pPr>
      <w:rPr>
        <w:rFonts w:ascii="Noto Sans Symbols" w:eastAsia="Noto Sans Symbols" w:hAnsi="Noto Sans Symbols" w:cs="Noto Sans Symbols"/>
      </w:rPr>
    </w:lvl>
    <w:lvl w:ilvl="4" w:tplc="783E4D00">
      <w:start w:val="1"/>
      <w:numFmt w:val="bullet"/>
      <w:lvlText w:val="o"/>
      <w:lvlJc w:val="left"/>
      <w:pPr>
        <w:ind w:left="3600" w:hanging="360"/>
      </w:pPr>
      <w:rPr>
        <w:rFonts w:ascii="Courier New" w:eastAsia="Courier New" w:hAnsi="Courier New" w:cs="Courier New"/>
      </w:rPr>
    </w:lvl>
    <w:lvl w:ilvl="5" w:tplc="63B6AB5A">
      <w:start w:val="1"/>
      <w:numFmt w:val="bullet"/>
      <w:lvlText w:val="▪"/>
      <w:lvlJc w:val="left"/>
      <w:pPr>
        <w:ind w:left="4320" w:hanging="360"/>
      </w:pPr>
      <w:rPr>
        <w:rFonts w:ascii="Noto Sans Symbols" w:eastAsia="Noto Sans Symbols" w:hAnsi="Noto Sans Symbols" w:cs="Noto Sans Symbols"/>
      </w:rPr>
    </w:lvl>
    <w:lvl w:ilvl="6" w:tplc="1E54EB5E">
      <w:start w:val="1"/>
      <w:numFmt w:val="bullet"/>
      <w:lvlText w:val="●"/>
      <w:lvlJc w:val="left"/>
      <w:pPr>
        <w:ind w:left="5040" w:hanging="360"/>
      </w:pPr>
      <w:rPr>
        <w:rFonts w:ascii="Noto Sans Symbols" w:eastAsia="Noto Sans Symbols" w:hAnsi="Noto Sans Symbols" w:cs="Noto Sans Symbols"/>
      </w:rPr>
    </w:lvl>
    <w:lvl w:ilvl="7" w:tplc="306E642E">
      <w:start w:val="1"/>
      <w:numFmt w:val="bullet"/>
      <w:lvlText w:val="o"/>
      <w:lvlJc w:val="left"/>
      <w:pPr>
        <w:ind w:left="5760" w:hanging="360"/>
      </w:pPr>
      <w:rPr>
        <w:rFonts w:ascii="Courier New" w:eastAsia="Courier New" w:hAnsi="Courier New" w:cs="Courier New"/>
      </w:rPr>
    </w:lvl>
    <w:lvl w:ilvl="8" w:tplc="C1F0A216">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B646E6D"/>
    <w:multiLevelType w:val="hybridMultilevel"/>
    <w:tmpl w:val="375AF692"/>
    <w:lvl w:ilvl="0" w:tplc="8D2A07B0">
      <w:start w:val="1"/>
      <w:numFmt w:val="decimal"/>
      <w:lvlText w:val="%1."/>
      <w:lvlJc w:val="left"/>
      <w:pPr>
        <w:ind w:left="720" w:hanging="360"/>
      </w:pPr>
    </w:lvl>
    <w:lvl w:ilvl="1" w:tplc="2CDC3900">
      <w:start w:val="1"/>
      <w:numFmt w:val="lowerLetter"/>
      <w:lvlText w:val="%2."/>
      <w:lvlJc w:val="left"/>
      <w:pPr>
        <w:ind w:left="1440" w:hanging="360"/>
      </w:pPr>
    </w:lvl>
    <w:lvl w:ilvl="2" w:tplc="48B01FD0">
      <w:start w:val="1"/>
      <w:numFmt w:val="lowerRoman"/>
      <w:lvlText w:val="%3."/>
      <w:lvlJc w:val="right"/>
      <w:pPr>
        <w:ind w:left="2160" w:hanging="180"/>
      </w:pPr>
    </w:lvl>
    <w:lvl w:ilvl="3" w:tplc="E522F8BE">
      <w:start w:val="1"/>
      <w:numFmt w:val="decimal"/>
      <w:lvlText w:val="%4."/>
      <w:lvlJc w:val="left"/>
      <w:pPr>
        <w:ind w:left="2880" w:hanging="360"/>
      </w:pPr>
    </w:lvl>
    <w:lvl w:ilvl="4" w:tplc="54BE4DFC">
      <w:start w:val="1"/>
      <w:numFmt w:val="lowerLetter"/>
      <w:lvlText w:val="%5."/>
      <w:lvlJc w:val="left"/>
      <w:pPr>
        <w:ind w:left="3600" w:hanging="360"/>
      </w:pPr>
    </w:lvl>
    <w:lvl w:ilvl="5" w:tplc="10B44982">
      <w:start w:val="1"/>
      <w:numFmt w:val="lowerRoman"/>
      <w:lvlText w:val="%6."/>
      <w:lvlJc w:val="right"/>
      <w:pPr>
        <w:ind w:left="4320" w:hanging="180"/>
      </w:pPr>
    </w:lvl>
    <w:lvl w:ilvl="6" w:tplc="69A2F890">
      <w:start w:val="1"/>
      <w:numFmt w:val="decimal"/>
      <w:lvlText w:val="%7."/>
      <w:lvlJc w:val="left"/>
      <w:pPr>
        <w:ind w:left="5040" w:hanging="360"/>
      </w:pPr>
    </w:lvl>
    <w:lvl w:ilvl="7" w:tplc="4FFAC0E4">
      <w:start w:val="1"/>
      <w:numFmt w:val="lowerLetter"/>
      <w:lvlText w:val="%8."/>
      <w:lvlJc w:val="left"/>
      <w:pPr>
        <w:ind w:left="5760" w:hanging="360"/>
      </w:pPr>
    </w:lvl>
    <w:lvl w:ilvl="8" w:tplc="7CE4928A">
      <w:start w:val="1"/>
      <w:numFmt w:val="lowerRoman"/>
      <w:lvlText w:val="%9."/>
      <w:lvlJc w:val="right"/>
      <w:pPr>
        <w:ind w:left="6480" w:hanging="180"/>
      </w:pPr>
    </w:lvl>
  </w:abstractNum>
  <w:num w:numId="1">
    <w:abstractNumId w:val="6"/>
  </w:num>
  <w:num w:numId="2">
    <w:abstractNumId w:val="1"/>
  </w:num>
  <w:num w:numId="3">
    <w:abstractNumId w:val="9"/>
  </w:num>
  <w:num w:numId="4">
    <w:abstractNumId w:val="25"/>
  </w:num>
  <w:num w:numId="5">
    <w:abstractNumId w:val="7"/>
  </w:num>
  <w:num w:numId="6">
    <w:abstractNumId w:val="29"/>
  </w:num>
  <w:num w:numId="7">
    <w:abstractNumId w:val="3"/>
  </w:num>
  <w:num w:numId="8">
    <w:abstractNumId w:val="27"/>
  </w:num>
  <w:num w:numId="9">
    <w:abstractNumId w:val="0"/>
  </w:num>
  <w:num w:numId="10">
    <w:abstractNumId w:val="17"/>
  </w:num>
  <w:num w:numId="11">
    <w:abstractNumId w:val="11"/>
  </w:num>
  <w:num w:numId="12">
    <w:abstractNumId w:val="14"/>
  </w:num>
  <w:num w:numId="13">
    <w:abstractNumId w:val="15"/>
  </w:num>
  <w:num w:numId="14">
    <w:abstractNumId w:val="10"/>
  </w:num>
  <w:num w:numId="15">
    <w:abstractNumId w:val="30"/>
  </w:num>
  <w:num w:numId="16">
    <w:abstractNumId w:val="24"/>
  </w:num>
  <w:num w:numId="17">
    <w:abstractNumId w:val="5"/>
  </w:num>
  <w:num w:numId="18">
    <w:abstractNumId w:val="8"/>
  </w:num>
  <w:num w:numId="19">
    <w:abstractNumId w:val="26"/>
  </w:num>
  <w:num w:numId="20">
    <w:abstractNumId w:val="12"/>
  </w:num>
  <w:num w:numId="21">
    <w:abstractNumId w:val="2"/>
  </w:num>
  <w:num w:numId="22">
    <w:abstractNumId w:val="21"/>
  </w:num>
  <w:num w:numId="23">
    <w:abstractNumId w:val="18"/>
  </w:num>
  <w:num w:numId="24">
    <w:abstractNumId w:val="22"/>
  </w:num>
  <w:num w:numId="25">
    <w:abstractNumId w:val="23"/>
  </w:num>
  <w:num w:numId="26">
    <w:abstractNumId w:val="20"/>
  </w:num>
  <w:num w:numId="27">
    <w:abstractNumId w:val="28"/>
  </w:num>
  <w:num w:numId="28">
    <w:abstractNumId w:val="19"/>
  </w:num>
  <w:num w:numId="29">
    <w:abstractNumId w:val="16"/>
  </w:num>
  <w:num w:numId="30">
    <w:abstractNumId w:val="1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1EA"/>
    <w:rsid w:val="000037D3"/>
    <w:rsid w:val="00003F34"/>
    <w:rsid w:val="00007D8D"/>
    <w:rsid w:val="00016359"/>
    <w:rsid w:val="000275C9"/>
    <w:rsid w:val="00033512"/>
    <w:rsid w:val="00042A19"/>
    <w:rsid w:val="0005292F"/>
    <w:rsid w:val="0005460B"/>
    <w:rsid w:val="00057320"/>
    <w:rsid w:val="0006156F"/>
    <w:rsid w:val="00075A49"/>
    <w:rsid w:val="00081866"/>
    <w:rsid w:val="00082D9F"/>
    <w:rsid w:val="0008355D"/>
    <w:rsid w:val="00084864"/>
    <w:rsid w:val="0009074E"/>
    <w:rsid w:val="00090B0D"/>
    <w:rsid w:val="00094F52"/>
    <w:rsid w:val="000B0BAC"/>
    <w:rsid w:val="000C7B0D"/>
    <w:rsid w:val="000D05B4"/>
    <w:rsid w:val="000D5F9F"/>
    <w:rsid w:val="000D7450"/>
    <w:rsid w:val="000E021A"/>
    <w:rsid w:val="000F1EFA"/>
    <w:rsid w:val="000F3D37"/>
    <w:rsid w:val="000F7850"/>
    <w:rsid w:val="00100713"/>
    <w:rsid w:val="00107D1B"/>
    <w:rsid w:val="001160BB"/>
    <w:rsid w:val="00116197"/>
    <w:rsid w:val="001265D0"/>
    <w:rsid w:val="001360F6"/>
    <w:rsid w:val="00136129"/>
    <w:rsid w:val="0013729A"/>
    <w:rsid w:val="00137EF7"/>
    <w:rsid w:val="0014436E"/>
    <w:rsid w:val="001604A1"/>
    <w:rsid w:val="0016404D"/>
    <w:rsid w:val="00176EE3"/>
    <w:rsid w:val="001908D8"/>
    <w:rsid w:val="00192D75"/>
    <w:rsid w:val="001943CB"/>
    <w:rsid w:val="001A0F85"/>
    <w:rsid w:val="001A6BEB"/>
    <w:rsid w:val="001B0916"/>
    <w:rsid w:val="001B247E"/>
    <w:rsid w:val="001C5B9D"/>
    <w:rsid w:val="001D456E"/>
    <w:rsid w:val="001E2D90"/>
    <w:rsid w:val="001E5C52"/>
    <w:rsid w:val="001F11AE"/>
    <w:rsid w:val="001F1AB7"/>
    <w:rsid w:val="001F6A87"/>
    <w:rsid w:val="00202A31"/>
    <w:rsid w:val="0020500D"/>
    <w:rsid w:val="00205021"/>
    <w:rsid w:val="002116E1"/>
    <w:rsid w:val="002120FB"/>
    <w:rsid w:val="00217F23"/>
    <w:rsid w:val="002205C0"/>
    <w:rsid w:val="00225C9A"/>
    <w:rsid w:val="0024109B"/>
    <w:rsid w:val="00243829"/>
    <w:rsid w:val="00245F27"/>
    <w:rsid w:val="0024607A"/>
    <w:rsid w:val="002630B5"/>
    <w:rsid w:val="00264B19"/>
    <w:rsid w:val="00266456"/>
    <w:rsid w:val="0026723B"/>
    <w:rsid w:val="00275291"/>
    <w:rsid w:val="0027610B"/>
    <w:rsid w:val="00280276"/>
    <w:rsid w:val="002811E7"/>
    <w:rsid w:val="00281DA3"/>
    <w:rsid w:val="002937CA"/>
    <w:rsid w:val="0029623B"/>
    <w:rsid w:val="002A069B"/>
    <w:rsid w:val="002A3C6E"/>
    <w:rsid w:val="002C2D75"/>
    <w:rsid w:val="002C2E22"/>
    <w:rsid w:val="002C4E06"/>
    <w:rsid w:val="002C6291"/>
    <w:rsid w:val="002D22E1"/>
    <w:rsid w:val="002D2F5B"/>
    <w:rsid w:val="002E7886"/>
    <w:rsid w:val="002F5EB9"/>
    <w:rsid w:val="00307508"/>
    <w:rsid w:val="003106F9"/>
    <w:rsid w:val="003243AE"/>
    <w:rsid w:val="003243CB"/>
    <w:rsid w:val="0032551D"/>
    <w:rsid w:val="00327043"/>
    <w:rsid w:val="00331F3F"/>
    <w:rsid w:val="00352DAC"/>
    <w:rsid w:val="00356502"/>
    <w:rsid w:val="00357561"/>
    <w:rsid w:val="00360B33"/>
    <w:rsid w:val="00363EFD"/>
    <w:rsid w:val="003652B9"/>
    <w:rsid w:val="0038029D"/>
    <w:rsid w:val="003936C2"/>
    <w:rsid w:val="003A0128"/>
    <w:rsid w:val="003A07BF"/>
    <w:rsid w:val="003A1B9A"/>
    <w:rsid w:val="003A219F"/>
    <w:rsid w:val="003B44D8"/>
    <w:rsid w:val="003B54EB"/>
    <w:rsid w:val="003D0066"/>
    <w:rsid w:val="003D29E0"/>
    <w:rsid w:val="003E2168"/>
    <w:rsid w:val="003E6177"/>
    <w:rsid w:val="003E693D"/>
    <w:rsid w:val="003E6BA9"/>
    <w:rsid w:val="003E78B5"/>
    <w:rsid w:val="003F2097"/>
    <w:rsid w:val="003F5FC0"/>
    <w:rsid w:val="00403ACB"/>
    <w:rsid w:val="00406CF6"/>
    <w:rsid w:val="004206B8"/>
    <w:rsid w:val="004237F3"/>
    <w:rsid w:val="004302F8"/>
    <w:rsid w:val="004363A7"/>
    <w:rsid w:val="00442955"/>
    <w:rsid w:val="004554E9"/>
    <w:rsid w:val="00457BFA"/>
    <w:rsid w:val="00460691"/>
    <w:rsid w:val="0047651C"/>
    <w:rsid w:val="00483C63"/>
    <w:rsid w:val="00486C9F"/>
    <w:rsid w:val="004904C5"/>
    <w:rsid w:val="00494717"/>
    <w:rsid w:val="00495816"/>
    <w:rsid w:val="004A7290"/>
    <w:rsid w:val="004A7BC8"/>
    <w:rsid w:val="004B1995"/>
    <w:rsid w:val="004B598F"/>
    <w:rsid w:val="004C5538"/>
    <w:rsid w:val="004D3C77"/>
    <w:rsid w:val="004D6557"/>
    <w:rsid w:val="004D7089"/>
    <w:rsid w:val="004E5E6D"/>
    <w:rsid w:val="004F6902"/>
    <w:rsid w:val="00500BA0"/>
    <w:rsid w:val="00503A11"/>
    <w:rsid w:val="00527559"/>
    <w:rsid w:val="005301B8"/>
    <w:rsid w:val="005321A5"/>
    <w:rsid w:val="00533173"/>
    <w:rsid w:val="005371E7"/>
    <w:rsid w:val="00547BD2"/>
    <w:rsid w:val="005536F2"/>
    <w:rsid w:val="00560412"/>
    <w:rsid w:val="0057615A"/>
    <w:rsid w:val="00583F05"/>
    <w:rsid w:val="005847C0"/>
    <w:rsid w:val="005919A6"/>
    <w:rsid w:val="005A0C2D"/>
    <w:rsid w:val="005A1097"/>
    <w:rsid w:val="005D5099"/>
    <w:rsid w:val="005E24B7"/>
    <w:rsid w:val="005F046A"/>
    <w:rsid w:val="005F5FF4"/>
    <w:rsid w:val="006011FC"/>
    <w:rsid w:val="006021A4"/>
    <w:rsid w:val="006021F5"/>
    <w:rsid w:val="00603204"/>
    <w:rsid w:val="0061182E"/>
    <w:rsid w:val="00612053"/>
    <w:rsid w:val="0061467B"/>
    <w:rsid w:val="00614FD1"/>
    <w:rsid w:val="00622AA9"/>
    <w:rsid w:val="00627339"/>
    <w:rsid w:val="00630795"/>
    <w:rsid w:val="00642882"/>
    <w:rsid w:val="00650A1A"/>
    <w:rsid w:val="00651F76"/>
    <w:rsid w:val="00661086"/>
    <w:rsid w:val="00663795"/>
    <w:rsid w:val="006731AB"/>
    <w:rsid w:val="00673B51"/>
    <w:rsid w:val="00675CD9"/>
    <w:rsid w:val="00677C61"/>
    <w:rsid w:val="00680C29"/>
    <w:rsid w:val="0068255F"/>
    <w:rsid w:val="006832D7"/>
    <w:rsid w:val="00686F28"/>
    <w:rsid w:val="00695533"/>
    <w:rsid w:val="00697117"/>
    <w:rsid w:val="006A054F"/>
    <w:rsid w:val="006B093D"/>
    <w:rsid w:val="006B37A3"/>
    <w:rsid w:val="006B4A64"/>
    <w:rsid w:val="006C19C2"/>
    <w:rsid w:val="006D1249"/>
    <w:rsid w:val="006D15D1"/>
    <w:rsid w:val="006D27B3"/>
    <w:rsid w:val="006E4AE1"/>
    <w:rsid w:val="006F0AAE"/>
    <w:rsid w:val="006F1D49"/>
    <w:rsid w:val="006F27B9"/>
    <w:rsid w:val="0072303A"/>
    <w:rsid w:val="00726726"/>
    <w:rsid w:val="00726DAD"/>
    <w:rsid w:val="007336AE"/>
    <w:rsid w:val="007446DF"/>
    <w:rsid w:val="0075024A"/>
    <w:rsid w:val="007560DB"/>
    <w:rsid w:val="00757382"/>
    <w:rsid w:val="00760CDF"/>
    <w:rsid w:val="00762504"/>
    <w:rsid w:val="00762902"/>
    <w:rsid w:val="00774D9D"/>
    <w:rsid w:val="007838F7"/>
    <w:rsid w:val="007848CE"/>
    <w:rsid w:val="00785917"/>
    <w:rsid w:val="00794B09"/>
    <w:rsid w:val="00795787"/>
    <w:rsid w:val="00796812"/>
    <w:rsid w:val="007A7DDD"/>
    <w:rsid w:val="007B09E4"/>
    <w:rsid w:val="007C1CBF"/>
    <w:rsid w:val="007D349C"/>
    <w:rsid w:val="007D4CD9"/>
    <w:rsid w:val="007D5855"/>
    <w:rsid w:val="007D5F96"/>
    <w:rsid w:val="007D66A1"/>
    <w:rsid w:val="007E271C"/>
    <w:rsid w:val="007E36C9"/>
    <w:rsid w:val="007F036F"/>
    <w:rsid w:val="007F6EC6"/>
    <w:rsid w:val="0080066A"/>
    <w:rsid w:val="00800B1C"/>
    <w:rsid w:val="00801CA7"/>
    <w:rsid w:val="008066AF"/>
    <w:rsid w:val="00807E78"/>
    <w:rsid w:val="008148AA"/>
    <w:rsid w:val="008171A0"/>
    <w:rsid w:val="0082382A"/>
    <w:rsid w:val="00833093"/>
    <w:rsid w:val="00835227"/>
    <w:rsid w:val="00853CE8"/>
    <w:rsid w:val="0087083B"/>
    <w:rsid w:val="00871D72"/>
    <w:rsid w:val="00874D3B"/>
    <w:rsid w:val="00875E74"/>
    <w:rsid w:val="0088110A"/>
    <w:rsid w:val="00883697"/>
    <w:rsid w:val="0089440F"/>
    <w:rsid w:val="00896C00"/>
    <w:rsid w:val="00897A3B"/>
    <w:rsid w:val="008A0569"/>
    <w:rsid w:val="008A67CC"/>
    <w:rsid w:val="008B44DB"/>
    <w:rsid w:val="008C1C16"/>
    <w:rsid w:val="008C7F74"/>
    <w:rsid w:val="008D2DB7"/>
    <w:rsid w:val="008D4D53"/>
    <w:rsid w:val="008F3FC5"/>
    <w:rsid w:val="008F4ADE"/>
    <w:rsid w:val="00900231"/>
    <w:rsid w:val="009015D3"/>
    <w:rsid w:val="009028EB"/>
    <w:rsid w:val="009035AD"/>
    <w:rsid w:val="009136C3"/>
    <w:rsid w:val="00915BA0"/>
    <w:rsid w:val="0092128D"/>
    <w:rsid w:val="00922324"/>
    <w:rsid w:val="009251D7"/>
    <w:rsid w:val="00930F79"/>
    <w:rsid w:val="00947AF8"/>
    <w:rsid w:val="009606A9"/>
    <w:rsid w:val="00963678"/>
    <w:rsid w:val="00963BA4"/>
    <w:rsid w:val="00967436"/>
    <w:rsid w:val="009725DF"/>
    <w:rsid w:val="009776E4"/>
    <w:rsid w:val="009779A8"/>
    <w:rsid w:val="0098196E"/>
    <w:rsid w:val="009843AE"/>
    <w:rsid w:val="00985057"/>
    <w:rsid w:val="00991CA5"/>
    <w:rsid w:val="009B2DBE"/>
    <w:rsid w:val="009B537A"/>
    <w:rsid w:val="009C3164"/>
    <w:rsid w:val="009D2A0B"/>
    <w:rsid w:val="009E4164"/>
    <w:rsid w:val="009F1504"/>
    <w:rsid w:val="009F3441"/>
    <w:rsid w:val="009F4A30"/>
    <w:rsid w:val="009F6B0D"/>
    <w:rsid w:val="00A05AED"/>
    <w:rsid w:val="00A07E1A"/>
    <w:rsid w:val="00A10A04"/>
    <w:rsid w:val="00A1107F"/>
    <w:rsid w:val="00A13CAD"/>
    <w:rsid w:val="00A14B1F"/>
    <w:rsid w:val="00A20D0A"/>
    <w:rsid w:val="00A20EC6"/>
    <w:rsid w:val="00A23958"/>
    <w:rsid w:val="00A403FB"/>
    <w:rsid w:val="00A419FA"/>
    <w:rsid w:val="00A42826"/>
    <w:rsid w:val="00A52216"/>
    <w:rsid w:val="00A5723F"/>
    <w:rsid w:val="00A60BFE"/>
    <w:rsid w:val="00A640DC"/>
    <w:rsid w:val="00A70426"/>
    <w:rsid w:val="00A709FD"/>
    <w:rsid w:val="00A72FDE"/>
    <w:rsid w:val="00A7393F"/>
    <w:rsid w:val="00A74ED4"/>
    <w:rsid w:val="00A779D5"/>
    <w:rsid w:val="00A81FE6"/>
    <w:rsid w:val="00A86186"/>
    <w:rsid w:val="00A91D3A"/>
    <w:rsid w:val="00A91F61"/>
    <w:rsid w:val="00AA1FDF"/>
    <w:rsid w:val="00AA356A"/>
    <w:rsid w:val="00AA38EF"/>
    <w:rsid w:val="00AA51EB"/>
    <w:rsid w:val="00AA714F"/>
    <w:rsid w:val="00AB1021"/>
    <w:rsid w:val="00AB362F"/>
    <w:rsid w:val="00AB5550"/>
    <w:rsid w:val="00AB5822"/>
    <w:rsid w:val="00AE3303"/>
    <w:rsid w:val="00AE3CCD"/>
    <w:rsid w:val="00AE6D98"/>
    <w:rsid w:val="00AF0768"/>
    <w:rsid w:val="00B0192B"/>
    <w:rsid w:val="00B125A7"/>
    <w:rsid w:val="00B1765B"/>
    <w:rsid w:val="00B22FB9"/>
    <w:rsid w:val="00B35A27"/>
    <w:rsid w:val="00B42D49"/>
    <w:rsid w:val="00B43D38"/>
    <w:rsid w:val="00B55D3D"/>
    <w:rsid w:val="00B57C6F"/>
    <w:rsid w:val="00B74A27"/>
    <w:rsid w:val="00B83AA6"/>
    <w:rsid w:val="00B87DC9"/>
    <w:rsid w:val="00B9122C"/>
    <w:rsid w:val="00B931C6"/>
    <w:rsid w:val="00BA0121"/>
    <w:rsid w:val="00BA42CC"/>
    <w:rsid w:val="00BB08B8"/>
    <w:rsid w:val="00BB5EA5"/>
    <w:rsid w:val="00BD19C8"/>
    <w:rsid w:val="00BD4926"/>
    <w:rsid w:val="00BD7B6D"/>
    <w:rsid w:val="00BD7D79"/>
    <w:rsid w:val="00BE15D8"/>
    <w:rsid w:val="00BE5FC7"/>
    <w:rsid w:val="00BE734D"/>
    <w:rsid w:val="00BF2887"/>
    <w:rsid w:val="00BF38F9"/>
    <w:rsid w:val="00C01C0A"/>
    <w:rsid w:val="00C05B14"/>
    <w:rsid w:val="00C131AD"/>
    <w:rsid w:val="00C131EA"/>
    <w:rsid w:val="00C1608A"/>
    <w:rsid w:val="00C20494"/>
    <w:rsid w:val="00C23355"/>
    <w:rsid w:val="00C36C00"/>
    <w:rsid w:val="00C54D44"/>
    <w:rsid w:val="00C55DA4"/>
    <w:rsid w:val="00C71952"/>
    <w:rsid w:val="00C74EF9"/>
    <w:rsid w:val="00C83265"/>
    <w:rsid w:val="00C84529"/>
    <w:rsid w:val="00C87A98"/>
    <w:rsid w:val="00C93B93"/>
    <w:rsid w:val="00C97E21"/>
    <w:rsid w:val="00CA0DFE"/>
    <w:rsid w:val="00CA3501"/>
    <w:rsid w:val="00CA5A0E"/>
    <w:rsid w:val="00CA7C37"/>
    <w:rsid w:val="00CB318E"/>
    <w:rsid w:val="00CB571D"/>
    <w:rsid w:val="00CB5D79"/>
    <w:rsid w:val="00CC3187"/>
    <w:rsid w:val="00CC3B96"/>
    <w:rsid w:val="00CC6A62"/>
    <w:rsid w:val="00CD00A4"/>
    <w:rsid w:val="00CD1598"/>
    <w:rsid w:val="00CD3E9E"/>
    <w:rsid w:val="00CD6449"/>
    <w:rsid w:val="00CF3D14"/>
    <w:rsid w:val="00CF6ED6"/>
    <w:rsid w:val="00D03E8B"/>
    <w:rsid w:val="00D56267"/>
    <w:rsid w:val="00D56CCF"/>
    <w:rsid w:val="00D611EA"/>
    <w:rsid w:val="00D6511B"/>
    <w:rsid w:val="00D66569"/>
    <w:rsid w:val="00D67D16"/>
    <w:rsid w:val="00D84FB8"/>
    <w:rsid w:val="00D909CF"/>
    <w:rsid w:val="00D91F3A"/>
    <w:rsid w:val="00DA520A"/>
    <w:rsid w:val="00DA7AB3"/>
    <w:rsid w:val="00DB0425"/>
    <w:rsid w:val="00DB6EFF"/>
    <w:rsid w:val="00DC04F9"/>
    <w:rsid w:val="00DC1CC6"/>
    <w:rsid w:val="00DC252C"/>
    <w:rsid w:val="00DC6F1C"/>
    <w:rsid w:val="00DF11AE"/>
    <w:rsid w:val="00E12A67"/>
    <w:rsid w:val="00E159C5"/>
    <w:rsid w:val="00E22924"/>
    <w:rsid w:val="00E26990"/>
    <w:rsid w:val="00E314DC"/>
    <w:rsid w:val="00E35E5B"/>
    <w:rsid w:val="00E37036"/>
    <w:rsid w:val="00E43D1A"/>
    <w:rsid w:val="00E44F40"/>
    <w:rsid w:val="00E51BCC"/>
    <w:rsid w:val="00E561CD"/>
    <w:rsid w:val="00E56277"/>
    <w:rsid w:val="00E56C47"/>
    <w:rsid w:val="00E60F2B"/>
    <w:rsid w:val="00E717A9"/>
    <w:rsid w:val="00E71871"/>
    <w:rsid w:val="00E73ED5"/>
    <w:rsid w:val="00E83741"/>
    <w:rsid w:val="00EA4287"/>
    <w:rsid w:val="00EA7DD0"/>
    <w:rsid w:val="00EC5A9F"/>
    <w:rsid w:val="00EE12D5"/>
    <w:rsid w:val="00EE2DB1"/>
    <w:rsid w:val="00EE5AD8"/>
    <w:rsid w:val="00EF4B96"/>
    <w:rsid w:val="00F01D13"/>
    <w:rsid w:val="00F01EA3"/>
    <w:rsid w:val="00F058D2"/>
    <w:rsid w:val="00F064E0"/>
    <w:rsid w:val="00F0759A"/>
    <w:rsid w:val="00F23FAD"/>
    <w:rsid w:val="00F42C5D"/>
    <w:rsid w:val="00F450D2"/>
    <w:rsid w:val="00F510A6"/>
    <w:rsid w:val="00F521AD"/>
    <w:rsid w:val="00F63F04"/>
    <w:rsid w:val="00F740F6"/>
    <w:rsid w:val="00F8391A"/>
    <w:rsid w:val="00F83CFD"/>
    <w:rsid w:val="00F84C4A"/>
    <w:rsid w:val="00F94F99"/>
    <w:rsid w:val="00FA09B9"/>
    <w:rsid w:val="00FA42CF"/>
    <w:rsid w:val="00FB1107"/>
    <w:rsid w:val="00FB2F90"/>
    <w:rsid w:val="00FB30D8"/>
    <w:rsid w:val="00FB74D0"/>
    <w:rsid w:val="00FC085A"/>
    <w:rsid w:val="00FE0EB4"/>
    <w:rsid w:val="01C18366"/>
    <w:rsid w:val="052F75D2"/>
    <w:rsid w:val="0D833FED"/>
    <w:rsid w:val="1B5FF5A7"/>
    <w:rsid w:val="2B3167CA"/>
    <w:rsid w:val="2D4ADDC9"/>
    <w:rsid w:val="382633A6"/>
    <w:rsid w:val="4104C1FC"/>
    <w:rsid w:val="4BE04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4506"/>
  <w15:docId w15:val="{D31DEC32-BFDE-4BFE-805B-EA875EE9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tang" w:eastAsia="Batang" w:hAnsi="Batang" w:cs="Batang"/>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851" w:hanging="851"/>
      <w:outlineLvl w:val="0"/>
    </w:pPr>
    <w:rPr>
      <w:rFonts w:ascii="Arial" w:eastAsia="Arial" w:hAnsi="Arial" w:cs="Arial"/>
      <w:b/>
      <w:sz w:val="36"/>
      <w:szCs w:val="36"/>
    </w:rPr>
  </w:style>
  <w:style w:type="paragraph" w:styleId="Heading2">
    <w:name w:val="heading 2"/>
    <w:basedOn w:val="Normal"/>
    <w:next w:val="Normal"/>
    <w:uiPriority w:val="9"/>
    <w:semiHidden/>
    <w:unhideWhenUsed/>
    <w:qFormat/>
    <w:pPr>
      <w:keepNext/>
      <w:spacing w:before="360"/>
      <w:ind w:left="864" w:hanging="576"/>
      <w:outlineLvl w:val="1"/>
    </w:pPr>
    <w:rPr>
      <w:rFonts w:ascii="Arial" w:eastAsia="Arial" w:hAnsi="Arial" w:cs="Arial"/>
      <w:b/>
      <w:sz w:val="26"/>
      <w:szCs w:val="26"/>
    </w:rPr>
  </w:style>
  <w:style w:type="paragraph" w:styleId="Heading3">
    <w:name w:val="heading 3"/>
    <w:basedOn w:val="Normal"/>
    <w:next w:val="Normal"/>
    <w:uiPriority w:val="9"/>
    <w:semiHidden/>
    <w:unhideWhenUsed/>
    <w:qFormat/>
    <w:pPr>
      <w:keepNext/>
      <w:spacing w:before="360"/>
      <w:ind w:left="1429" w:hanging="720"/>
      <w:outlineLvl w:val="2"/>
    </w:pPr>
    <w:rPr>
      <w:rFonts w:ascii="Arial" w:eastAsia="Arial" w:hAnsi="Arial" w:cs="Arial"/>
      <w:b/>
      <w:i/>
      <w:sz w:val="22"/>
      <w:szCs w:val="22"/>
    </w:rPr>
  </w:style>
  <w:style w:type="paragraph" w:styleId="Heading4">
    <w:name w:val="heading 4"/>
    <w:basedOn w:val="Normal"/>
    <w:next w:val="Normal"/>
    <w:uiPriority w:val="9"/>
    <w:semiHidden/>
    <w:unhideWhenUsed/>
    <w:qFormat/>
    <w:pPr>
      <w:keepNext/>
      <w:spacing w:before="360"/>
      <w:ind w:left="1152" w:hanging="864"/>
      <w:outlineLvl w:val="3"/>
    </w:pPr>
    <w:rPr>
      <w:rFonts w:ascii="Arial" w:eastAsia="Arial" w:hAnsi="Arial" w:cs="Arial"/>
      <w:i/>
      <w:sz w:val="22"/>
      <w:szCs w:val="22"/>
    </w:rPr>
  </w:style>
  <w:style w:type="paragraph" w:styleId="Heading5">
    <w:name w:val="heading 5"/>
    <w:basedOn w:val="Normal"/>
    <w:next w:val="Normal"/>
    <w:uiPriority w:val="9"/>
    <w:semiHidden/>
    <w:unhideWhenUsed/>
    <w:qFormat/>
    <w:pPr>
      <w:spacing w:before="130"/>
      <w:ind w:left="1296" w:hanging="1008"/>
      <w:outlineLvl w:val="4"/>
    </w:pPr>
    <w:rPr>
      <w:rFonts w:ascii="Arial" w:eastAsia="Arial" w:hAnsi="Arial" w:cs="Arial"/>
      <w:sz w:val="22"/>
      <w:szCs w:val="22"/>
    </w:rPr>
  </w:style>
  <w:style w:type="paragraph" w:styleId="Heading6">
    <w:name w:val="heading 6"/>
    <w:basedOn w:val="Normal"/>
    <w:next w:val="Normal"/>
    <w:uiPriority w:val="9"/>
    <w:semiHidden/>
    <w:unhideWhenUsed/>
    <w:qFormat/>
    <w:pPr>
      <w:spacing w:before="240" w:after="60"/>
      <w:ind w:left="1440" w:hanging="1152"/>
      <w:outlineLvl w:val="5"/>
    </w:pPr>
    <w:rPr>
      <w:rFonts w:ascii="Arial" w:eastAsia="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0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768"/>
    <w:rPr>
      <w:rFonts w:ascii="Segoe UI" w:hAnsi="Segoe UI" w:cs="Segoe UI"/>
      <w:sz w:val="18"/>
      <w:szCs w:val="18"/>
    </w:rPr>
  </w:style>
  <w:style w:type="paragraph" w:styleId="ListParagraph">
    <w:name w:val="List Paragraph"/>
    <w:aliases w:val="F5 List Paragraph,List Paragraph1,List Paragraph11,Bullets,Dot pt,No Spacing1,List Paragraph Char Char Char,Indicator Text,Numbered Para 1,Bullet 1,Bullet Points,MAIN CONTENT,List Paragraph12,Bullet Style,Colorful List - Accent 11"/>
    <w:basedOn w:val="Normal"/>
    <w:link w:val="ListParagraphChar"/>
    <w:uiPriority w:val="34"/>
    <w:qFormat/>
    <w:rsid w:val="00AF0768"/>
    <w:pPr>
      <w:ind w:left="720"/>
    </w:pPr>
    <w:rPr>
      <w:rFonts w:ascii="Arial" w:eastAsia="Times New Roman" w:hAnsi="Arial" w:cs="Arial"/>
      <w:sz w:val="22"/>
      <w:szCs w:val="24"/>
      <w:lang w:eastAsia="en-US"/>
    </w:rPr>
  </w:style>
  <w:style w:type="character" w:customStyle="1" w:styleId="ListParagraphChar">
    <w:name w:val="List Paragraph Char"/>
    <w:aliases w:val="F5 List Paragraph Char,List Paragraph1 Char,List Paragraph11 Char,Bullets Char,Dot pt Char,No Spacing1 Char,List Paragraph Char Char Char Char,Indicator Text Char,Numbered Para 1 Char,Bullet 1 Char,Bullet Points Char"/>
    <w:link w:val="ListParagraph"/>
    <w:uiPriority w:val="34"/>
    <w:qFormat/>
    <w:locked/>
    <w:rsid w:val="00AF0768"/>
    <w:rPr>
      <w:rFonts w:ascii="Arial" w:eastAsia="Times New Roman" w:hAnsi="Arial" w:cs="Arial"/>
      <w:sz w:val="22"/>
      <w:szCs w:val="24"/>
      <w:lang w:eastAsia="en-US"/>
    </w:rPr>
  </w:style>
  <w:style w:type="paragraph" w:styleId="CommentSubject">
    <w:name w:val="annotation subject"/>
    <w:basedOn w:val="CommentText"/>
    <w:next w:val="CommentText"/>
    <w:link w:val="CommentSubjectChar"/>
    <w:uiPriority w:val="99"/>
    <w:semiHidden/>
    <w:unhideWhenUsed/>
    <w:rsid w:val="00331F3F"/>
    <w:rPr>
      <w:b/>
      <w:bCs/>
    </w:rPr>
  </w:style>
  <w:style w:type="character" w:customStyle="1" w:styleId="CommentSubjectChar">
    <w:name w:val="Comment Subject Char"/>
    <w:basedOn w:val="CommentTextChar"/>
    <w:link w:val="CommentSubject"/>
    <w:uiPriority w:val="99"/>
    <w:semiHidden/>
    <w:rsid w:val="00331F3F"/>
    <w:rPr>
      <w:b/>
      <w:bCs/>
    </w:rPr>
  </w:style>
  <w:style w:type="paragraph" w:customStyle="1" w:styleId="paragraph">
    <w:name w:val="paragraph"/>
    <w:basedOn w:val="Normal"/>
    <w:rsid w:val="00C2049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20494"/>
  </w:style>
  <w:style w:type="character" w:customStyle="1" w:styleId="eop">
    <w:name w:val="eop"/>
    <w:basedOn w:val="DefaultParagraphFont"/>
    <w:rsid w:val="00C20494"/>
  </w:style>
  <w:style w:type="paragraph" w:styleId="Header">
    <w:name w:val="header"/>
    <w:basedOn w:val="Normal"/>
    <w:link w:val="HeaderChar"/>
    <w:uiPriority w:val="99"/>
    <w:semiHidden/>
    <w:unhideWhenUsed/>
    <w:rsid w:val="007560DB"/>
    <w:pPr>
      <w:tabs>
        <w:tab w:val="center" w:pos="4513"/>
        <w:tab w:val="right" w:pos="9026"/>
      </w:tabs>
    </w:pPr>
  </w:style>
  <w:style w:type="character" w:customStyle="1" w:styleId="HeaderChar">
    <w:name w:val="Header Char"/>
    <w:basedOn w:val="DefaultParagraphFont"/>
    <w:link w:val="Header"/>
    <w:uiPriority w:val="99"/>
    <w:semiHidden/>
    <w:rsid w:val="007560DB"/>
  </w:style>
  <w:style w:type="paragraph" w:styleId="Footer">
    <w:name w:val="footer"/>
    <w:basedOn w:val="Normal"/>
    <w:link w:val="FooterChar"/>
    <w:uiPriority w:val="99"/>
    <w:semiHidden/>
    <w:unhideWhenUsed/>
    <w:rsid w:val="007560DB"/>
    <w:pPr>
      <w:tabs>
        <w:tab w:val="center" w:pos="4513"/>
        <w:tab w:val="right" w:pos="9026"/>
      </w:tabs>
    </w:pPr>
  </w:style>
  <w:style w:type="character" w:customStyle="1" w:styleId="FooterChar">
    <w:name w:val="Footer Char"/>
    <w:basedOn w:val="DefaultParagraphFont"/>
    <w:link w:val="Footer"/>
    <w:uiPriority w:val="99"/>
    <w:semiHidden/>
    <w:rsid w:val="007560DB"/>
  </w:style>
  <w:style w:type="character" w:styleId="Hyperlink">
    <w:name w:val="Hyperlink"/>
    <w:basedOn w:val="DefaultParagraphFont"/>
    <w:uiPriority w:val="99"/>
    <w:unhideWhenUsed/>
    <w:rsid w:val="00495816"/>
    <w:rPr>
      <w:color w:val="0000FF" w:themeColor="hyperlink"/>
      <w:u w:val="single"/>
    </w:rPr>
  </w:style>
  <w:style w:type="character" w:styleId="UnresolvedMention">
    <w:name w:val="Unresolved Mention"/>
    <w:basedOn w:val="DefaultParagraphFont"/>
    <w:uiPriority w:val="99"/>
    <w:semiHidden/>
    <w:unhideWhenUsed/>
    <w:rsid w:val="00495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74944">
      <w:bodyDiv w:val="1"/>
      <w:marLeft w:val="0"/>
      <w:marRight w:val="0"/>
      <w:marTop w:val="0"/>
      <w:marBottom w:val="0"/>
      <w:divBdr>
        <w:top w:val="none" w:sz="0" w:space="0" w:color="auto"/>
        <w:left w:val="none" w:sz="0" w:space="0" w:color="auto"/>
        <w:bottom w:val="none" w:sz="0" w:space="0" w:color="auto"/>
        <w:right w:val="none" w:sz="0" w:space="0" w:color="auto"/>
      </w:divBdr>
    </w:div>
    <w:div w:id="1955018030">
      <w:bodyDiv w:val="1"/>
      <w:marLeft w:val="0"/>
      <w:marRight w:val="0"/>
      <w:marTop w:val="0"/>
      <w:marBottom w:val="0"/>
      <w:divBdr>
        <w:top w:val="none" w:sz="0" w:space="0" w:color="auto"/>
        <w:left w:val="none" w:sz="0" w:space="0" w:color="auto"/>
        <w:bottom w:val="none" w:sz="0" w:space="0" w:color="auto"/>
        <w:right w:val="none" w:sz="0" w:space="0" w:color="auto"/>
      </w:divBdr>
      <w:divsChild>
        <w:div w:id="20898882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eennewdeal@northoftyne-ca.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eennewdeal@northoftyne-ca.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7e52494741f84de8"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4D7D90D3189D47AE66A2D9346DDC16" ma:contentTypeVersion="11" ma:contentTypeDescription="Create a new document." ma:contentTypeScope="" ma:versionID="9103f505a415fe7d0873228528fa3cd2">
  <xsd:schema xmlns:xsd="http://www.w3.org/2001/XMLSchema" xmlns:xs="http://www.w3.org/2001/XMLSchema" xmlns:p="http://schemas.microsoft.com/office/2006/metadata/properties" xmlns:ns2="987c1c2e-0242-46eb-9b69-16b1d7ad91d0" xmlns:ns3="a6629934-8f11-43d4-9284-a90f0692aadb" targetNamespace="http://schemas.microsoft.com/office/2006/metadata/properties" ma:root="true" ma:fieldsID="c578675d88adf95dcf71279a8a4d729a" ns2:_="" ns3:_="">
    <xsd:import namespace="987c1c2e-0242-46eb-9b69-16b1d7ad91d0"/>
    <xsd:import namespace="a6629934-8f11-43d4-9284-a90f0692aa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c1c2e-0242-46eb-9b69-16b1d7ad9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629934-8f11-43d4-9284-a90f0692aa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6629934-8f11-43d4-9284-a90f0692aadb">
      <UserInfo>
        <DisplayName>Wilson, Leanne (North Of Tyne)</DisplayName>
        <AccountId>103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F2E0-D202-41DC-9E45-9A11E9AEDAFB}">
  <ds:schemaRefs>
    <ds:schemaRef ds:uri="http://schemas.microsoft.com/sharepoint/v3/contenttype/forms"/>
  </ds:schemaRefs>
</ds:datastoreItem>
</file>

<file path=customXml/itemProps2.xml><?xml version="1.0" encoding="utf-8"?>
<ds:datastoreItem xmlns:ds="http://schemas.openxmlformats.org/officeDocument/2006/customXml" ds:itemID="{DAE39FB2-AEEE-441A-8B31-3602E2EF8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c1c2e-0242-46eb-9b69-16b1d7ad91d0"/>
    <ds:schemaRef ds:uri="a6629934-8f11-43d4-9284-a90f0692a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2CAE6-C396-41D2-80BC-EFF2A05FA6F1}">
  <ds:schemaRef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a6629934-8f11-43d4-9284-a90f0692aadb"/>
    <ds:schemaRef ds:uri="987c1c2e-0242-46eb-9b69-16b1d7ad91d0"/>
    <ds:schemaRef ds:uri="http://www.w3.org/XML/1998/namespace"/>
  </ds:schemaRefs>
</ds:datastoreItem>
</file>

<file path=customXml/itemProps4.xml><?xml version="1.0" encoding="utf-8"?>
<ds:datastoreItem xmlns:ds="http://schemas.openxmlformats.org/officeDocument/2006/customXml" ds:itemID="{5BC1E777-086D-42DD-BAA0-F4CF370A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2910</Words>
  <Characters>16588</Characters>
  <Application>Microsoft Office Word</Application>
  <DocSecurity>0</DocSecurity>
  <Lines>138</Lines>
  <Paragraphs>38</Paragraphs>
  <ScaleCrop>false</ScaleCrop>
  <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Leanne (North Of Tyne)</dc:creator>
  <cp:lastModifiedBy>Wilson, Leanne (North Of Tyne)</cp:lastModifiedBy>
  <cp:revision>5</cp:revision>
  <dcterms:created xsi:type="dcterms:W3CDTF">2020-09-25T13:07:00Z</dcterms:created>
  <dcterms:modified xsi:type="dcterms:W3CDTF">2020-10-16T12:21:00Z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0x010100B54D7D90D3189D47AE66A2D9346DDC16</vt:lpwstr>
  </property>
</Properties>
</file>